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7,844,311.00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7,844,311.00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7,844,311.00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7,844,311.00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7,844,311.00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7,844,311.00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Floor 6,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the 1,277,597 shares of common stock, par value $0.0001 per share ("Shares"), reported herein, and by virtue of its position as the investment manager of Atlas Private Holdings (Cayman) Ltd ("APHC"), the direct holder of 6,566,714 Shares (including 5,431,569 shares issuable from the exercise of warrants), BAM may be deemed to exercise voting and investment power over such Shares held by ADMF and APHC and thus may be deemed to beneficially own such Shares.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9.99% of the Shares, based on 78,521,634 Shares outstanding as of May 7, 2026, as reported in the Issuer's Form 10-Q filed with the Securities and Exchange Commission on May 11, 2026. The report amount consists of 2,412,742 Shares and 5,431,569 Shares issuable upon the exercise of 5,586,529 Warrants subject to the Beneficial Ownership Limitation (as defined herein). The Warrants are subject to a blocker which prevents the holder from exercising the Warrants to the extent that, upon such exercise, the holder would beneficially own in excess of 9.99% of the Shares outstanding as a result of the exercise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7844311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7844311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1930</Words>
  <Characters>9823</Characters>
  <CharactersWithSpaces>11663</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