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95" w:lineRule="exact"/>
        <w:rPr>
          <w:sz w:val="24"/>
          <w:szCs w:val="24"/>
          <w:color w:val="auto"/>
        </w:rPr>
      </w:pPr>
    </w:p>
    <w:p>
      <w:pPr>
        <w:ind w:left="1140" w:hanging="208"/>
        <w:spacing w:after="0"/>
        <w:tabs>
          <w:tab w:leader="none" w:pos="11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5" w:lineRule="exact"/>
        <w:rPr>
          <w:rFonts w:ascii="MS PGothic" w:cs="MS PGothic" w:eastAsia="MS PGothic" w:hAnsi="MS PGothic"/>
          <w:sz w:val="18"/>
          <w:szCs w:val="18"/>
          <w:color w:val="auto"/>
          <w:highlight w:val="black"/>
        </w:rPr>
      </w:pPr>
    </w:p>
    <w:p>
      <w:pPr>
        <w:ind w:left="40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For the quarterly period ended March 31, 2026</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9" w:lineRule="exact"/>
        <w:rPr>
          <w:sz w:val="24"/>
          <w:szCs w:val="24"/>
          <w:color w:val="auto"/>
        </w:rPr>
      </w:pPr>
    </w:p>
    <w:p>
      <w:pPr>
        <w:ind w:left="1140" w:hanging="203"/>
        <w:spacing w:after="0"/>
        <w:tabs>
          <w:tab w:leader="none" w:pos="11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9" w:lineRule="exact"/>
        <w:rPr>
          <w:sz w:val="24"/>
          <w:szCs w:val="24"/>
          <w:color w:val="auto"/>
        </w:rPr>
      </w:pPr>
    </w:p>
    <w:p>
      <w:pPr>
        <w:ind w:left="394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Commission file number: 001-41855</w:t>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Lexeo Therapeutics, Inc.</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720" w:type="dxa"/>
            <w:vAlign w:val="bottom"/>
            <w:gridSpan w:val="2"/>
          </w:tcPr>
          <w:p>
            <w:pPr>
              <w:jc w:val="right"/>
              <w:ind w:right="2279"/>
              <w:spacing w:after="0"/>
              <w:rPr>
                <w:sz w:val="20"/>
                <w:szCs w:val="20"/>
                <w:color w:val="auto"/>
              </w:rPr>
            </w:pPr>
            <w:r>
              <w:rPr>
                <w:rFonts w:ascii="Times New Roman" w:cs="Times New Roman" w:eastAsia="Times New Roman" w:hAnsi="Times New Roman"/>
                <w:sz w:val="16"/>
                <w:szCs w:val="16"/>
                <w:b w:val="1"/>
                <w:bCs w:val="1"/>
                <w:color w:val="auto"/>
              </w:rPr>
              <w:t>85-4012572</w:t>
            </w:r>
          </w:p>
        </w:tc>
      </w:tr>
      <w:tr>
        <w:trPr>
          <w:trHeight w:val="187"/>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95"/>
        </w:trPr>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345 Park Avenue South, Floor 6</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25"/>
        </w:trPr>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NY</w:t>
            </w:r>
          </w:p>
        </w:tc>
        <w:tc>
          <w:tcPr>
            <w:tcW w:w="5720" w:type="dxa"/>
            <w:vAlign w:val="bottom"/>
            <w:gridSpan w:val="2"/>
          </w:tcPr>
          <w:p>
            <w:pPr>
              <w:jc w:val="right"/>
              <w:ind w:right="2459"/>
              <w:spacing w:after="0"/>
              <w:rPr>
                <w:sz w:val="20"/>
                <w:szCs w:val="20"/>
                <w:color w:val="auto"/>
              </w:rPr>
            </w:pPr>
            <w:r>
              <w:rPr>
                <w:rFonts w:ascii="Times New Roman" w:cs="Times New Roman" w:eastAsia="Times New Roman" w:hAnsi="Times New Roman"/>
                <w:sz w:val="16"/>
                <w:szCs w:val="16"/>
                <w:b w:val="1"/>
                <w:bCs w:val="1"/>
                <w:color w:val="auto"/>
              </w:rPr>
              <w:t>10010</w:t>
            </w:r>
          </w:p>
        </w:tc>
      </w:tr>
      <w:tr>
        <w:trPr>
          <w:trHeight w:val="212"/>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20" w:type="dxa"/>
            <w:vAlign w:val="bottom"/>
          </w:tcPr>
          <w:p>
            <w:pPr>
              <w:spacing w:after="0"/>
              <w:rPr>
                <w:sz w:val="18"/>
                <w:szCs w:val="18"/>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(212) 547-9879</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 telephone number, including area code)</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4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220" w:type="dxa"/>
            <w:vAlign w:val="bottom"/>
          </w:tcPr>
          <w:p>
            <w:pPr>
              <w:spacing w:after="0"/>
              <w:rPr>
                <w:sz w:val="19"/>
                <w:szCs w:val="19"/>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203"/>
        </w:trPr>
        <w:tc>
          <w:tcPr>
            <w:tcW w:w="4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LXEO</w:t>
            </w:r>
          </w:p>
        </w:tc>
        <w:tc>
          <w:tcPr>
            <w:tcW w:w="220" w:type="dxa"/>
            <w:vAlign w:val="bottom"/>
            <w:shd w:val="clear" w:color="auto" w:fill="CCEEFF"/>
          </w:tcPr>
          <w:p>
            <w:pPr>
              <w:spacing w:after="0"/>
              <w:rPr>
                <w:sz w:val="17"/>
                <w:szCs w:val="17"/>
                <w:color w:val="auto"/>
              </w:rPr>
            </w:pPr>
          </w:p>
        </w:tc>
        <w:tc>
          <w:tcPr>
            <w:tcW w:w="4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89" w:lineRule="exact"/>
        <w:rPr>
          <w:sz w:val="24"/>
          <w:szCs w:val="24"/>
          <w:color w:val="auto"/>
        </w:rPr>
      </w:pPr>
    </w:p>
    <w:p>
      <w:pPr>
        <w:jc w:val="both"/>
        <w:ind w:firstLine="37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1" w:lineRule="exact"/>
        <w:rPr>
          <w:sz w:val="24"/>
          <w:szCs w:val="24"/>
          <w:color w:val="auto"/>
        </w:rPr>
      </w:pPr>
    </w:p>
    <w:p>
      <w:pPr>
        <w:jc w:val="both"/>
        <w:ind w:firstLine="374"/>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jc w:val="both"/>
        <w:ind w:firstLine="37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6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Accelerated filer</w:t>
            </w:r>
          </w:p>
        </w:tc>
        <w:tc>
          <w:tcPr>
            <w:tcW w:w="88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6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8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6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spacing w:after="0"/>
              <w:rPr>
                <w:sz w:val="23"/>
                <w:szCs w:val="23"/>
                <w:color w:val="auto"/>
              </w:rPr>
            </w:pPr>
          </w:p>
        </w:tc>
        <w:tc>
          <w:tcPr>
            <w:tcW w:w="880" w:type="dxa"/>
            <w:vAlign w:val="bottom"/>
          </w:tcPr>
          <w:p>
            <w:pPr>
              <w:spacing w:after="0"/>
              <w:rPr>
                <w:sz w:val="23"/>
                <w:szCs w:val="23"/>
                <w:color w:val="auto"/>
              </w:rPr>
            </w:pPr>
          </w:p>
        </w:tc>
      </w:tr>
    </w:tbl>
    <w:p>
      <w:pPr>
        <w:spacing w:after="0" w:line="169" w:lineRule="exact"/>
        <w:rPr>
          <w:sz w:val="24"/>
          <w:szCs w:val="24"/>
          <w:color w:val="auto"/>
        </w:rPr>
      </w:pPr>
    </w:p>
    <w:p>
      <w:pPr>
        <w:ind w:firstLine="37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3" w:lineRule="exact"/>
        <w:rPr>
          <w:sz w:val="24"/>
          <w:szCs w:val="24"/>
          <w:color w:val="auto"/>
        </w:rPr>
      </w:pPr>
    </w:p>
    <w:p>
      <w:pPr>
        <w:ind w:left="38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57"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6"/>
          <w:szCs w:val="16"/>
          <w:color w:val="auto"/>
        </w:rPr>
        <w:t>The Registrant had 78,521,634 shares of common stock outstanding as of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20" w:type="dxa"/>
            <w:vAlign w:val="bottom"/>
            <w:gridSpan w:val="10"/>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20" w:type="dxa"/>
            <w:vAlign w:val="bottom"/>
          </w:tcPr>
          <w:p>
            <w:pPr>
              <w:spacing w:after="0"/>
              <w:rPr>
                <w:sz w:val="20"/>
                <w:szCs w:val="20"/>
                <w:color w:val="auto"/>
              </w:rPr>
            </w:pPr>
          </w:p>
        </w:tc>
      </w:tr>
      <w:tr>
        <w:trPr>
          <w:trHeight w:val="432"/>
        </w:trPr>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97"/>
        </w:trPr>
        <w:tc>
          <w:tcPr>
            <w:tcW w:w="360" w:type="dxa"/>
            <w:vAlign w:val="bottom"/>
          </w:tcPr>
          <w:p>
            <w:pPr>
              <w:spacing w:after="0"/>
              <w:rPr>
                <w:sz w:val="24"/>
                <w:szCs w:val="24"/>
                <w:color w:val="auto"/>
              </w:rPr>
            </w:pPr>
          </w:p>
        </w:tc>
        <w:tc>
          <w:tcPr>
            <w:tcW w:w="87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Special Note Regarding Forward Looking Statements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18"/>
        </w:trPr>
        <w:tc>
          <w:tcPr>
            <w:tcW w:w="30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PART I - FINANCIAL INFORMATION</w:t>
            </w:r>
          </w:p>
        </w:tc>
        <w:tc>
          <w:tcPr>
            <w:tcW w:w="6120" w:type="dxa"/>
            <w:vAlign w:val="bottom"/>
            <w:gridSpan w:val="13"/>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8"/>
        </w:trPr>
        <w:tc>
          <w:tcPr>
            <w:tcW w:w="36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79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3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18"/>
        </w:trPr>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Condensed Balance Sheets (unaudited)</w:t>
            </w:r>
          </w:p>
        </w:tc>
        <w:tc>
          <w:tcPr>
            <w:tcW w:w="5160" w:type="dxa"/>
            <w:vAlign w:val="bottom"/>
            <w:gridSpan w:val="11"/>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18"/>
        </w:trPr>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Statements of Operations and Comprehensive Loss (unaudited)</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Statements of Stockholders’ Equity (unaudited)</w:t>
            </w:r>
          </w:p>
        </w:tc>
        <w:tc>
          <w:tcPr>
            <w:tcW w:w="1120" w:type="dxa"/>
            <w:vAlign w:val="bottom"/>
            <w:tcBorders>
              <w:top w:val="single" w:sz="8" w:color="0000FF"/>
            </w:tcBorders>
            <w:gridSpan w:val="3"/>
          </w:tcPr>
          <w:p>
            <w:pPr>
              <w:spacing w:after="0"/>
              <w:rPr>
                <w:sz w:val="24"/>
                <w:szCs w:val="24"/>
                <w:color w:val="auto"/>
              </w:rPr>
            </w:pPr>
          </w:p>
        </w:tc>
        <w:tc>
          <w:tcPr>
            <w:tcW w:w="2580" w:type="dxa"/>
            <w:vAlign w:val="bottom"/>
            <w:gridSpan w:val="2"/>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18"/>
        </w:trPr>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Statements of Cash Flows (unaudited)</w:t>
            </w:r>
          </w:p>
        </w:tc>
        <w:tc>
          <w:tcPr>
            <w:tcW w:w="20" w:type="dxa"/>
            <w:vAlign w:val="bottom"/>
            <w:tcBorders>
              <w:bottom w:val="single" w:sz="8" w:color="0000EE"/>
            </w:tcBorders>
          </w:tcPr>
          <w:p>
            <w:pPr>
              <w:spacing w:after="0"/>
              <w:rPr>
                <w:sz w:val="24"/>
                <w:szCs w:val="24"/>
                <w:color w:val="auto"/>
              </w:rPr>
            </w:pPr>
          </w:p>
        </w:tc>
        <w:tc>
          <w:tcPr>
            <w:tcW w:w="4360" w:type="dxa"/>
            <w:vAlign w:val="bottom"/>
            <w:gridSpan w:val="8"/>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Financial Statements (unaudited)</w:t>
            </w:r>
          </w:p>
        </w:tc>
        <w:tc>
          <w:tcPr>
            <w:tcW w:w="20" w:type="dxa"/>
            <w:vAlign w:val="bottom"/>
            <w:tcBorders>
              <w:bottom w:val="single" w:sz="8" w:color="0000EE"/>
            </w:tcBorders>
          </w:tcPr>
          <w:p>
            <w:pPr>
              <w:spacing w:after="0"/>
              <w:rPr>
                <w:sz w:val="24"/>
                <w:szCs w:val="24"/>
                <w:color w:val="auto"/>
              </w:rPr>
            </w:pPr>
          </w:p>
        </w:tc>
        <w:tc>
          <w:tcPr>
            <w:tcW w:w="4080" w:type="dxa"/>
            <w:vAlign w:val="bottom"/>
            <w:gridSpan w:val="6"/>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8"/>
        </w:trPr>
        <w:tc>
          <w:tcPr>
            <w:tcW w:w="36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79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80" w:type="dxa"/>
            <w:vAlign w:val="bottom"/>
            <w:gridSpan w:val="8"/>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18"/>
        </w:trPr>
        <w:tc>
          <w:tcPr>
            <w:tcW w:w="36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79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80" w:type="dxa"/>
            <w:vAlign w:val="bottom"/>
            <w:gridSpan w:val="8"/>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18"/>
        </w:trPr>
        <w:tc>
          <w:tcPr>
            <w:tcW w:w="36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79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18"/>
        </w:trPr>
        <w:tc>
          <w:tcPr>
            <w:tcW w:w="91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18"/>
        </w:trPr>
        <w:tc>
          <w:tcPr>
            <w:tcW w:w="36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15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20" w:type="dxa"/>
            <w:vAlign w:val="bottom"/>
            <w:gridSpan w:val="15"/>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18"/>
        </w:trPr>
        <w:tc>
          <w:tcPr>
            <w:tcW w:w="36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79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17"/>
        </w:trPr>
        <w:tc>
          <w:tcPr>
            <w:tcW w:w="36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79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9"/>
            <w:shd w:val="clear" w:color="auto" w:fill="0000FF"/>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18"/>
        </w:trPr>
        <w:tc>
          <w:tcPr>
            <w:tcW w:w="36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79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5600" w:type="dxa"/>
            <w:vAlign w:val="bottom"/>
            <w:gridSpan w:val="1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18"/>
        </w:trPr>
        <w:tc>
          <w:tcPr>
            <w:tcW w:w="36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79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160" w:type="dxa"/>
            <w:vAlign w:val="bottom"/>
            <w:gridSpan w:val="14"/>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18"/>
        </w:trPr>
        <w:tc>
          <w:tcPr>
            <w:tcW w:w="36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79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620" w:type="dxa"/>
            <w:vAlign w:val="bottom"/>
            <w:gridSpan w:val="16"/>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18"/>
        </w:trPr>
        <w:tc>
          <w:tcPr>
            <w:tcW w:w="36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79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18"/>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SIGNATURES</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or Quarterly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“expect,” “plan,” “anticipate,” “could,” “intend,” “target,” “project,” “estimate,” “believe,” “predict,” “potential” or “continue” or the negative of these terms or other similar expressions intended to identify statements about the future. Forward-looking statements contained in this Quarterly Report include, without limitation, statements about:</w:t>
      </w:r>
    </w:p>
    <w:p>
      <w:pPr>
        <w:spacing w:after="0" w:line="161" w:lineRule="exact"/>
        <w:rPr>
          <w:sz w:val="20"/>
          <w:szCs w:val="20"/>
          <w:color w:val="auto"/>
        </w:rPr>
      </w:pPr>
    </w:p>
    <w:p>
      <w:pPr>
        <w:ind w:left="380" w:right="180" w:hanging="372"/>
        <w:spacing w:after="0" w:line="26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our preclinical studies and clinical trials of our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135" w:lineRule="exact"/>
        <w:rPr>
          <w:rFonts w:ascii="Times New Roman" w:cs="Times New Roman" w:eastAsia="Times New Roman" w:hAnsi="Times New Roman"/>
          <w:sz w:val="18"/>
          <w:szCs w:val="18"/>
          <w:color w:val="auto"/>
        </w:rPr>
      </w:pPr>
    </w:p>
    <w:p>
      <w:pPr>
        <w:ind w:left="380" w:right="4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planned investigational new drug, or IND, submissions, initiation of planned clinical trials and timing of expected clinical results for LX2006 and LX2020, if applicable, and our other future product candidates;</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for receipt and announcement of data from our preclinical studies and clinical trials;</w:t>
      </w:r>
    </w:p>
    <w:p>
      <w:pPr>
        <w:spacing w:after="0" w:line="198" w:lineRule="exact"/>
        <w:rPr>
          <w:rFonts w:ascii="Times New Roman" w:cs="Times New Roman" w:eastAsia="Times New Roman" w:hAnsi="Times New Roman"/>
          <w:sz w:val="18"/>
          <w:szCs w:val="18"/>
          <w:color w:val="auto"/>
        </w:rPr>
      </w:pPr>
    </w:p>
    <w:p>
      <w:pPr>
        <w:ind w:left="380" w:right="26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submission of filings for regulatory approval of and our ability to obtain and maintain regulatory approvals for LX2006, LX2020 and any other product candidates;</w:t>
      </w:r>
    </w:p>
    <w:p>
      <w:pPr>
        <w:spacing w:after="0" w:line="121" w:lineRule="exact"/>
        <w:rPr>
          <w:rFonts w:ascii="Times New Roman" w:cs="Times New Roman" w:eastAsia="Times New Roman" w:hAnsi="Times New Roman"/>
          <w:sz w:val="18"/>
          <w:szCs w:val="18"/>
          <w:color w:val="auto"/>
        </w:rPr>
      </w:pPr>
    </w:p>
    <w:p>
      <w:pPr>
        <w:jc w:val="both"/>
        <w:ind w:left="380" w:right="240" w:hanging="372"/>
        <w:spacing w:after="0" w:line="26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crises and other adverse global economic conditions on our operations and the potential disruption in the operations and business of third-party manufacturers, contract research organizations, or CROs, other service providers, and collaborators with whom we conduct business;</w:t>
      </w:r>
    </w:p>
    <w:p>
      <w:pPr>
        <w:spacing w:after="0" w:line="13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patients with the diseases treated by our product candidates, and to enroll patients in trials;</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preclinical studies and clinical trials to demonstrate safety and efficacy of our product candidates, and other positive results;</w:t>
      </w:r>
    </w:p>
    <w:p>
      <w:pPr>
        <w:spacing w:after="0" w:line="184" w:lineRule="exact"/>
        <w:rPr>
          <w:rFonts w:ascii="Times New Roman" w:cs="Times New Roman" w:eastAsia="Times New Roman" w:hAnsi="Times New Roman"/>
          <w:sz w:val="18"/>
          <w:szCs w:val="18"/>
          <w:color w:val="auto"/>
        </w:rPr>
      </w:pPr>
    </w:p>
    <w:p>
      <w:pPr>
        <w:ind w:left="380" w:right="16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our product candidates, if approved for commercial use;</w:t>
      </w:r>
    </w:p>
    <w:p>
      <w:pPr>
        <w:spacing w:after="0" w:line="13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 including the scalability and commercial viability of our manufacturing methods and processes;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party manufacturing partners to comply with significant regulations with respect to manufacturing our products;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of any approved indication for LX2006, LX2020 or any other product candidate;</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if approved;</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our platform to identify and develop future product candidates;</w:t>
      </w:r>
    </w:p>
    <w:p>
      <w:pPr>
        <w:spacing w:after="0" w:line="184" w:lineRule="exact"/>
        <w:rPr>
          <w:rFonts w:ascii="Times New Roman" w:cs="Times New Roman" w:eastAsia="Times New Roman" w:hAnsi="Times New Roman"/>
          <w:sz w:val="18"/>
          <w:szCs w:val="18"/>
          <w:color w:val="auto"/>
        </w:rPr>
      </w:pPr>
    </w:p>
    <w:p>
      <w:pPr>
        <w:ind w:left="380" w:right="12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capital requirements and our need for or ability to obtain additional funding before we can expect to generate any revenue from product sales;</w:t>
      </w:r>
    </w:p>
    <w:p>
      <w:pPr>
        <w:spacing w:after="0" w:line="13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or strategic relationships and any expected benefits related thereto;</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recruit and retain key personnel;</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upon intellectual property licensed from third parties and our ability to obtain such licenses on commercially reasonable terms or at all;</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position for our product candidates, and the scope of such protection;</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revenue, expenses and needs for additional financing;</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cash, cash equivalents, and investments balances and any proceeds from the ATM Program (as defined below);</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and regulations; and</w:t>
      </w:r>
    </w:p>
    <w:p>
      <w:pPr>
        <w:spacing w:after="0" w:line="184" w:lineRule="exact"/>
        <w:rPr>
          <w:rFonts w:ascii="Times New Roman" w:cs="Times New Roman" w:eastAsia="Times New Roman" w:hAnsi="Times New Roman"/>
          <w:sz w:val="18"/>
          <w:szCs w:val="18"/>
          <w:color w:val="auto"/>
        </w:rPr>
      </w:pPr>
    </w:p>
    <w:p>
      <w:pPr>
        <w:ind w:left="380" w:right="40" w:hanging="372"/>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Jumpstart Our Business Startups Act of 2012, or JOBS Act.</w:t>
      </w:r>
    </w:p>
    <w:p>
      <w:pPr>
        <w:spacing w:after="0" w:line="13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caution you that the foregoing list does not contain all of the forward-looking statements made in this Quarterly Report. 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and elsewhere in this Quarterly Report. Because forward-looking statements are inherently subject to risks and uncertainties, some of which cannot be predicted or quantified and some of which are beyond our control, you should not rely on these forward-looking statements as predictions of future events. Although we believe that we have a reasonable basis for each forward-looking statement contained in this Quarterly Report,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 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60" w:type="dxa"/>
            <w:vAlign w:val="bottom"/>
            <w:gridSpan w:val="3"/>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440" w:type="dxa"/>
            <w:vAlign w:val="bottom"/>
          </w:tcPr>
          <w:p>
            <w:pPr>
              <w:spacing w:after="0"/>
              <w:rPr>
                <w:sz w:val="20"/>
                <w:szCs w:val="20"/>
                <w:color w:val="auto"/>
              </w:rPr>
            </w:pPr>
          </w:p>
        </w:tc>
      </w:tr>
      <w:tr>
        <w:trPr>
          <w:trHeight w:val="432"/>
        </w:trPr>
        <w:tc>
          <w:tcPr>
            <w:tcW w:w="108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440" w:type="dxa"/>
            <w:vAlign w:val="bottom"/>
          </w:tcPr>
          <w:p>
            <w:pPr>
              <w:spacing w:after="0"/>
              <w:rPr>
                <w:sz w:val="24"/>
                <w:szCs w:val="24"/>
                <w:color w:val="auto"/>
              </w:rPr>
            </w:pPr>
          </w:p>
        </w:tc>
      </w:tr>
      <w:tr>
        <w:trPr>
          <w:trHeight w:val="432"/>
        </w:trPr>
        <w:tc>
          <w:tcPr>
            <w:tcW w:w="2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169"/>
        </w:trPr>
        <w:tc>
          <w:tcPr>
            <w:tcW w:w="10800" w:type="dxa"/>
            <w:vAlign w:val="bottom"/>
            <w:gridSpan w:val="6"/>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Condensed Balance Sheets (unaudited)</w:t>
            </w:r>
          </w:p>
        </w:tc>
        <w:tc>
          <w:tcPr>
            <w:tcW w:w="4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28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8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FF"/>
              </w:rPr>
              <w:t>Condensed Statements of Operations and Comprehensive Loss (unaudited)</w:t>
            </w:r>
          </w:p>
        </w:tc>
        <w:tc>
          <w:tcPr>
            <w:tcW w:w="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28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8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Condensed Statements of Stockholders’ Equity (unaudited)</w:t>
            </w:r>
          </w:p>
        </w:tc>
        <w:tc>
          <w:tcPr>
            <w:tcW w:w="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5"/>
        </w:trPr>
        <w:tc>
          <w:tcPr>
            <w:tcW w:w="4280" w:type="dxa"/>
            <w:vAlign w:val="bottom"/>
            <w:tcBorders>
              <w:top w:val="single" w:sz="8" w:color="0000FF"/>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FF"/>
              </w:rPr>
              <w:t>Condensed Statements of Cash Flows (unaudited)</w:t>
            </w:r>
          </w:p>
        </w:tc>
        <w:tc>
          <w:tcPr>
            <w:tcW w:w="6520" w:type="dxa"/>
            <w:vAlign w:val="bottom"/>
            <w:tcBorders>
              <w:top w:val="single" w:sz="8" w:color="CCEEFF"/>
            </w:tcBorders>
            <w:gridSpan w:val="2"/>
          </w:tcPr>
          <w:p>
            <w:pPr>
              <w:spacing w:after="0"/>
              <w:rPr>
                <w:sz w:val="15"/>
                <w:szCs w:val="15"/>
                <w:color w:val="auto"/>
              </w:rPr>
            </w:pPr>
          </w:p>
        </w:tc>
        <w:tc>
          <w:tcPr>
            <w:tcW w:w="4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28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8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Notes To Condensed Financial Statements (unaudited)</w:t>
            </w:r>
          </w:p>
        </w:tc>
        <w:tc>
          <w:tcPr>
            <w:tcW w:w="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608"/>
        </w:trPr>
        <w:tc>
          <w:tcPr>
            <w:tcW w:w="3940" w:type="dxa"/>
            <w:vAlign w:val="bottom"/>
            <w:tcBorders>
              <w:top w:val="single" w:sz="8" w:color="0000FF"/>
            </w:tcBorders>
            <w:gridSpan w:val="3"/>
          </w:tcPr>
          <w:p>
            <w:pPr>
              <w:spacing w:after="0"/>
              <w:rPr>
                <w:sz w:val="24"/>
                <w:szCs w:val="24"/>
                <w:color w:val="auto"/>
              </w:rPr>
            </w:pPr>
          </w:p>
        </w:tc>
        <w:tc>
          <w:tcPr>
            <w:tcW w:w="6860" w:type="dxa"/>
            <w:vAlign w:val="bottom"/>
            <w:tcBorders>
              <w:top w:val="single" w:sz="8" w:color="CCEEFF"/>
            </w:tcBorders>
            <w:gridSpan w:val="3"/>
          </w:tcPr>
          <w:p>
            <w:pPr>
              <w:jc w:val="right"/>
              <w:ind w:right="514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Borders>
              <w:top w:val="single" w:sz="8" w:color="CCEEFF"/>
            </w:tcBorders>
          </w:tcPr>
          <w:p>
            <w:pPr>
              <w:spacing w:after="0"/>
              <w:rPr>
                <w:sz w:val="24"/>
                <w:szCs w:val="24"/>
                <w:color w:val="auto"/>
              </w:rPr>
            </w:pPr>
          </w:p>
        </w:tc>
      </w:tr>
      <w:tr>
        <w:trPr>
          <w:trHeight w:val="763"/>
        </w:trPr>
        <w:tc>
          <w:tcPr>
            <w:tcW w:w="2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9"/>
          <w:szCs w:val="29"/>
          <w:b w:val="1"/>
          <w:bCs w:val="1"/>
          <w:color w:val="auto"/>
        </w:rPr>
        <w:t>Lexeo Therapeutics,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Condensed Balance Sheets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in thousands, except share and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71,768</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63,000</w:t>
            </w: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investments in U.S. Treasury securities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121,275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118,767</w:t>
            </w:r>
          </w:p>
        </w:tc>
      </w:tr>
      <w:tr>
        <w:trPr>
          <w:trHeight w:val="216"/>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7,819</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6,625</w:t>
            </w:r>
          </w:p>
        </w:tc>
      </w:tr>
      <w:tr>
        <w:trPr>
          <w:trHeight w:val="209"/>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200,862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188,392</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portion of investments in U.S. Treasury securities</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34,510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64,801</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3,390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3,390</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3,248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3,248</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1,139</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right-of-use assets - finance</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1,060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1,140</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Lease right-of-use assets - operating</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6,185</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6,578</w:t>
            </w:r>
          </w:p>
        </w:tc>
      </w:tr>
      <w:tr>
        <w:trPr>
          <w:trHeight w:val="250"/>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250,356</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268,688</w:t>
            </w:r>
          </w:p>
        </w:tc>
      </w:tr>
      <w:tr>
        <w:trPr>
          <w:trHeight w:val="197"/>
        </w:trPr>
        <w:tc>
          <w:tcPr>
            <w:tcW w:w="76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3,335</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4,856</w:t>
            </w: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8,159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9,277</w:t>
            </w: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lease liabilities - finance</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518</w:t>
            </w: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lease liabilities - operating</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2,167</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2,157</w:t>
            </w:r>
          </w:p>
        </w:tc>
      </w:tr>
      <w:tr>
        <w:trPr>
          <w:trHeight w:val="210"/>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14,189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16,808</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Non-current portion of lease liabilities - finance</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327</w:t>
            </w: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portion of lease liabilities - operating</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4,472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4,884</w:t>
            </w:r>
          </w:p>
        </w:tc>
      </w:tr>
      <w:tr>
        <w:trPr>
          <w:trHeight w:val="210"/>
        </w:trPr>
        <w:tc>
          <w:tcPr>
            <w:tcW w:w="76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18,859</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22,019</w:t>
            </w:r>
          </w:p>
        </w:tc>
      </w:tr>
      <w:tr>
        <w:trPr>
          <w:trHeight w:val="210"/>
        </w:trPr>
        <w:tc>
          <w:tcPr>
            <w:tcW w:w="7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8"/>
        </w:trPr>
        <w:tc>
          <w:tcPr>
            <w:tcW w:w="76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500,000,000 shares authorized as of March 31, 2026;</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74,087,063 shares issued and 74,086,737 shares outstanding as of March 31, 2026; 500,000,000 shares</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authorized as of December 31, 2025; 73,001,766 shares issued and 73,001,350 shares outstanding as of</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34"/>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at cost, 3,827 common shares as of March 31, 2026 and as of December 31, 2025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631,979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626,625</w:t>
            </w: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(400,330)</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(380,134)</w:t>
            </w:r>
          </w:p>
        </w:tc>
      </w:tr>
      <w:tr>
        <w:trPr>
          <w:trHeight w:val="210"/>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231,497</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246,669</w:t>
            </w:r>
          </w:p>
        </w:tc>
      </w:tr>
      <w:tr>
        <w:trPr>
          <w:trHeight w:val="230"/>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250,356</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268,688</w:t>
            </w:r>
          </w:p>
        </w:tc>
      </w:tr>
      <w:tr>
        <w:trPr>
          <w:trHeight w:val="20"/>
        </w:trPr>
        <w:tc>
          <w:tcPr>
            <w:tcW w:w="76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-4636770</wp:posOffset>
            </wp:positionV>
            <wp:extent cx="111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-3522345</wp:posOffset>
            </wp:positionV>
            <wp:extent cx="111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-3505200</wp:posOffset>
            </wp:positionV>
            <wp:extent cx="111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-1833880</wp:posOffset>
            </wp:positionV>
            <wp:extent cx="111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-316865</wp:posOffset>
            </wp:positionV>
            <wp:extent cx="1111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unaudited condensed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9"/>
          <w:szCs w:val="29"/>
          <w:b w:val="1"/>
          <w:bCs w:val="1"/>
          <w:color w:val="auto"/>
        </w:rPr>
        <w:t>Lexeo Therapeutics,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Condensed Statements of Operations and Comprehensive Loss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4"/>
          </w:tcPr>
          <w:p>
            <w:pPr>
              <w:jc w:val="right"/>
              <w:ind w:right="9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7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15,703</w:t>
            </w: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17,171</w:t>
            </w:r>
          </w:p>
        </w:tc>
      </w:tr>
      <w:tr>
        <w:trPr>
          <w:trHeight w:val="216"/>
        </w:trPr>
        <w:tc>
          <w:tcPr>
            <w:tcW w:w="7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6,630</w:t>
            </w:r>
          </w:p>
        </w:tc>
        <w:tc>
          <w:tcPr>
            <w:tcW w:w="1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16,634</w:t>
            </w:r>
          </w:p>
        </w:tc>
      </w:tr>
      <w:tr>
        <w:trPr>
          <w:trHeight w:val="209"/>
        </w:trPr>
        <w:tc>
          <w:tcPr>
            <w:tcW w:w="7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22,333</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33,805</w:t>
            </w:r>
          </w:p>
        </w:tc>
      </w:tr>
      <w:tr>
        <w:trPr>
          <w:trHeight w:val="210"/>
        </w:trPr>
        <w:tc>
          <w:tcPr>
            <w:tcW w:w="7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(22,333)</w:t>
            </w:r>
          </w:p>
        </w:tc>
        <w:tc>
          <w:tcPr>
            <w:tcW w:w="1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(33,805)</w:t>
            </w:r>
          </w:p>
        </w:tc>
      </w:tr>
      <w:tr>
        <w:trPr>
          <w:trHeight w:val="20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and expense</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2,113</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1,193</w:t>
            </w: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premium) accretion of discount on investments in U.S. Treasury securities, net</w:t>
            </w:r>
          </w:p>
        </w:tc>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9"/>
        </w:trPr>
        <w:tc>
          <w:tcPr>
            <w:tcW w:w="72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other income and expense</w:t>
            </w:r>
          </w:p>
        </w:tc>
        <w:tc>
          <w:tcPr>
            <w:tcW w:w="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2,137</w:t>
            </w:r>
          </w:p>
        </w:tc>
        <w:tc>
          <w:tcPr>
            <w:tcW w:w="1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1,149</w:t>
            </w:r>
          </w:p>
        </w:tc>
      </w:tr>
      <w:tr>
        <w:trPr>
          <w:trHeight w:val="20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 before income taxes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(20,196)</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(32,656)</w:t>
            </w:r>
          </w:p>
        </w:tc>
      </w:tr>
      <w:tr>
        <w:trPr>
          <w:trHeight w:val="216"/>
        </w:trPr>
        <w:tc>
          <w:tcPr>
            <w:tcW w:w="7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(20,196)</w:t>
            </w: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(32,656)</w:t>
            </w:r>
          </w:p>
        </w:tc>
      </w:tr>
      <w:tr>
        <w:trPr>
          <w:trHeight w:val="20"/>
        </w:trPr>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2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gain (loss)</w:t>
            </w: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16"/>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unrealized gain (loss) on investments</w:t>
            </w:r>
          </w:p>
        </w:tc>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r>
      <w:tr>
        <w:trPr>
          <w:trHeight w:val="209"/>
        </w:trPr>
        <w:tc>
          <w:tcPr>
            <w:tcW w:w="7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comprehensive gain (loss)</w:t>
            </w:r>
          </w:p>
        </w:tc>
        <w:tc>
          <w:tcPr>
            <w:tcW w:w="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r>
      <w:tr>
        <w:trPr>
          <w:trHeight w:val="21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(20,526)</w:t>
            </w: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(32,607)</w:t>
            </w:r>
          </w:p>
        </w:tc>
      </w:tr>
      <w:tr>
        <w:trPr>
          <w:trHeight w:val="20"/>
        </w:trPr>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2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440" w:type="dxa"/>
            <w:vAlign w:val="bottom"/>
            <w:gridSpan w:val="2"/>
            <w:shd w:val="clear" w:color="auto" w:fill="CFF0FC"/>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580" w:type="dxa"/>
            <w:vAlign w:val="bottom"/>
            <w:gridSpan w:val="2"/>
            <w:shd w:val="clear" w:color="auto" w:fill="CFF0FC"/>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(0.99)</w:t>
            </w:r>
          </w:p>
        </w:tc>
      </w:tr>
      <w:tr>
        <w:trPr>
          <w:trHeight w:val="198"/>
        </w:trPr>
        <w:tc>
          <w:tcPr>
            <w:tcW w:w="7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outstanding used in computation of net loss per common share,</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81,183,812</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33,113,991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-2588260</wp:posOffset>
            </wp:positionV>
            <wp:extent cx="1028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-2296795</wp:posOffset>
            </wp:positionV>
            <wp:extent cx="1028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-1456690</wp:posOffset>
            </wp:positionV>
            <wp:extent cx="1028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-1173480</wp:posOffset>
            </wp:positionV>
            <wp:extent cx="1028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-582295</wp:posOffset>
            </wp:positionV>
            <wp:extent cx="1028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unaudited condensed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9"/>
          <w:szCs w:val="29"/>
          <w:b w:val="1"/>
          <w:bCs w:val="1"/>
          <w:color w:val="auto"/>
        </w:rPr>
        <w:t>Lexeo Therapeutics,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Condensed Statements of Stockholders’ Equity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in 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820" w:type="dxa"/>
            <w:vAlign w:val="bottom"/>
            <w:gridSpan w:val="3"/>
            <w:vMerge w:val="restart"/>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3740" w:type="dxa"/>
            <w:vAlign w:val="bottom"/>
          </w:tcPr>
          <w:p>
            <w:pPr>
              <w:spacing w:after="0"/>
              <w:rPr>
                <w:sz w:val="13"/>
                <w:szCs w:val="13"/>
                <w:color w:val="auto"/>
              </w:rPr>
            </w:pPr>
          </w:p>
        </w:tc>
        <w:tc>
          <w:tcPr>
            <w:tcW w:w="1820" w:type="dxa"/>
            <w:vAlign w:val="bottom"/>
            <w:tcBorders>
              <w:bottom w:val="single" w:sz="8" w:color="auto"/>
            </w:tcBorders>
            <w:gridSpan w:val="3"/>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left="113"/>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96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tcPr>
          <w:p>
            <w:pPr>
              <w:jc w:val="center"/>
              <w:ind w:left="93"/>
              <w:spacing w:after="0" w:line="142" w:lineRule="exact"/>
              <w:rPr>
                <w:sz w:val="20"/>
                <w:szCs w:val="20"/>
                <w:color w:val="auto"/>
              </w:rPr>
            </w:pPr>
            <w:r>
              <w:rPr>
                <w:rFonts w:ascii="Times New Roman" w:cs="Times New Roman" w:eastAsia="Times New Roman" w:hAnsi="Times New Roman"/>
                <w:sz w:val="13"/>
                <w:szCs w:val="13"/>
                <w:b w:val="1"/>
                <w:bCs w:val="1"/>
                <w:color w:val="auto"/>
              </w:rPr>
              <w:t>Stock</w:t>
            </w:r>
          </w:p>
        </w:tc>
        <w:tc>
          <w:tcPr>
            <w:tcW w:w="1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73"/>
              <w:spacing w:after="0" w:line="142"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13"/>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13"/>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Balances at December 31, 2025</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73,001,350</w:t>
            </w:r>
          </w:p>
        </w:tc>
        <w:tc>
          <w:tcPr>
            <w:tcW w:w="860" w:type="dxa"/>
            <w:vAlign w:val="bottom"/>
            <w:gridSpan w:val="2"/>
            <w:shd w:val="clear" w:color="auto" w:fill="CFF0FC"/>
          </w:tcPr>
          <w:p>
            <w:pPr>
              <w:jc w:val="right"/>
              <w:ind w:right="613"/>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w:t>
            </w:r>
          </w:p>
        </w:tc>
        <w:tc>
          <w:tcPr>
            <w:tcW w:w="840" w:type="dxa"/>
            <w:vAlign w:val="bottom"/>
            <w:gridSpan w:val="2"/>
            <w:shd w:val="clear" w:color="auto" w:fill="CFF0FC"/>
          </w:tcPr>
          <w:p>
            <w:pPr>
              <w:jc w:val="right"/>
              <w:ind w:right="593"/>
              <w:spacing w:after="0" w:line="142"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w w:val="92"/>
              </w:rPr>
              <w:t>(17)</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626,625</w:t>
            </w: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188</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right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(380,134)</w:t>
            </w:r>
          </w:p>
        </w:tc>
        <w:tc>
          <w:tcPr>
            <w:tcW w:w="160" w:type="dxa"/>
            <w:vAlign w:val="bottom"/>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246,669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7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Issuance of common stock upon vesting and settlement of restricted</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stock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163,310</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Issuance of common stock under 2023 ESPP</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52,285</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upon exercise of common warrants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867,302</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7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Amounts reclassified from deposit liabilities upon the vesting of</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early-exercised stock options previously subject to repurchase</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74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Unrealized comprehensive loss on investments in U.S. Treasury</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securities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(330)</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(330)</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(20,196)</w:t>
            </w: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(20,196)</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Balances at March 31, 2026</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74,086,737</w:t>
            </w:r>
          </w:p>
        </w:tc>
        <w:tc>
          <w:tcPr>
            <w:tcW w:w="860" w:type="dxa"/>
            <w:vAlign w:val="bottom"/>
            <w:gridSpan w:val="2"/>
          </w:tcPr>
          <w:p>
            <w:pPr>
              <w:jc w:val="right"/>
              <w:ind w:right="613"/>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w:t>
            </w:r>
          </w:p>
        </w:tc>
        <w:tc>
          <w:tcPr>
            <w:tcW w:w="840" w:type="dxa"/>
            <w:vAlign w:val="bottom"/>
            <w:gridSpan w:val="2"/>
          </w:tcPr>
          <w:p>
            <w:pPr>
              <w:jc w:val="right"/>
              <w:ind w:right="593"/>
              <w:spacing w:after="0" w:line="142"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w w:val="92"/>
              </w:rPr>
              <w:t>(17)</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631,979</w:t>
            </w:r>
          </w:p>
        </w:tc>
        <w:tc>
          <w:tcPr>
            <w:tcW w:w="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(142)</w:t>
            </w:r>
          </w:p>
        </w:tc>
        <w:tc>
          <w:tcPr>
            <w:tcW w:w="160" w:type="dxa"/>
            <w:vAlign w:val="bottom"/>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(400,330)</w:t>
            </w:r>
          </w:p>
        </w:tc>
        <w:tc>
          <w:tcPr>
            <w:tcW w:w="160" w:type="dxa"/>
            <w:vAlign w:val="bottom"/>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231,497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6"/>
        </w:trPr>
        <w:tc>
          <w:tcPr>
            <w:tcW w:w="3740" w:type="dxa"/>
            <w:vAlign w:val="bottom"/>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3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center"/>
              <w:ind w:right="93"/>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820" w:type="dxa"/>
            <w:vAlign w:val="bottom"/>
            <w:gridSpan w:val="3"/>
            <w:vMerge w:val="restart"/>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3740" w:type="dxa"/>
            <w:vAlign w:val="bottom"/>
          </w:tcPr>
          <w:p>
            <w:pPr>
              <w:spacing w:after="0"/>
              <w:rPr>
                <w:sz w:val="13"/>
                <w:szCs w:val="13"/>
                <w:color w:val="auto"/>
              </w:rPr>
            </w:pPr>
          </w:p>
        </w:tc>
        <w:tc>
          <w:tcPr>
            <w:tcW w:w="1820" w:type="dxa"/>
            <w:vAlign w:val="bottom"/>
            <w:tcBorders>
              <w:bottom w:val="single" w:sz="8" w:color="auto"/>
            </w:tcBorders>
            <w:gridSpan w:val="3"/>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left="113"/>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96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tcPr>
          <w:p>
            <w:pPr>
              <w:jc w:val="center"/>
              <w:ind w:left="93"/>
              <w:spacing w:after="0" w:line="142" w:lineRule="exact"/>
              <w:rPr>
                <w:sz w:val="20"/>
                <w:szCs w:val="20"/>
                <w:color w:val="auto"/>
              </w:rPr>
            </w:pPr>
            <w:r>
              <w:rPr>
                <w:rFonts w:ascii="Times New Roman" w:cs="Times New Roman" w:eastAsia="Times New Roman" w:hAnsi="Times New Roman"/>
                <w:sz w:val="13"/>
                <w:szCs w:val="13"/>
                <w:b w:val="1"/>
                <w:bCs w:val="1"/>
                <w:color w:val="auto"/>
              </w:rPr>
              <w:t>Stock</w:t>
            </w:r>
          </w:p>
        </w:tc>
        <w:tc>
          <w:tcPr>
            <w:tcW w:w="1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73"/>
              <w:spacing w:after="0" w:line="142"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13"/>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13"/>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Balances at December 31, 2024</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33,071,261</w:t>
            </w:r>
          </w:p>
        </w:tc>
        <w:tc>
          <w:tcPr>
            <w:tcW w:w="860" w:type="dxa"/>
            <w:vAlign w:val="bottom"/>
            <w:gridSpan w:val="2"/>
            <w:shd w:val="clear" w:color="auto" w:fill="CFF0FC"/>
          </w:tcPr>
          <w:p>
            <w:pPr>
              <w:jc w:val="right"/>
              <w:ind w:right="613"/>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w:t>
            </w:r>
          </w:p>
        </w:tc>
        <w:tc>
          <w:tcPr>
            <w:tcW w:w="840" w:type="dxa"/>
            <w:vAlign w:val="bottom"/>
            <w:gridSpan w:val="2"/>
            <w:shd w:val="clear" w:color="auto" w:fill="CFF0FC"/>
          </w:tcPr>
          <w:p>
            <w:pPr>
              <w:jc w:val="right"/>
              <w:ind w:right="593"/>
              <w:spacing w:after="0" w:line="142"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w w:val="92"/>
              </w:rPr>
              <w:t>(17)</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397,132</w:t>
            </w: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(103)</w:t>
            </w:r>
          </w:p>
        </w:tc>
        <w:tc>
          <w:tcPr>
            <w:tcW w:w="1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right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(280,173)</w:t>
            </w:r>
          </w:p>
        </w:tc>
        <w:tc>
          <w:tcPr>
            <w:tcW w:w="160" w:type="dxa"/>
            <w:vAlign w:val="bottom"/>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116,842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7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Issuance of common stock upon vesting and settlement of restricted</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stock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52,446</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Issuance of common stock under 2023 ESPP</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65,342</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7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Amounts reclassified from deposit liabilities upon the vesting of</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early-exercised stock options previously subject to repurchase</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2,816</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74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Unrealized comprehensive gain on investments in U.S. Treasury</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securities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(32,656)</w:t>
            </w:r>
          </w:p>
        </w:tc>
        <w:tc>
          <w:tcPr>
            <w:tcW w:w="1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(32,656)</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Balances at March 31, 2025</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33,191,865</w:t>
            </w:r>
          </w:p>
        </w:tc>
        <w:tc>
          <w:tcPr>
            <w:tcW w:w="860" w:type="dxa"/>
            <w:vAlign w:val="bottom"/>
            <w:gridSpan w:val="2"/>
          </w:tcPr>
          <w:p>
            <w:pPr>
              <w:jc w:val="right"/>
              <w:ind w:right="613"/>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w:t>
            </w:r>
          </w:p>
        </w:tc>
        <w:tc>
          <w:tcPr>
            <w:tcW w:w="840" w:type="dxa"/>
            <w:vAlign w:val="bottom"/>
            <w:gridSpan w:val="2"/>
          </w:tcPr>
          <w:p>
            <w:pPr>
              <w:jc w:val="right"/>
              <w:ind w:right="593"/>
              <w:spacing w:after="0" w:line="142"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w w:val="92"/>
              </w:rPr>
              <w:t>(17)</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401,012</w:t>
            </w:r>
          </w:p>
        </w:tc>
        <w:tc>
          <w:tcPr>
            <w:tcW w:w="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(54)</w:t>
            </w:r>
          </w:p>
        </w:tc>
        <w:tc>
          <w:tcPr>
            <w:tcW w:w="160" w:type="dxa"/>
            <w:vAlign w:val="bottom"/>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(312,829)</w:t>
            </w:r>
          </w:p>
        </w:tc>
        <w:tc>
          <w:tcPr>
            <w:tcW w:w="160" w:type="dxa"/>
            <w:vAlign w:val="bottom"/>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88,115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-1842135</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-1842135</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-1842135</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-1842135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-1842135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-1842135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-110490</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-110490</wp:posOffset>
            </wp:positionV>
            <wp:extent cx="77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-110490</wp:posOffset>
            </wp:positionV>
            <wp:extent cx="768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-110490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-110490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-110490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9"/>
          <w:szCs w:val="29"/>
          <w:b w:val="1"/>
          <w:bCs w:val="1"/>
          <w:color w:val="auto"/>
        </w:rPr>
        <w:t>Lexeo Therapeutics,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Condensed Statements of Cash Flows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5"/>
                <w:szCs w:val="15"/>
                <w:color w:val="auto"/>
              </w:rPr>
            </w:pPr>
          </w:p>
        </w:tc>
      </w:tr>
      <w:tr>
        <w:trPr>
          <w:trHeight w:val="142"/>
        </w:trPr>
        <w:tc>
          <w:tcPr>
            <w:tcW w:w="7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Pr>
          <w:p>
            <w:pPr>
              <w:spacing w:after="0"/>
              <w:rPr>
                <w:sz w:val="12"/>
                <w:szCs w:val="12"/>
                <w:color w:val="auto"/>
              </w:rPr>
            </w:pPr>
          </w:p>
        </w:tc>
        <w:tc>
          <w:tcPr>
            <w:tcW w:w="11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2"/>
                <w:szCs w:val="12"/>
                <w:color w:val="auto"/>
              </w:rPr>
            </w:pPr>
          </w:p>
        </w:tc>
      </w:tr>
      <w:tr>
        <w:trPr>
          <w:trHeight w:val="19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r>
      <w:tr>
        <w:trPr>
          <w:trHeight w:val="203"/>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gridSpan w:val="2"/>
          </w:tcPr>
          <w:p>
            <w:pPr>
              <w:jc w:val="right"/>
              <w:ind w:right="828"/>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(20,196)</w:t>
            </w:r>
          </w:p>
        </w:tc>
        <w:tc>
          <w:tcPr>
            <w:tcW w:w="116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(32,656)</w:t>
            </w:r>
          </w:p>
        </w:tc>
      </w:tr>
      <w:tr>
        <w:trPr>
          <w:trHeight w:val="203"/>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r>
      <w:tr>
        <w:trPr>
          <w:trHeight w:val="20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Reduction in the carrying amount of ROU assets, operating</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393</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361</w:t>
            </w:r>
          </w:p>
        </w:tc>
      </w:tr>
      <w:tr>
        <w:trPr>
          <w:trHeight w:val="203"/>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Reduction in the carrying amount of ROU assets, finance</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w:t>
            </w:r>
          </w:p>
        </w:tc>
      </w:tr>
      <w:tr>
        <w:trPr>
          <w:trHeight w:val="20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2,755</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3,697</w:t>
            </w:r>
          </w:p>
        </w:tc>
      </w:tr>
      <w:tr>
        <w:trPr>
          <w:trHeight w:val="203"/>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r>
      <w:tr>
        <w:trPr>
          <w:trHeight w:val="20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premium (accretion of discount) on investments in U.S. Treasury securities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r>
      <w:tr>
        <w:trPr>
          <w:trHeight w:val="203"/>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r>
      <w:tr>
        <w:trPr>
          <w:trHeight w:val="203"/>
        </w:trPr>
        <w:tc>
          <w:tcPr>
            <w:tcW w:w="7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r>
      <w:tr>
        <w:trPr>
          <w:trHeight w:val="203"/>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5,143</w:t>
            </w:r>
          </w:p>
        </w:tc>
      </w:tr>
      <w:tr>
        <w:trPr>
          <w:trHeight w:val="203"/>
        </w:trPr>
        <w:tc>
          <w:tcPr>
            <w:tcW w:w="7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2,315</w:t>
            </w:r>
          </w:p>
        </w:tc>
      </w:tr>
      <w:tr>
        <w:trPr>
          <w:trHeight w:val="203"/>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Lease liabilities, operating</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w:t>
            </w:r>
          </w:p>
        </w:tc>
      </w:tr>
      <w:tr>
        <w:trPr>
          <w:trHeight w:val="203"/>
        </w:trPr>
        <w:tc>
          <w:tcPr>
            <w:tcW w:w="7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Lease liabilities, finance</w:t>
            </w:r>
          </w:p>
        </w:tc>
        <w:tc>
          <w:tcPr>
            <w:tcW w:w="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196"/>
        </w:trPr>
        <w:tc>
          <w:tcPr>
            <w:tcW w:w="7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(21,144)</w:t>
            </w:r>
          </w:p>
        </w:tc>
        <w:tc>
          <w:tcPr>
            <w:tcW w:w="1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(21,716)</w:t>
            </w:r>
          </w:p>
        </w:tc>
      </w:tr>
      <w:tr>
        <w:trPr>
          <w:trHeight w:val="196"/>
        </w:trPr>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sales or maturities of investments</w:t>
            </w:r>
          </w:p>
        </w:tc>
        <w:tc>
          <w:tcPr>
            <w:tcW w:w="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27,495</w:t>
            </w:r>
          </w:p>
        </w:tc>
        <w:tc>
          <w:tcPr>
            <w:tcW w:w="1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15,600</w:t>
            </w:r>
          </w:p>
        </w:tc>
      </w:tr>
      <w:tr>
        <w:trPr>
          <w:trHeight w:val="196"/>
        </w:trPr>
        <w:tc>
          <w:tcPr>
            <w:tcW w:w="7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27,460</w:t>
            </w:r>
          </w:p>
        </w:tc>
        <w:tc>
          <w:tcPr>
            <w:tcW w:w="1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15,600</w:t>
            </w:r>
          </w:p>
        </w:tc>
      </w:tr>
      <w:tr>
        <w:trPr>
          <w:trHeight w:val="196"/>
        </w:trPr>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2"/>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exercise of common warrants</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2,446</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03"/>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common stock issuances under 2023 ESPP</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143</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170</w:t>
            </w:r>
          </w:p>
        </w:tc>
      </w:tr>
      <w:tr>
        <w:trPr>
          <w:trHeight w:val="203"/>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Third-party commissions and offering costs incurred upon October 2025 Financing Transactions</w:t>
            </w:r>
          </w:p>
        </w:tc>
        <w:tc>
          <w:tcPr>
            <w:tcW w:w="1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2,452</w:t>
            </w:r>
          </w:p>
        </w:tc>
        <w:tc>
          <w:tcPr>
            <w:tcW w:w="1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r>
      <w:tr>
        <w:trPr>
          <w:trHeight w:val="19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8,768</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(6,105)</w:t>
            </w:r>
          </w:p>
        </w:tc>
      </w:tr>
      <w:tr>
        <w:trPr>
          <w:trHeight w:val="203"/>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66,248</w:t>
            </w:r>
          </w:p>
        </w:tc>
        <w:tc>
          <w:tcPr>
            <w:tcW w:w="1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38,266</w:t>
            </w:r>
          </w:p>
        </w:tc>
      </w:tr>
      <w:tr>
        <w:trPr>
          <w:trHeight w:val="23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10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75,016</w:t>
            </w:r>
          </w:p>
        </w:tc>
        <w:tc>
          <w:tcPr>
            <w:tcW w:w="116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32,161</w:t>
            </w:r>
          </w:p>
        </w:tc>
      </w:tr>
      <w:tr>
        <w:trPr>
          <w:trHeight w:val="183"/>
        </w:trPr>
        <w:tc>
          <w:tcPr>
            <w:tcW w:w="7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120" w:type="dxa"/>
            <w:vAlign w:val="bottom"/>
            <w:tcBorders>
              <w:top w:val="single" w:sz="8" w:color="CFF0FC"/>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r>
      <w:tr>
        <w:trPr>
          <w:trHeight w:val="203"/>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gain (loss) on investments</w:t>
            </w:r>
          </w:p>
        </w:tc>
        <w:tc>
          <w:tcPr>
            <w:tcW w:w="110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16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r>
      <w:tr>
        <w:trPr>
          <w:trHeight w:val="189"/>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Amounts reclassified from deposit liabilities upon the vesting of early-exercised stock options previously subject to</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3"/>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repurchase</w:t>
            </w:r>
          </w:p>
        </w:tc>
        <w:tc>
          <w:tcPr>
            <w:tcW w:w="1100" w:type="dxa"/>
            <w:vAlign w:val="bottom"/>
            <w:gridSpan w:val="2"/>
          </w:tcPr>
          <w:p>
            <w:pPr>
              <w:jc w:val="right"/>
              <w:ind w:right="828"/>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16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r>
      <w:tr>
        <w:trPr>
          <w:trHeight w:val="205"/>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Unpaid offering costs included in accounts payable and accrued expenses</w:t>
            </w:r>
          </w:p>
        </w:tc>
        <w:tc>
          <w:tcPr>
            <w:tcW w:w="110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w:t>
            </w:r>
          </w:p>
        </w:tc>
        <w:tc>
          <w:tcPr>
            <w:tcW w:w="116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478</w:t>
            </w:r>
          </w:p>
        </w:tc>
      </w:tr>
      <w:tr>
        <w:trPr>
          <w:trHeight w:val="189"/>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purchased in the prior period and paid in the current period, net of property and equipment</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0"/>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purchased in the current period included in accounts payable</w:t>
            </w:r>
          </w:p>
        </w:tc>
        <w:tc>
          <w:tcPr>
            <w:tcW w:w="1100" w:type="dxa"/>
            <w:vAlign w:val="bottom"/>
            <w:gridSpan w:val="2"/>
          </w:tcPr>
          <w:p>
            <w:pPr>
              <w:jc w:val="right"/>
              <w:ind w:right="828"/>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-2773045</wp:posOffset>
            </wp:positionV>
            <wp:extent cx="1111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-2241550</wp:posOffset>
            </wp:positionV>
            <wp:extent cx="1111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-1461770</wp:posOffset>
            </wp:positionV>
            <wp:extent cx="1111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-921385</wp:posOffset>
            </wp:positionV>
            <wp:extent cx="1111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-904240</wp:posOffset>
            </wp:positionV>
            <wp:extent cx="1111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unaudited condensed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Lexeo Therapeutics, Inc.</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Condensed Financial Statements</w:t>
      </w:r>
    </w:p>
    <w:p>
      <w:pPr>
        <w:spacing w:after="0"/>
        <w:rPr>
          <w:sz w:val="20"/>
          <w:szCs w:val="20"/>
          <w:color w:val="auto"/>
        </w:rPr>
      </w:pPr>
      <w:r>
        <w:rPr>
          <w:rFonts w:ascii="Times New Roman" w:cs="Times New Roman" w:eastAsia="Times New Roman" w:hAnsi="Times New Roman"/>
          <w:sz w:val="18"/>
          <w:szCs w:val="18"/>
          <w:i w:val="1"/>
          <w:iCs w:val="1"/>
          <w:color w:val="auto"/>
        </w:rPr>
        <w:t>(Unaudited, table amounts in thousands, except share, per share, year, and percentage amounts)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Description of Business and Basis of Presentation</w:t>
      </w:r>
    </w:p>
    <w:p>
      <w:pPr>
        <w:spacing w:after="0" w:line="18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Description of Business</w:t>
      </w:r>
      <w:r>
        <w:rPr>
          <w:rFonts w:ascii="Times New Roman" w:cs="Times New Roman" w:eastAsia="Times New Roman" w:hAnsi="Times New Roman"/>
          <w:sz w:val="18"/>
          <w:szCs w:val="18"/>
          <w:color w:val="auto"/>
        </w:rPr>
        <w:t>—Lexeo Therapeutics, Inc. (the “Company”) is a clinical stage genetic medicine company dedicated to pioneering novel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treatments for cardiovascular disease. The Company utilizes adeno-associated viruses (“AAV”) that have been engineered to transfer genes to patients. The Company’s therapeutic investigational treatments include AAV-based gene therapies primarily in the clinical and late pre-clinical stages of research and development.</w:t>
      </w:r>
    </w:p>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is located in New York, NY and was first formed on February 17, 2017, as an LLC under the laws of the State of Delaware under the legal name Lexeo Therapeutics, LLC. The Company filed and executed a certificate of conversion to a corporation on November 20, 2020, to convert the LLC to Lexeo Therapeutics, Inc., a Delaware corporation. All of the Company’s tangible assets are held in the United States (“U.S.”).</w:t>
      </w:r>
    </w:p>
    <w:p>
      <w:pPr>
        <w:spacing w:after="0" w:line="13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r>
        <w:rPr>
          <w:rFonts w:ascii="Times New Roman" w:cs="Times New Roman" w:eastAsia="Times New Roman" w:hAnsi="Times New Roman"/>
          <w:sz w:val="18"/>
          <w:szCs w:val="18"/>
          <w:color w:val="auto"/>
        </w:rPr>
        <w:t>—The Company’s fiscal year ends on December 31, and its fiscal quarters end on March 31,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 and September 30.</w:t>
      </w:r>
    </w:p>
    <w:p>
      <w:pPr>
        <w:spacing w:after="0" w:line="1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These unaudited condensed financial statements and these notes reflect the operations of the Company have been prepared in conformity with generally accepted accounting principles in the United States of America (“GAAP”) for interim financial information. Accordingly, they do not include all of the information and disclosures required by GAAP for complete financial statements. These unaudited condensed financial statements and accompanying notes should be read in conjunction with the Company’s audited financial statements and notes thereto for the year ended December 31, 2025 (the “Annual Financial Statements”) included in the Company's Annual Report on Form 10-K, filed with the United States Securities and Exchange Commission on March 30, 2026. The unaudited condensed balance sheet at December 31, 2025 has been derived from the audited financial statements at that date. In the opinion of management, all adjustments (consisting of normal recurring adjustments) considered necessary to present fairly the financial position of the Company and its results of operations and cash flows for the periods presented have been included. Operating results for the three months ended March 31, 2026 are not necessarily indicative of the results that may be expected for the year ending December 31, 2026, for any other interim period, or for any other future year.</w:t>
      </w:r>
    </w:p>
    <w:p>
      <w:pPr>
        <w:spacing w:after="0" w:line="154"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Any reference in these notes to applicable guidance is meant to refer to the authoritative GAAP as found in the Accounting Standards Codification (“ASC”) and Accounting Standards Updates (“ASU”) of the Financial Accounting Standards Board (“FASB”). The Company has no unconsolidated subsidiaries. Certain prior period balances have been reclassified to conform to the current period presentation.</w:t>
      </w:r>
    </w:p>
    <w:p>
      <w:pPr>
        <w:spacing w:after="0" w:line="1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color w:val="auto"/>
        </w:rPr>
        <w:t>Need for Additional Capital</w:t>
      </w:r>
      <w:r>
        <w:rPr>
          <w:rFonts w:ascii="Times New Roman" w:cs="Times New Roman" w:eastAsia="Times New Roman" w:hAnsi="Times New Roman"/>
          <w:sz w:val="18"/>
          <w:szCs w:val="18"/>
          <w:color w:val="auto"/>
        </w:rPr>
        <w:t>—Since inception, the Company has incurred net losses and negative cash flows from operations, including net losses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 million and $100.0 million during the three months ended March 31, 2026 and the year ended December 31, 2025, respectively. As of March 31, 2026, the Company had cash, cash equivalents, and investments in U.S. Treasury Securities of $227.6 million and an accumulated deficit of $400.3 million and expects to incur substantial operating losses and negative cash flows from operations for the foreseeable future. During the year ended December 31, 2025, the Company received total net proceeds of approximately $73.1 million after deducting approximately $6.9 million of commissions and offering expenses in the May 2025 Private Placement (as defined below) (see Note 8), as well as net proceeds of approximately $143.9 million after deducting approximately $9.8 million of underwriter commissions, placement agent fees and estimated offering expenses in the October 2025 Financing Transactions (as defined below) (see Note 8). In April 2026, the Company sold 4,424,778 shares of its common stock under the ATM Program pursuant to the Sales Agreement with Leerink (each as defined below) at a volume-weighted average price of $5.65 per share, and received gross and net proceeds of $25.0 million and approximately $23.6 million, respectively, after deducting approximately $0.8 million of fees paid to Leerink and $0.6 million of other third-party offering costs (see Note 8 and Note 14). Management estimates that the Company's current cash, cash equivalents, and investments in U.S. Treasury securities balances are sufficient to fund its operations for at least 12 months from the issuance date of these financial statements.</w:t>
      </w:r>
    </w:p>
    <w:p>
      <w:pPr>
        <w:spacing w:after="0" w:line="16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the Company is unable to obtain additional funding before achieving sufficient profitability and positive cash flows from operations, if ever, the Company will be forced to delay, reduce or eliminate some or all of its research and development programs, which could adversely affect its business prospects, or the Company may be unable to continue operations. Although management continues to pursue plans to obtain additional funding before achieving sufficient profitability and positive cash flows from operations, there is no assurance that the Company will be successful in obtaining sufficient funding on terms acceptable to the Company to fund continuing operations, if at all.</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0" w:name="page11"/>
    <w:bookmarkEnd w:id="10"/>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Risks and Uncertainties</w:t>
      </w:r>
      <w:r>
        <w:rPr>
          <w:rFonts w:ascii="Times New Roman" w:cs="Times New Roman" w:eastAsia="Times New Roman" w:hAnsi="Times New Roman"/>
          <w:sz w:val="18"/>
          <w:szCs w:val="18"/>
          <w:color w:val="auto"/>
        </w:rPr>
        <w:t>—The Company is subject to risks and uncertainties common to early-stage companies in the biopharmaceutical industry,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ability to secure additional capital to fund operations, and commercial success of its product candidates. Any of the Company’s current product candidates and future product candidates that it may develop will require extensive non-clinical and clinical testing and regulatory approval prior to commercialization. These efforts require significant amounts of additional capital, adequate personnel, infrastructure, and extensive compliance- reporting capabilities. Even if the Company’s product development efforts are successful, it is uncertain when, if ever, the Company will realize significant revenue from product sales.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Summary of Significant Accounting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in the Company’s accounting policies from those disclosed in its Annual Financial Statements.</w:t>
      </w:r>
    </w:p>
    <w:p>
      <w:pPr>
        <w:spacing w:after="0" w:line="1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the financial statements in accordance with U.S. GAAP requires management to make estimates and assumptions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affect the reported amounts of assets and liabilities and disclosure of contingent assets and liabilities at the date of the financial statements, and the reported amounts of income and expense during the reporting period. The most significant estimates relate to the accruals of research and development costs, including accruals of research contract costs, and assumptions used to estimate the fair value of the Company’s stock option awards. 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financial statements; therefore, actual results could differ from those estimates.</w:t>
      </w:r>
    </w:p>
    <w:p>
      <w:pPr>
        <w:spacing w:after="0" w:line="1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Net Loss per Share—</w:t>
      </w:r>
      <w:r>
        <w:rPr>
          <w:rFonts w:ascii="Times New Roman" w:cs="Times New Roman" w:eastAsia="Times New Roman" w:hAnsi="Times New Roman"/>
          <w:sz w:val="18"/>
          <w:szCs w:val="18"/>
          <w:color w:val="auto"/>
        </w:rPr>
        <w:t>The Company follows the two-class method when computing net income (loss) as the Company has issued shares that meet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definition of participating securities. The two-class method determines net income (loss) per common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receive dividends as if all income for the period had been distributed. The Company considers the shares issued upon the early exercise of stock options that are subject to repurchase to be participating securities because holders of such shares have non-forfeitable dividend rights in the event a dividend is paid on common stock. There is no allocation required under the two-class method during periods of loss since the participating securities do not have a contractual obligation to share in the losses of the Company.</w:t>
      </w:r>
    </w:p>
    <w:p>
      <w:pPr>
        <w:spacing w:after="0" w:line="1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Basic net income (loss) per common share is computed by dividing the net income (loss) per common share by the weighted-average number of common shares and pre-funded warrants to purchase shares of common stock outstanding for the period. In accordance with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the pre-funded warrants are included in the computation of basic net loss per share because the exercise price is negligible and they are fully vested and exercisable at any time after the original issuance date. Diluted net income (loss) per common share is computed by adjusting net income (loss) to reallocate undistributed earnings based on the potential impact of dilutive securities. Diluted net loss per common share is computed by dividing the diluted net loss by the weighted-average number of common shares outstanding for the period, including potential dilutive common shares.</w:t>
      </w:r>
    </w:p>
    <w:p>
      <w:pPr>
        <w:spacing w:after="0" w:line="14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periods in which the Company reported a net loss, diluted net loss per common share was the same as basic net loss per common share since dilutive common shares were not assumed to have been issued if their effect was anti-dilutive. During the three months ended March 31, 2026 and March 31, 2025, 20,859,412 and 5,445,060 total potential common shares, respectively, related to the exercise of outstanding stock options, settlement of outstanding restricted stock units ("RSUs"), settlement of outstanding RSUs that vest upon the achievement of certain performance conditions ("PRSUs"), and exercise of outstanding warrants, were excluded from the computation of diluted net loss per common share because including them would have had an anti-dilutive effect as the Company reported net losses for those periods.</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11" w:name="page12"/>
    <w:bookmarkEnd w:id="11"/>
    <w:p>
      <w:pPr>
        <w:spacing w:after="0" w:line="252" w:lineRule="auto"/>
        <w:rPr>
          <w:sz w:val="20"/>
          <w:szCs w:val="20"/>
          <w:color w:val="auto"/>
        </w:rPr>
      </w:pPr>
      <w:r>
        <w:rPr>
          <w:rFonts w:ascii="Times New Roman" w:cs="Times New Roman" w:eastAsia="Times New Roman" w:hAnsi="Times New Roman"/>
          <w:sz w:val="18"/>
          <w:szCs w:val="18"/>
          <w:b w:val="1"/>
          <w:bCs w:val="1"/>
          <w:color w:val="auto"/>
        </w:rPr>
        <w:t>Stock Based Compensation Expense—</w:t>
      </w:r>
      <w:r>
        <w:rPr>
          <w:rFonts w:ascii="Times New Roman" w:cs="Times New Roman" w:eastAsia="Times New Roman" w:hAnsi="Times New Roman"/>
          <w:sz w:val="18"/>
          <w:szCs w:val="18"/>
          <w:color w:val="auto"/>
        </w:rPr>
        <w:t>The Company accounts for stock-based payment awards granted to employees and non-employees, as well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issued to its employees under the Company's 2023 Employee Stock Purchase Plan (the "2023 ESPP"), as stock-based compensation expense at fair value. The Company issues stock-based awards to employees and non-employees in the form of stock options and also issues stock-based awards to employees in the form of RSUs and PRSUs. The measurement date for employee stock option, RSU, and PRSU awards is the date of grant, and stock-based compensation costs for employee non-performance awards are recognized as expense over the employees’ requisite service period, which is the vesting period, on a graded basis. Compensation expense for equity awards with performance conditions, including PRSUs, is recognized if and when the Company concludes that it is probable that the performance conditions will be achieved. The Company reassesses the probability of vesting at each reporting period for equity awards with such performance conditions and adjusts compensation expense based on its probability assessment. The measurement date for non-employee awards is the date of grant without changes in the fair value of the award, and stock-based compensation costs for non-employees are recognized as expense over the vesting period on a graded basis. The measurement date for shares issued under the 2023 ESPP is the first date of each employee stock purchase plan offering period, and stock-based compensation costs are recognized as expense over the offering period on a straight-line basis. Stock-based compensation expense for all equity awards is classified in the accompanying statement of operations based on the function to which the related services are provided. As the Company is permitted to repurchase shares legally issued for unvested stock options exercised at their exercise price under the Company's 2021 Equity Incentive Plan (the "2021 Plan"), (i) cash received for unvested stock options exercised under the 2021 Plan is recorded as a deposit liability as a reclassification from additional paid-in capital in the Company’s balance sheet, which is relieved to additional paid-in capital as such awards vest, (ii) stock based compensation expense is recognized over the requisite service period for each such award, and (iii) the amount and number of shares of common stock outstanding in the Company’s balance sheet and statement of stockholders’ equity are reduced until such awards vest. Forfeitures are recorded as they occur.</w:t>
      </w:r>
    </w:p>
    <w:p>
      <w:pPr>
        <w:spacing w:after="0" w:line="16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fair value of each stock option grant under the 2021 Plan and the Company's 2023 Equity Incentive Plan (the "2023 Plan", and together with the 2021 Plan, the “Plans”), and shares issued under the 2023 ESPP, are estimated on the date of stock option grant or on the first date of each employee stock purchase plan offering period, respectively, using the Black-Scholes option-pricing model, while the fair value of each RSU and PRSU granted under the 2023 Plan is equal to the closing price of the Company's common stock on the date of the grant. Prior to its initial public offering ("IPO") on November 3, 2023, the Company was a private company and lacked company-specific historical and implied volatility information for stock options granted. Therefore, the Company estimated its expected stock volatility entirely based on the historical volatility of a publicly traded set of peer companies for stock options granted prior to its IPO, and estimates its expected stock price volatility primarily based on the historical volatility of a publicly traded set of peer companies for stock options granted since its IPO, each for a period equal to the expected life of the stock options granted, and expects to continue to do so until such time as it has adequate historical data regarding the volatility of its own traded stock price. The expected term of the Company’s stock options granted has been determined utilizing the “simplified” method for awards that qualify as “plain-vanilla” options and expects to continue to do so until such time as it has adequate historical data regarding the expected term of its own stock options. The risk-free interest rate is determined by reference to the U.S. Treasury yield curve in effect at the time of grant of the award for time periods approximately equal to the expected term of the award. The expected dividend yield is zero as the Company has never paid cash dividends on its common stock and does not expect to pay any cash dividends in the foreseeable future.</w:t>
      </w:r>
    </w:p>
    <w:p>
      <w:pPr>
        <w:spacing w:after="0" w:line="15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Long-term Investment</w:t>
      </w:r>
      <w:r>
        <w:rPr>
          <w:rFonts w:ascii="Times New Roman" w:cs="Times New Roman" w:eastAsia="Times New Roman" w:hAnsi="Times New Roman"/>
          <w:sz w:val="18"/>
          <w:szCs w:val="18"/>
          <w:color w:val="auto"/>
        </w:rPr>
        <w:t>—The Company accounts for its long-term investment in nonredeemable convertible preferred stock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provisions of ASC Topic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and elected to use the measurement alternative therein. The fair value of the nonredeemable convertible preferred stock received was based upon an observable price of cash paid for an identical security in an orderly transaction with a third-party and was capitalized as a long-term investment in the Company's balance sheet and recorded as an unrealized gain to other non-operating income in the Company's statement of operations and comprehensive loss. The long-term investment will be remeasured upon future observable price change(s) in orderly transaction(s) or upon impairment, if any.</w:t>
      </w:r>
    </w:p>
    <w:p>
      <w:pPr>
        <w:spacing w:after="0" w:line="14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Concentrations of Credit Risk</w:t>
      </w:r>
      <w:r>
        <w:rPr>
          <w:rFonts w:ascii="Times New Roman" w:cs="Times New Roman" w:eastAsia="Times New Roman" w:hAnsi="Times New Roman"/>
          <w:sz w:val="18"/>
          <w:szCs w:val="18"/>
          <w:color w:val="auto"/>
        </w:rPr>
        <w:t>—Financial instruments that potentially subject the Company to concentrations of credit risk consist primarily of cash,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restricted cash, and investments. The Company’s cash and restricted cash balances exceed Federal Deposit Insurance Corporation insurance limits. The Company’s cash equivalents consist of investments in U.S. government money market funds, and the Company's cash investments consist of U.S. Treasury securities. The Company’s cash, cash equivalents, and restricted cash are held with large financial institutions that management believes to be of high credit quality. To date, the Company has not recognized any losses caused by uninsured balances.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3. Fair Value Measurements</w:t>
      </w:r>
    </w:p>
    <w:p>
      <w:pPr>
        <w:spacing w:after="0" w:line="1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three levels of inputs that may be used to measure fair value are as follows:</w:t>
      </w:r>
    </w:p>
    <w:p>
      <w:pPr>
        <w:spacing w:after="0" w:line="119" w:lineRule="exact"/>
        <w:rPr>
          <w:sz w:val="20"/>
          <w:szCs w:val="20"/>
          <w:color w:val="auto"/>
        </w:rPr>
      </w:pPr>
    </w:p>
    <w:p>
      <w:pPr>
        <w:ind w:right="780"/>
        <w:spacing w:after="0" w:line="284" w:lineRule="auto"/>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—Inputs are quoted prices (unadjusted) in active markets for identical assets or liabilities that the Company has the ability to access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118"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are observable, unadjusted quoted prices in active markets for similar assets or liabilities, unadjusted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other inputs that are observable or can be corroborated by observable market data for substantially the full term of the related assets or liabilities.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—Inputs are unobservable inputs for the asset or liability.</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cash equivalents consist of investments in U.S. government money market funds stated at carrying value, which approximates fair value and is based on quoted prices in active markets for identical securities. Cash is stated at carrying value, which approximates fair value due to its short-term nature. The Company classifies its investments in U.S. Treasury securities as Level 2 assets as these assets are not traded in an active market and have been valued through a third-party pricing service based on quoted prices for similar assets. The carrying values of the Company’s prepaid expenses, other current assets, accounts payable and accrued expenses approximate their fair values due to their short-term nature.</w:t>
      </w:r>
    </w:p>
    <w:p>
      <w:pPr>
        <w:spacing w:after="0" w:line="1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investments measured at fair value on a recurring basis and indicates the level of the fair value hierarchy utilized to determine such fair values: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2"/>
                <w:szCs w:val="12"/>
                <w:color w:val="auto"/>
              </w:rPr>
            </w:pPr>
          </w:p>
        </w:tc>
        <w:tc>
          <w:tcPr>
            <w:tcW w:w="102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09"/>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 (money market)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48,820</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48,820</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Current portion of investments in U.S. Treasury securities</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121,275</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121,275</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Non-current portion of investments in U.S. Treasury securities</w:t>
            </w: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34,510</w:t>
            </w:r>
          </w:p>
        </w:tc>
        <w:tc>
          <w:tcPr>
            <w:tcW w:w="2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4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48,820</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155,785</w:t>
            </w:r>
          </w:p>
        </w:tc>
        <w:tc>
          <w:tcPr>
            <w:tcW w:w="130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204,605</w:t>
            </w:r>
          </w:p>
        </w:tc>
        <w:tc>
          <w:tcPr>
            <w:tcW w:w="100" w:type="dxa"/>
            <w:vAlign w:val="bottom"/>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5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2"/>
                <w:szCs w:val="12"/>
                <w:color w:val="auto"/>
              </w:rPr>
            </w:pPr>
          </w:p>
        </w:tc>
        <w:tc>
          <w:tcPr>
            <w:tcW w:w="102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 (money market)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40,178</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40,178</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Current portion of investments in U.S. Treasury securities</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118,767</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118,767</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Non-current portion of investments in U.S. Treasury securities</w:t>
            </w: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64,801</w:t>
            </w:r>
          </w:p>
        </w:tc>
        <w:tc>
          <w:tcPr>
            <w:tcW w:w="2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4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40,178</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183,568</w:t>
            </w:r>
          </w:p>
        </w:tc>
        <w:tc>
          <w:tcPr>
            <w:tcW w:w="130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223,746</w:t>
            </w:r>
          </w:p>
        </w:tc>
        <w:tc>
          <w:tcPr>
            <w:tcW w:w="100" w:type="dxa"/>
            <w:vAlign w:val="bottom"/>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-1370965</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-1370965</wp:posOffset>
            </wp:positionV>
            <wp:extent cx="768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-1370965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-170815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-170815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-170815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Investments in U.S. Treasury securities, which are classified as available-for-sale securities, consisted of the following as of March 31, 2026 and December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120" w:type="dxa"/>
            <w:vAlign w:val="bottom"/>
            <w:tcBorders>
              <w:bottom w:val="single" w:sz="8" w:color="auto"/>
            </w:tcBorders>
            <w:gridSpan w:val="5"/>
          </w:tcPr>
          <w:p>
            <w:pPr>
              <w:ind w:left="118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3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 Basis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340" w:type="dxa"/>
            <w:vAlign w:val="bottom"/>
          </w:tcPr>
          <w:p>
            <w:pPr>
              <w:spacing w:after="0"/>
              <w:rPr>
                <w:sz w:val="12"/>
                <w:szCs w:val="12"/>
                <w:color w:val="auto"/>
              </w:rPr>
            </w:pPr>
          </w:p>
        </w:tc>
        <w:tc>
          <w:tcPr>
            <w:tcW w:w="1560" w:type="dxa"/>
            <w:vAlign w:val="bottom"/>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r>
      <w:tr>
        <w:trPr>
          <w:trHeight w:val="210"/>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8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155,927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(142)</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155,785</w:t>
            </w:r>
          </w:p>
        </w:tc>
        <w:tc>
          <w:tcPr>
            <w:tcW w:w="120" w:type="dxa"/>
            <w:vAlign w:val="bottom"/>
          </w:tcPr>
          <w:p>
            <w:pPr>
              <w:spacing w:after="0"/>
              <w:rPr>
                <w:sz w:val="18"/>
                <w:szCs w:val="18"/>
                <w:color w:val="auto"/>
              </w:rPr>
            </w:pPr>
          </w:p>
        </w:tc>
      </w:tr>
      <w:tr>
        <w:trPr>
          <w:trHeight w:val="250"/>
        </w:trPr>
        <w:tc>
          <w:tcPr>
            <w:tcW w:w="28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155,927</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w w:val="87"/>
              </w:rPr>
              <w:t>(142)</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155,785</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588"/>
        </w:trPr>
        <w:tc>
          <w:tcPr>
            <w:tcW w:w="2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jc w:val="right"/>
              <w:ind w:right="1097"/>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2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-908050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-890905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-1054100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-908050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-890905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-1054100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-908050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-890905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-1054100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-908050</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-890905</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-1054100</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3"/>
          </w:tcPr>
          <w:p>
            <w:pPr>
              <w:jc w:val="right"/>
              <w:ind w:right="1019"/>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 Basis</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40" w:type="dxa"/>
            <w:vAlign w:val="bottom"/>
          </w:tcPr>
          <w:p>
            <w:pPr>
              <w:spacing w:after="0"/>
              <w:rPr>
                <w:sz w:val="12"/>
                <w:szCs w:val="12"/>
                <w:color w:val="auto"/>
              </w:rPr>
            </w:pPr>
          </w:p>
        </w:tc>
        <w:tc>
          <w:tcPr>
            <w:tcW w:w="1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1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183,380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0" w:type="dxa"/>
            <w:vAlign w:val="bottom"/>
            <w:gridSpan w:val="2"/>
            <w:shd w:val="clear" w:color="auto" w:fill="CFF0FC"/>
          </w:tcPr>
          <w:p>
            <w:pPr>
              <w:jc w:val="right"/>
              <w:ind w:right="157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183,380</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Pr>
          <w:p>
            <w:pPr>
              <w:spacing w:after="0"/>
              <w:rPr>
                <w:sz w:val="18"/>
                <w:szCs w:val="18"/>
                <w:color w:val="auto"/>
              </w:rPr>
            </w:pPr>
          </w:p>
        </w:tc>
        <w:tc>
          <w:tcPr>
            <w:tcW w:w="1760" w:type="dxa"/>
            <w:vAlign w:val="bottom"/>
            <w:tcBorders>
              <w:top w:val="single" w:sz="8" w:color="auto"/>
              <w:bottom w:val="single" w:sz="8" w:color="auto"/>
            </w:tcBorders>
          </w:tcPr>
          <w:p>
            <w:pPr>
              <w:jc w:val="right"/>
              <w:ind w:right="157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investments in U.S. Treasury securities classified as available-for-sale securities held as of March 31, 2026 and December 31, 2025 had contractual maturities of less than one year for the current portion of investments in U.S. Treasury securities and between one to two years for the non-current portion of investments in U.S. Treasury securities. There have been no material realized gains or losses on investments classified as available-for-sale securities for the periods presented.</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Property and Equipment</w:t>
      </w:r>
    </w:p>
    <w:p>
      <w:pPr>
        <w:spacing w:after="0" w:line="17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is the summary of the Company’s property and equipment and related accumulated depreciation as of March 31, 2026 and December 31, 2025:</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209"/>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18"/>
                <w:szCs w:val="18"/>
                <w:color w:val="auto"/>
              </w:rPr>
            </w:pPr>
          </w:p>
        </w:tc>
      </w:tr>
      <w:tr>
        <w:trPr>
          <w:trHeight w:val="216"/>
        </w:trPr>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(741)</w:t>
            </w:r>
          </w:p>
        </w:tc>
      </w:tr>
      <w:tr>
        <w:trPr>
          <w:trHeight w:val="20"/>
        </w:trPr>
        <w:tc>
          <w:tcPr>
            <w:tcW w:w="592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-453390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Long-term Investment</w:t>
      </w:r>
    </w:p>
    <w:p>
      <w:pPr>
        <w:spacing w:after="0" w:line="17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June 2025, the Company entered into a collaboration and license agreement (the "June 2025 CLA") and a preferred stock purchase agreement (the "June 2025 Preferred Stock Purchase Agreement") with Tilia Therapeutics, Inc., now known as Myoventive, Inc., a privately-held Delaware corporation (the "Investee"), to develop therapies for genetic cardiac diseases utilizing a novel non-viral RNA platform. In exchange for access to certain of the Company's expertise in developing cardiac genetic medicines, certain existing preclinical intellectual property, and technology contributed under the terms of the June 2025 CLA, the Company received 10,000,000 shares of the Investee's nonredeemable convertible preferred stock issued under the June 2025 Preferred Stock Purchase Agreement, initially representing approximately 12% of the Investee's issued and outstanding voting stock as of June 30, 2025. Under the terms of the June 2025 CLA, the Company is entitled to certain future milestone payments, royalties, and opt-in rights to certain program(s) (see Note 12).</w:t>
      </w:r>
    </w:p>
    <w:p>
      <w:pPr>
        <w:spacing w:after="0" w:line="14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its investment in the Investee in accordance with the provisions of ASC Topic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and elected to use the measurement alternative therein. The fair value of the nonredeemable convertible preferred stock received of approximately $3.4 million, or approximately $0.338983 per share, was based upon an observable price of cash paid for an identical security in an orderly transaction between the Investee and a third-party and was capitalized as a long-term investment in the Company's balance sheet and recorded as an unrealized gain to other non-operating income in the Company's statement of operations and comprehensive loss. The long-term investment will be remeasured upon future observable price change(s) in orderly transaction(s) or upon impairment, if any.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Accrued Expenses and Other Current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6,175</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other personnel costs</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10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general and administrative expenses and other professional fees</w:t>
            </w:r>
          </w:p>
        </w:tc>
        <w:tc>
          <w:tcPr>
            <w:tcW w:w="2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r>
      <w:tr>
        <w:trPr>
          <w:trHeight w:val="24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100" w:type="dxa"/>
            <w:vAlign w:val="bottom"/>
            <w:shd w:val="clear" w:color="auto" w:fill="CFF0FC"/>
          </w:tcPr>
          <w:p>
            <w:pPr>
              <w:spacing w:after="0"/>
              <w:rPr>
                <w:sz w:val="21"/>
                <w:szCs w:val="21"/>
                <w:color w:val="auto"/>
              </w:rPr>
            </w:pPr>
          </w:p>
        </w:tc>
      </w:tr>
      <w:tr>
        <w:trPr>
          <w:trHeight w:val="601"/>
        </w:trPr>
        <w:tc>
          <w:tcPr>
            <w:tcW w:w="5380" w:type="dxa"/>
            <w:vAlign w:val="bottom"/>
            <w:tcBorders>
              <w:top w:val="single" w:sz="8" w:color="CFF0FC"/>
            </w:tcBorders>
          </w:tcPr>
          <w:p>
            <w:pPr>
              <w:spacing w:after="0"/>
              <w:rPr>
                <w:sz w:val="24"/>
                <w:szCs w:val="24"/>
                <w:color w:val="auto"/>
              </w:rPr>
            </w:pPr>
          </w:p>
        </w:tc>
        <w:tc>
          <w:tcPr>
            <w:tcW w:w="2440" w:type="dxa"/>
            <w:vAlign w:val="bottom"/>
            <w:tcBorders>
              <w:top w:val="single" w:sz="8" w:color="CFF0FC"/>
            </w:tcBorders>
          </w:tcPr>
          <w:p>
            <w:pPr>
              <w:jc w:val="right"/>
              <w:ind w:right="201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53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-916305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-899160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b w:val="1"/>
          <w:bCs w:val="1"/>
          <w:color w:val="auto"/>
        </w:rPr>
        <w:t>7. Leases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Right-of-Use Asset</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January 2022, the Company entered into a lease agreement for an office facility and laboratory space in New York, New York that commenced in April 2022 and ends in July 2029 with an additional five-year option to extend the lease beyond July 2029 at the then-prevailing effective market rental rate. Upon commencement of this lease, the Company recorded operating lease right-of-use assets and operating lease liabilities of $11.6 million based on the present value of payments over the lease term using an estimated incremental borrowing rate of 8.53% in accordance with the provisions of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In connection with the Company’s lease of office space and laboratory space, the Company provided a security deposit to the landlord in the form of a letter of credit totaling $1.2 million. The cash collateralizing the letter of credit was included in long-term restricted cash in the Company’s condensed balance sheets as of March 31, 2026 and December 31, 2025. This lease was classified as an operating lease in accordance with the provisions of ASC 842. The Company did not recognize any right-of-use assets and lease liabilities associated with the potential option to renew or extend. The Company’s operating lease agreement does not contain any significant residual value guarantees or restrictive covenants.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remaining lease terms and payment terms as of March 31, 2026 and December 31, 2025 were 3.3 years and 3.6 years, respectively. The components of this operating lease were as follows:</w:t>
      </w:r>
    </w:p>
    <w:p>
      <w:pPr>
        <w:spacing w:after="0" w:line="128"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9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80" w:type="dxa"/>
        <w:tblCellMar>
          <w:top w:w="0" w:type="dxa"/>
          <w:left w:w="0" w:type="dxa"/>
          <w:bottom w:w="0" w:type="dxa"/>
          <w:right w:w="0" w:type="dxa"/>
        </w:tblCellMar>
      </w:tblPr>
      <w:tr>
        <w:trPr>
          <w:trHeight w:val="142"/>
        </w:trPr>
        <w:tc>
          <w:tcPr>
            <w:tcW w:w="6040" w:type="dxa"/>
            <w:vAlign w:val="bottom"/>
          </w:tcPr>
          <w:p>
            <w:pPr>
              <w:spacing w:after="0"/>
              <w:rPr>
                <w:sz w:val="12"/>
                <w:szCs w:val="12"/>
                <w:color w:val="auto"/>
              </w:rPr>
            </w:pPr>
          </w:p>
        </w:tc>
        <w:tc>
          <w:tcPr>
            <w:tcW w:w="13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7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23"/>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300" w:type="dxa"/>
            <w:vAlign w:val="bottom"/>
            <w:shd w:val="clear" w:color="auto" w:fill="CFF0FC"/>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537</w:t>
            </w:r>
          </w:p>
        </w:tc>
        <w:tc>
          <w:tcPr>
            <w:tcW w:w="6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537</w:t>
            </w:r>
          </w:p>
        </w:tc>
      </w:tr>
      <w:tr>
        <w:trPr>
          <w:trHeight w:val="22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1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126</w:t>
            </w:r>
          </w:p>
        </w:tc>
      </w:tr>
      <w:tr>
        <w:trPr>
          <w:trHeight w:val="223"/>
        </w:trPr>
        <w:tc>
          <w:tcPr>
            <w:tcW w:w="6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1300" w:type="dxa"/>
            <w:vAlign w:val="bottom"/>
            <w:shd w:val="clear" w:color="auto" w:fill="CFF0FC"/>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668</w:t>
            </w:r>
          </w:p>
        </w:tc>
        <w:tc>
          <w:tcPr>
            <w:tcW w:w="6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663</w:t>
            </w:r>
          </w:p>
        </w:tc>
      </w:tr>
      <w:tr>
        <w:trPr>
          <w:trHeight w:val="198"/>
        </w:trPr>
        <w:tc>
          <w:tcPr>
            <w:tcW w:w="6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 included</w:t>
            </w: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 operating cash flows</w:t>
            </w:r>
          </w:p>
        </w:tc>
        <w:tc>
          <w:tcPr>
            <w:tcW w:w="1300" w:type="dxa"/>
            <w:vAlign w:val="bottom"/>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546</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533</w:t>
            </w:r>
          </w:p>
        </w:tc>
      </w:tr>
    </w:tbl>
    <w:p>
      <w:pPr>
        <w:spacing w:after="0" w:line="15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Company’s remaining undiscounted contractual rent obligations due within each year ended December 31 to the operating lease liabilities recognized as of March 31, 2026:</w:t>
      </w:r>
    </w:p>
    <w:p>
      <w:pPr>
        <w:spacing w:after="0" w:line="102"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Year ended December 31</w:t>
            </w: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3680" w:type="dxa"/>
            <w:vAlign w:val="bottom"/>
            <w:gridSpan w:val="2"/>
            <w:vMerge w:val="continue"/>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13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13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-10795</wp:posOffset>
            </wp:positionV>
            <wp:extent cx="10629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ectPr>
          <w:pgSz w:w="11900" w:h="16838" w:orient="portrait"/>
          <w:cols w:equalWidth="0" w:num="1">
            <w:col w:w="11200"/>
          </w:cols>
          <w:pgMar w:left="320" w:top="1148" w:right="379" w:bottom="1440" w:gutter="0" w:footer="0" w:header="0"/>
        </w:sectPr>
      </w:pP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Included in the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-119380</wp:posOffset>
            </wp:positionV>
            <wp:extent cx="427736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Current portion of lease liabilities - operating</w:t>
      </w:r>
    </w:p>
    <w:p>
      <w:pPr>
        <w:spacing w:after="0" w:line="2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Non-current portion of lease liabilities -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-121920</wp:posOffset>
            </wp:positionV>
            <wp:extent cx="427736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1182" w:hanging="1182"/>
        <w:spacing w:after="0"/>
        <w:tabs>
          <w:tab w:leader="none" w:pos="118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2,167</w:t>
      </w:r>
    </w:p>
    <w:p>
      <w:pPr>
        <w:spacing w:after="0" w:line="38" w:lineRule="exact"/>
        <w:rPr>
          <w:rFonts w:ascii="Times New Roman" w:cs="Times New Roman" w:eastAsia="Times New Roman" w:hAnsi="Times New Roman"/>
          <w:sz w:val="17"/>
          <w:szCs w:val="17"/>
          <w:color w:val="auto"/>
        </w:rPr>
      </w:pPr>
    </w:p>
    <w:p>
      <w:pPr>
        <w:ind w:left="118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-423545</wp:posOffset>
            </wp:positionV>
            <wp:extent cx="10629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 w:lineRule="exact"/>
        <w:rPr>
          <w:sz w:val="20"/>
          <w:szCs w:val="20"/>
          <w:color w:val="auto"/>
        </w:rPr>
      </w:pPr>
    </w:p>
    <w:p>
      <w:pPr>
        <w:ind w:left="1182" w:hanging="1182"/>
        <w:spacing w:after="0"/>
        <w:tabs>
          <w:tab w:leader="none" w:pos="118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10629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38735</wp:posOffset>
            </wp:positionV>
            <wp:extent cx="10629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6598" w:space="720"/>
            <w:col w:w="3882"/>
          </w:cols>
          <w:pgMar w:left="320" w:top="1148" w:right="379" w:bottom="1440" w:gutter="0" w:footer="0" w:header="0"/>
          <w:type w:val="continuous"/>
        </w:sect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8" w:right="37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Equipment Finance Leases</w:t>
      </w:r>
    </w:p>
    <w:p>
      <w:pPr>
        <w:spacing w:after="0" w:line="20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Commencing in April 2022, the Company leases certain laboratory equipment under financing arrangements accounted for as finance leases in accordance with the provisions of ASC 842 that are classified in the Company’s condensed balance sheet as finance lease liabilities with related right-of-use assets recorded and depreciated on a straight-line basis over the estimated useful life of 7 years. In connection with the Company’s leases of laboratory equipment, the Company provided a security deposit to the lessor in the form of a letter of credit totaling $1.9 million and assigned all rights and interests in the equipment to the lessor. The cash collateralizing the letter of credit is included in long-term restricted cash in the Company’s condensed balance sheet as of March 31, 2026. The total gross, accumulated amortization, and net book values of equipment finance lease right-of-use assets capitalized under such finance lease arrangements at March 31, 2026 were $2.2 million, $1.2 million and $1.0 million, respectively. Under the terms of the equipment finance lease agreements executed through the issuance of these unaudited condensed financial statements, the principal balances plus interest for the equipment are to be repaid in full after 60 monthly installments following lease commencement, with lease commencement dates ranging from April 1, 2022 to April 1, 2023, annual imputed interest rates ranging from 7.90% to 9.30%, and monthly installment payment amounts ranging from approximately $4,000 to $18,000. As of March 31, 2026, the total aggregate monthly installment payment amount was approximately $49,000 for equipment finance lease agreements.</w:t>
      </w:r>
    </w:p>
    <w:p>
      <w:pPr>
        <w:spacing w:after="0" w:line="14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weighted-average remaining lease payment term, weighted-average remaining amortization term, and weighted-average effective interest rate for the Company's equipment finance lease agreements as of March 31, 2026 were 1.4 years, 3.6 years, and 8.61%, respectively. The weighted-average remaining lease payment term, weighted-average remaining amortization term, and weighted-average effective interest rate for the Company's equipment finance lease agreements as of December 31, 2025 were 1.7 years, 3.8 years, and 8.61%, respectively. The components of the equipment finance leases were as follows:</w:t>
      </w:r>
    </w:p>
    <w:p>
      <w:pPr>
        <w:spacing w:after="0" w:line="13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80" w:type="dxa"/>
        <w:tblCellMar>
          <w:top w:w="0" w:type="dxa"/>
          <w:left w:w="0" w:type="dxa"/>
          <w:bottom w:w="0" w:type="dxa"/>
          <w:right w:w="0" w:type="dxa"/>
        </w:tblCellMar>
      </w:tblPr>
      <w:tr>
        <w:trPr>
          <w:trHeight w:val="142"/>
        </w:trPr>
        <w:tc>
          <w:tcPr>
            <w:tcW w:w="6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7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23"/>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Reduction in the carrying amount of ROU assets, finance</w:t>
            </w:r>
          </w:p>
        </w:tc>
        <w:tc>
          <w:tcPr>
            <w:tcW w:w="140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18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6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40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117</w:t>
            </w:r>
          </w:p>
        </w:tc>
      </w:tr>
      <w:tr>
        <w:trPr>
          <w:trHeight w:val="198"/>
        </w:trPr>
        <w:tc>
          <w:tcPr>
            <w:tcW w:w="6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 included in</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financing cash flows</w:t>
            </w:r>
          </w:p>
        </w:tc>
        <w:tc>
          <w:tcPr>
            <w:tcW w:w="1400" w:type="dxa"/>
            <w:vAlign w:val="bottom"/>
            <w:gridSpan w:val="2"/>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159</w:t>
            </w:r>
          </w:p>
        </w:tc>
      </w:tr>
    </w:tbl>
    <w:p>
      <w:pPr>
        <w:spacing w:after="0" w:line="1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Company’s remaining equipment finance lease obligations due within each year ending December 31 to the equipment finance lease liabilities recognized at March 31, 2026:</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gridSpan w:val="2"/>
            <w:vMerge w:val="restart"/>
          </w:tcPr>
          <w:p>
            <w:pPr>
              <w:ind w:left="2260"/>
              <w:spacing w:after="0"/>
              <w:rPr>
                <w:sz w:val="20"/>
                <w:szCs w:val="20"/>
                <w:color w:val="auto"/>
              </w:rPr>
            </w:pPr>
            <w:r>
              <w:rPr>
                <w:rFonts w:ascii="Times New Roman" w:cs="Times New Roman" w:eastAsia="Times New Roman" w:hAnsi="Times New Roman"/>
                <w:sz w:val="18"/>
                <w:szCs w:val="18"/>
                <w:color w:val="auto"/>
              </w:rPr>
              <w:t>Year ended December 31</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Equipment Finance</w:t>
            </w:r>
          </w:p>
        </w:tc>
        <w:tc>
          <w:tcPr>
            <w:tcW w:w="0" w:type="dxa"/>
            <w:vAlign w:val="bottom"/>
          </w:tcPr>
          <w:p>
            <w:pPr>
              <w:spacing w:after="0"/>
              <w:rPr>
                <w:sz w:val="1"/>
                <w:szCs w:val="1"/>
                <w:color w:val="auto"/>
              </w:rPr>
            </w:pPr>
          </w:p>
        </w:tc>
      </w:tr>
      <w:tr>
        <w:trPr>
          <w:trHeight w:val="173"/>
        </w:trPr>
        <w:tc>
          <w:tcPr>
            <w:tcW w:w="662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401</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359</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8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771</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3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8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726</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Included in the balance sheet:</w:t>
            </w: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portion of lease liabilities - finance</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528</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3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Non-current portion of lease liabilities - finance</w:t>
            </w:r>
          </w:p>
        </w:tc>
        <w:tc>
          <w:tcPr>
            <w:tcW w:w="8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198</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726</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66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26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b w:val="1"/>
          <w:bCs w:val="1"/>
          <w:color w:val="auto"/>
        </w:rPr>
        <w:t>8. Capital Stock</w:t>
      </w:r>
    </w:p>
    <w:p>
      <w:pPr>
        <w:spacing w:after="0" w:line="19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of March 31, 2026 and December 31, 2025, the Company’s amended and restated certificate of incorporation provided that the authorized capital stock of the Company was 510,000,000 shares consisting of 500,000,000 shares of common stock and 10,000,000 shares of undesignated preferred stock, both with a par value of $0.0001 per share. As of March 31, 2026 and December 31, 2025, 74,087,063 shares and 73,001,766 shares, respectively, of the Company's common stock authorized were issued, including 326 shares and 416 shares, respectively, that were legally issued upon the early exercise of unvested stock options and that are excluded from the number of shares outstanding until the right to repurchase subsequently lapses upon vesting. Each common share entitles the holder to one vote on all matters submitted to a vote of the Company’s stockholders. Common stockholders are entitled to receive dividends, if any, as may be declared by the Company’s Board of Directors. No cash dividends have been declared or paid by the Company.</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24, 2025, the Company entered into a sales agreement (the "Sales Agreement") with Leerink Partners LLC ("Leerink") to sell shares of the Company's common stock having an aggregate offering price of up to $75.0 million from time to time through an at-the-market equity offering program (the "ATM Program") under which Leerink is acting as the Company's agent. Leerink is entitled to compensation for its services in an amount equal to 3% of the gross proceeds of any of the shares of the Company's common stock sold under the Sales Agreement. No shares of the Company's common stock had been sold under the Sales Agreement through March 31, 2026. In April 2026, the Company sold 4,424,778 shares of its common stock under the ATM Program pursuant to the Sales Agreement with Leerink at a volume-weighted average price of $5.65 per share, and received gross and net proceeds of $25.0 million and approximately $23.6 million, respectively, after deducting approximately $0.8 million of fees paid to Leerink and $0.6 million of other third-party offering costs (see Note 14).</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May 28, 2025, pursuant to a securities purchase agreement, the Company issued and sold an aggregate of 20,790,120 shares of its common stock, as well as pre-funded warrants to purchase 6,963,556 shares of its common stock to certain purchasers, together with accompanying warrants to purchase 13,876,838 shares of its common stock, at a purchase price of $2.8825 per share of common stock and accompanying common warrant, or $2.8824 per pre-funded warrant and accompanying warrant (the "May 2025 Private Placement"). The gross and net proceeds received from the May 2025 Private Placement were approximately $80.0 million and $73.1 million, respectively, after deducting approximately $6.9 million of commissions and other offering costs. The warrants and pre-funded warrants issued in the May 2025 Private Placement are immediately exercisable at exercise prices of $2.82 per share and $0.0001 per share, respectively, except that the warrants and pre-funded warrants cannot be exercised by the holder if, after giving effect thereto, the holder would beneficially own more than 9.99% of the Company’s common stock (the "Maximum Percentage"). The Maximum Percentage can be changed at the holder's election to any other percentage not in excess of 19.99%, and any increase in the Maximum Percentage will not be effective until the 61st day after the holder provides notice to the Company of the desired increase. The warrants are exercisable until May 28, 2029, and the pre-funded warrants do not expire. The warrants and pre-funded warrants are classified as equity in accordance with ASC Topic 815-40, </w:t>
      </w:r>
      <w:r>
        <w:rPr>
          <w:rFonts w:ascii="Times New Roman" w:cs="Times New Roman" w:eastAsia="Times New Roman" w:hAnsi="Times New Roman"/>
          <w:sz w:val="18"/>
          <w:szCs w:val="18"/>
          <w:i w:val="1"/>
          <w:iCs w:val="1"/>
          <w:color w:val="auto"/>
        </w:rPr>
        <w:t>Derivatives and Hedging - Contracts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 Entity's Own Equity</w:t>
      </w:r>
      <w:r>
        <w:rPr>
          <w:rFonts w:ascii="Times New Roman" w:cs="Times New Roman" w:eastAsia="Times New Roman" w:hAnsi="Times New Roman"/>
          <w:sz w:val="18"/>
          <w:szCs w:val="18"/>
          <w:color w:val="auto"/>
        </w:rPr>
        <w:t>. Upon issuance, the total pre-allocated fair value of the warrants of approximately $26.8 million, or approximately $1.93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 share, was estimated using a Black-Scholes option pricing model with the following assumptions: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44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442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4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4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4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100.35%</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4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5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Approximately $44.3 million, $20.8 million and $14.9 million of the total gross proceeds received in the May 2025 Private Placement were allocated to the shares of common stock, warrants and pre-funded warrants, respectively, on a relative fair value basis, and were recorded as credits to additional paid-in capital, and are not subject to remeasurement. As of March 31, 2026, 867,302 warrants and 867,302 pre-funded warrants issued had been exercised.</w:t>
      </w:r>
    </w:p>
    <w:p>
      <w:pPr>
        <w:spacing w:after="0" w:line="13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October 16, 2025, the Company entered into an underwriting agreement to issue and sell an aggregate of 15,625,000 shares of its common stock at a price of $8.00 per share, less underwriting discounts and commissions, in a public offering that closed on October 20, 2025 (the "October 2025 Public Offering"). In addition, the Company granted the underwriters of the October 2025 Public Offering a 30-day option to purchase up to an additional 2,343,750 shares of the Company's common stock at a price of $8.00 per share, less underwriting discounts and commissions (the "30-day Underwriter Option"), which was exercised in full. The gross and net proceeds received from the October 2025 Public Offering including the full exercise of the 30-day Underwriter Option were approximately $143.8 million and $134.6 million, respectively, after deducting approximately $9.2 million of underwriter commissions and other offering costs.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17" w:name="page18"/>
    <w:bookmarkEnd w:id="17"/>
    <w:p>
      <w:pPr>
        <w:ind w:right="40"/>
        <w:spacing w:after="0" w:line="255" w:lineRule="auto"/>
        <w:rPr>
          <w:sz w:val="20"/>
          <w:szCs w:val="20"/>
          <w:color w:val="auto"/>
        </w:rPr>
      </w:pPr>
      <w:r>
        <w:rPr>
          <w:rFonts w:ascii="Times New Roman" w:cs="Times New Roman" w:eastAsia="Times New Roman" w:hAnsi="Times New Roman"/>
          <w:sz w:val="18"/>
          <w:szCs w:val="18"/>
          <w:color w:val="auto"/>
        </w:rPr>
        <w:t>On October 16, 2025, the Company entered into a securities purchase agreement to sell and issue pre-funded warrants to purchase 1,250,015 shares of the Company's common stock at a purchase price of $7.9999 per pre-funded warrant, in a private placement that closed on October 20, 2025 (the "October 2025 Private Placement", and together with the October 2025 Public Offering and the 30-day Underwriter Option, the "October 2025 Financing Transactions"). The gross and net proceeds received from the October 2025 Private Placement were approximately $10.0 million and $9.3 million, respectively, after deducting approximately $0.7 million of placement agent fees and other offering costs. The pre-funded warrants issued in the October 2025 Private Placement do not expire and are immediately exercisable at an exercise price of $0.0001 per pre-funded warrant share, except that the pre-funded warrants cannot be exercised by the holder if, after giving effect thereto, the holder would beneficially own more than 9.99% of the Company’s common stock (the "October 2025 Private Placement Maximum Percentage"). The October 2025 Private Placement Maximum Percentage can be changed at the holder's election to any other percentage not in excess of 19.99%, and any increase in the October 2025 Private Placement Maximum Percentage will not be effective until the 61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day after the holder provides notice to the Company of the desired increase.</w:t>
      </w:r>
    </w:p>
    <w:p>
      <w:pPr>
        <w:spacing w:after="0" w:line="9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Approximately $143.8 million and $10.0 million of the total gross proceeds received in the October 2025 Financing Transactions were allocated to the shares of common stock and pre-funded warrants, respectively, on a relative fair value basis, and were recorded as credits to additional paid-in capital, and are not subject to remeasurement. As of March 31, 2026, none of the pre-funded warrants issued in the October 2025 Financing Transactions had been exercised.</w:t>
      </w:r>
    </w:p>
    <w:p>
      <w:pPr>
        <w:spacing w:after="0" w:line="13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had reserved the following number of shares of common stock for the exercise of outstanding warrants, exercise of outstanding pre-funded warrants, exercise of outstanding stock options, settlement of outstanding RSUs and PRSUs, and future issuances of stock-based awards: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5"/>
                <w:szCs w:val="15"/>
                <w:color w:val="auto"/>
              </w:rPr>
            </w:pPr>
          </w:p>
        </w:tc>
        <w:tc>
          <w:tcPr>
            <w:tcW w:w="19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r>
      <w:tr>
        <w:trPr>
          <w:trHeight w:val="209"/>
        </w:trPr>
        <w:tc>
          <w:tcPr>
            <w:tcW w:w="7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to purchase shares of common stock</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13,009,536</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13,876,838</w:t>
            </w:r>
          </w:p>
        </w:tc>
        <w:tc>
          <w:tcPr>
            <w:tcW w:w="120" w:type="dxa"/>
            <w:vAlign w:val="bottom"/>
            <w:shd w:val="clear" w:color="auto" w:fill="CFF0FC"/>
          </w:tcPr>
          <w:p>
            <w:pPr>
              <w:spacing w:after="0"/>
              <w:rPr>
                <w:sz w:val="18"/>
                <w:szCs w:val="18"/>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Pre-funded warrants to purchase shares of common stock</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7,346,269</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7,346,269</w:t>
            </w:r>
          </w:p>
        </w:tc>
        <w:tc>
          <w:tcPr>
            <w:tcW w:w="120" w:type="dxa"/>
            <w:vAlign w:val="bottom"/>
          </w:tcPr>
          <w:p>
            <w:pPr>
              <w:spacing w:after="0"/>
              <w:rPr>
                <w:sz w:val="18"/>
                <w:szCs w:val="18"/>
                <w:color w:val="auto"/>
              </w:rPr>
            </w:pPr>
          </w:p>
        </w:tc>
      </w:tr>
      <w:tr>
        <w:trPr>
          <w:trHeight w:val="216"/>
        </w:trPr>
        <w:tc>
          <w:tcPr>
            <w:tcW w:w="7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shares of common stock under the 2021 Plan and 2023 Plan</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6,355,064</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4,396,860</w:t>
            </w:r>
          </w:p>
        </w:tc>
        <w:tc>
          <w:tcPr>
            <w:tcW w:w="120" w:type="dxa"/>
            <w:vAlign w:val="bottom"/>
            <w:shd w:val="clear" w:color="auto" w:fill="CFF0FC"/>
          </w:tcPr>
          <w:p>
            <w:pPr>
              <w:spacing w:after="0"/>
              <w:rPr>
                <w:sz w:val="18"/>
                <w:szCs w:val="18"/>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 and PRSUs subject to settlement in shares of common stock under the 2023 Plan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1,494,812</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844,278</w:t>
            </w:r>
          </w:p>
        </w:tc>
        <w:tc>
          <w:tcPr>
            <w:tcW w:w="120" w:type="dxa"/>
            <w:vAlign w:val="bottom"/>
          </w:tcPr>
          <w:p>
            <w:pPr>
              <w:spacing w:after="0"/>
              <w:rPr>
                <w:sz w:val="18"/>
                <w:szCs w:val="18"/>
                <w:color w:val="auto"/>
              </w:rPr>
            </w:pP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available for issuance under the 2023</w:t>
            </w:r>
          </w:p>
        </w:tc>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3,007,796</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2,132,156</w:t>
            </w:r>
          </w:p>
        </w:tc>
        <w:tc>
          <w:tcPr>
            <w:tcW w:w="120" w:type="dxa"/>
            <w:vAlign w:val="bottom"/>
            <w:shd w:val="clear" w:color="auto" w:fill="CFF0FC"/>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issuance under the 2023</w:t>
            </w: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1,158,154</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733,239</w:t>
            </w:r>
          </w:p>
        </w:tc>
        <w:tc>
          <w:tcPr>
            <w:tcW w:w="120" w:type="dxa"/>
            <w:vAlign w:val="bottom"/>
          </w:tcPr>
          <w:p>
            <w:pPr>
              <w:spacing w:after="0"/>
              <w:rPr>
                <w:sz w:val="18"/>
                <w:szCs w:val="18"/>
                <w:color w:val="auto"/>
              </w:rPr>
            </w:pPr>
          </w:p>
        </w:tc>
      </w:tr>
      <w:tr>
        <w:trPr>
          <w:trHeight w:val="216"/>
        </w:trPr>
        <w:tc>
          <w:tcPr>
            <w:tcW w:w="3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available for issuance under the 2025</w:t>
            </w:r>
          </w:p>
        </w:tc>
        <w:tc>
          <w:tcPr>
            <w:tcW w:w="3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Inducement Equity Plan</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2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 of common stock reserved for future issuance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34,371,631</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31,329,640</w:t>
            </w:r>
          </w:p>
        </w:tc>
        <w:tc>
          <w:tcPr>
            <w:tcW w:w="120" w:type="dxa"/>
            <w:vAlign w:val="bottom"/>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-170815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 Stock-based Compensation</w:t>
      </w:r>
    </w:p>
    <w:p>
      <w:pPr>
        <w:spacing w:after="0" w:line="17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February 2021, the Company adopted the 2021 Plan for the issuance of stock options granted to the Company’s key directors, officers, employees and consultants, as a means to secure the benefits arising from capital stock ownership. In connection with the Company’s IPO in November 2023, the Company adopted the 2023 Plan for the issuance of equity awards granted to the Company's directors, officers, employees, and consultants, and for the issuance of shares purchased under the 2023 ESPP to the Company's employees, as a means to secure the benefits arising from capital stock ownership. The purposes of the Plans and the 2023 ESPP are also to promote the alignment of the interests of directors, officers, employees, and consultants with the success of the Company and to provide compensation opportunities to attract, retain and motivate directors, officers, employees, and consultants of the Company. Upon adoption of the 2023 Plan, no further grants may be made under the 2021 Plan.</w:t>
      </w:r>
    </w:p>
    <w:p>
      <w:pPr>
        <w:spacing w:after="0" w:line="14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The number of shares of common stock reserved for issuance under the 2023 Plan will automatically increase on January 1 of each year, beginning on January 1, 2024, and continuing through and including January 1, 2033, by 5% of the total number of shares of common stock outstanding on December 31 of the immediately preceding calendar year, or a lesser number of shares determined by the Company’s Board of Directors prior to the applicable January</w:t>
      </w:r>
    </w:p>
    <w:p>
      <w:pPr>
        <w:spacing w:after="0" w:line="1" w:lineRule="exact"/>
        <w:rPr>
          <w:sz w:val="20"/>
          <w:szCs w:val="20"/>
          <w:color w:val="auto"/>
        </w:rPr>
      </w:pPr>
    </w:p>
    <w:p>
      <w:pPr>
        <w:ind w:right="120" w:firstLine="8"/>
        <w:spacing w:after="0" w:line="253" w:lineRule="auto"/>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reserved for issuance under the 2023 ESPP will automatically increase on January 1 of each calendar year, beginning on January 1, 2024 and continuing through and including January 1, 2033, by the lesser of (i) 1% of the total number of shares of capital stock outstanding on December 31 of the preceding calendar year, (ii) 477,200 shares, and (iii) a number of shares determined by the Company’s Board of Directors. Shares subject to purchase rights granted under the 2023 ESPP that terminate without having been exercised in full do not reduce the number of shares available for issuance under the 2023 ESPP.</w:t>
      </w:r>
    </w:p>
    <w:p>
      <w:pPr>
        <w:spacing w:after="0" w:line="1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1, 2026, the number of shares of common stock reserved for issuance under the 2023 Plan and the 2023 ESPP automatically increased by 3,650,088 shares and 477,200 shares, respectively, to totals of 6,804,770 shares and 1,210,439 shares, respectively. As of March 31, 2026, 3,007,796 shares and 1,158,154 shares were available for future issuance under the 2023 Plan and 2023 ESPP, respectively. A total of 155,122 shares have been issued under the 2023 ESPP through March 31, 2026.</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8" w:name="page19"/>
    <w:bookmarkEnd w:id="18"/>
    <w:p>
      <w:pPr>
        <w:ind w:right="460"/>
        <w:spacing w:after="0" w:line="266" w:lineRule="auto"/>
        <w:rPr>
          <w:sz w:val="20"/>
          <w:szCs w:val="20"/>
          <w:color w:val="auto"/>
        </w:rPr>
      </w:pPr>
      <w:r>
        <w:rPr>
          <w:rFonts w:ascii="Times New Roman" w:cs="Times New Roman" w:eastAsia="Times New Roman" w:hAnsi="Times New Roman"/>
          <w:sz w:val="18"/>
          <w:szCs w:val="18"/>
          <w:color w:val="auto"/>
        </w:rPr>
        <w:t>On November 4, 2025, the Company's board of directors adopted the Lexeo Therapeutics, Inc. 2025 Inducement Equity Incentive Plan (the "2025 Inducement Equity Plan") and, subject to the adjustment provisions of the 2025 Inducement Equity Plan, reserved 2,000,000 shares of the Company's common stock for issuance pursuant to equity awards granted under the 2025 Inducement Equity Plan.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activity</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Stock options granted under the 2021 Plan are issued from new shares upon exercise, have a contractual term of 10 years from grant date, and generally (i) are subject to requisite service requirements, (ii) vest over a four-year period with 25% of the options granted vesting after one year and the remainder vesting in equal monthly installments over the following 36 months, and (iii) allow for early exercise subject to repurchase. Stock options granted under the 2021 Plan to certain of the Company’s non-employees vest in equal monthly installments over a four-year period or vested upon the achievement of a certain milestone event. The Company did not repurchase any shares of its common stock during the three months ended March 31, 2026 or the three months ended March 31, 2025.</w:t>
      </w:r>
    </w:p>
    <w:p>
      <w:pPr>
        <w:spacing w:after="0" w:line="14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Stock options granted under the 2023 Plan are issued from new shares upon exercise, have a contractual term of 10 years from grant date, and generally vest over a four-year period with 25% of the options granted vesting after approximately one year and the remainder vesting in equal monthly installments over the following 36 months, subject to requisite service requirements. Stock options granted under the 2023 Plan to certain of the Company's non-employee directors vest in equal annual installments over a three-year period for initial grants or over a one-year period for subsequent annual grants, subject to requisite service requirements.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under the 2021 Plan and the 2023 Plan for the three months ended March 31, 2026: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14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restart"/>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6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4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2"/>
                <w:szCs w:val="12"/>
                <w:color w:val="auto"/>
              </w:rPr>
            </w:pPr>
          </w:p>
        </w:tc>
        <w:tc>
          <w:tcPr>
            <w:tcW w:w="14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238"/>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4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4,396,860</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9.75</w:t>
            </w:r>
          </w:p>
        </w:tc>
        <w:tc>
          <w:tcPr>
            <w:tcW w:w="15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7.60</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11,304</w:t>
            </w:r>
          </w:p>
        </w:tc>
        <w:tc>
          <w:tcPr>
            <w:tcW w:w="0" w:type="dxa"/>
            <w:vAlign w:val="bottom"/>
          </w:tcPr>
          <w:p>
            <w:pPr>
              <w:spacing w:after="0"/>
              <w:rPr>
                <w:sz w:val="1"/>
                <w:szCs w:val="1"/>
                <w:color w:val="auto"/>
              </w:rPr>
            </w:pPr>
          </w:p>
        </w:tc>
      </w:tr>
      <w:tr>
        <w:trPr>
          <w:trHeight w:val="216"/>
        </w:trPr>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2,232,421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Expired</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6,355,064</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8.62</w:t>
            </w:r>
          </w:p>
        </w:tc>
        <w:tc>
          <w:tcPr>
            <w:tcW w:w="15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7.76</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2,760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at March 31, 2026</w:t>
            </w:r>
          </w:p>
        </w:tc>
        <w:tc>
          <w:tcPr>
            <w:tcW w:w="1460" w:type="dxa"/>
            <w:vAlign w:val="bottom"/>
            <w:shd w:val="clear" w:color="auto" w:fill="CFF0FC"/>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2,819,763</w:t>
            </w:r>
          </w:p>
        </w:tc>
        <w:tc>
          <w:tcPr>
            <w:tcW w:w="3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7"/>
              <w:spacing w:after="0" w:line="196" w:lineRule="exact"/>
              <w:rPr>
                <w:sz w:val="20"/>
                <w:szCs w:val="20"/>
                <w:color w:val="auto"/>
              </w:rPr>
            </w:pPr>
            <w:r>
              <w:rPr>
                <w:rFonts w:ascii="Times New Roman" w:cs="Times New Roman" w:eastAsia="Times New Roman" w:hAnsi="Times New Roman"/>
                <w:sz w:val="18"/>
                <w:szCs w:val="18"/>
                <w:color w:val="auto"/>
              </w:rPr>
              <w:t>9.85</w:t>
            </w:r>
          </w:p>
        </w:tc>
        <w:tc>
          <w:tcPr>
            <w:tcW w:w="1540" w:type="dxa"/>
            <w:vAlign w:val="bottom"/>
            <w:gridSpan w:val="2"/>
            <w:shd w:val="clear" w:color="auto" w:fill="CFF0FC"/>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5.73</w:t>
            </w:r>
          </w:p>
        </w:tc>
        <w:tc>
          <w:tcPr>
            <w:tcW w:w="34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8"/>
              <w:spacing w:after="0" w:line="196" w:lineRule="exact"/>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-307975</wp:posOffset>
            </wp:positionV>
            <wp:extent cx="1028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-307975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-307975</wp:posOffset>
            </wp:positionV>
            <wp:extent cx="939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3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three months ended March 31, 2026 and March 31, 2025 was $5.42 per share and $4.51 per share, respectively.</w:t>
      </w:r>
    </w:p>
    <w:p>
      <w:pPr>
        <w:spacing w:after="0" w:line="13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No stock options were exercised during the three months ended March 31, 2025.</w:t>
      </w:r>
    </w:p>
    <w:p>
      <w:pPr>
        <w:spacing w:after="0" w:line="1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total grant date fair values of stock options vested during the three months ended March 31, 2026 and March 31, 2025 were $4.0 million and $4.0 million, respectively.</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stock options granted using a Black-Scholes option pricing model with the following assumptions during the three months ended March 31, 2026 and March 31, 2025:</w:t>
      </w:r>
    </w:p>
    <w:p>
      <w:pPr>
        <w:spacing w:after="0" w:line="128"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1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80" w:type="dxa"/>
        <w:tblCellMar>
          <w:top w:w="0" w:type="dxa"/>
          <w:left w:w="0" w:type="dxa"/>
          <w:bottom w:w="0" w:type="dxa"/>
          <w:right w:w="0" w:type="dxa"/>
        </w:tblCellMar>
      </w:tblPr>
      <w:tr>
        <w:trPr>
          <w:trHeight w:val="142"/>
        </w:trPr>
        <w:tc>
          <w:tcPr>
            <w:tcW w:w="6320" w:type="dxa"/>
            <w:vAlign w:val="bottom"/>
          </w:tcPr>
          <w:p>
            <w:pPr>
              <w:spacing w:after="0"/>
              <w:rPr>
                <w:sz w:val="12"/>
                <w:szCs w:val="12"/>
                <w:color w:val="auto"/>
              </w:rPr>
            </w:pPr>
          </w:p>
        </w:tc>
        <w:tc>
          <w:tcPr>
            <w:tcW w:w="1820" w:type="dxa"/>
            <w:vAlign w:val="bottom"/>
            <w:tcBorders>
              <w:top w:val="single" w:sz="8" w:color="auto"/>
              <w:bottom w:val="single" w:sz="8" w:color="auto"/>
            </w:tcBorders>
          </w:tcPr>
          <w:p>
            <w:pPr>
              <w:jc w:val="right"/>
              <w:ind w:right="7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1820" w:type="dxa"/>
            <w:vAlign w:val="bottom"/>
            <w:tcBorders>
              <w:top w:val="single" w:sz="8" w:color="auto"/>
              <w:bottom w:val="single" w:sz="8" w:color="auto"/>
            </w:tcBorders>
          </w:tcPr>
          <w:p>
            <w:pPr>
              <w:jc w:val="right"/>
              <w:ind w:right="7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82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3.67 - 4.16%</w:t>
            </w:r>
          </w:p>
        </w:tc>
        <w:tc>
          <w:tcPr>
            <w:tcW w:w="19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4.16 - 4.57%</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 weighted-average</w:t>
            </w:r>
          </w:p>
        </w:tc>
        <w:tc>
          <w:tcPr>
            <w:tcW w:w="18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6.06</w:t>
            </w:r>
          </w:p>
        </w:tc>
        <w:tc>
          <w:tcPr>
            <w:tcW w:w="19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5.78</w:t>
            </w:r>
          </w:p>
        </w:tc>
      </w:tr>
      <w:tr>
        <w:trPr>
          <w:trHeight w:val="21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range</w:t>
            </w:r>
          </w:p>
        </w:tc>
        <w:tc>
          <w:tcPr>
            <w:tcW w:w="182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79.93 - 99.49%</w:t>
            </w:r>
          </w:p>
        </w:tc>
        <w:tc>
          <w:tcPr>
            <w:tcW w:w="19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88.12 - 90.49%</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weighted-average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89.80%</w:t>
            </w:r>
          </w:p>
        </w:tc>
      </w:tr>
      <w:tr>
        <w:trPr>
          <w:trHeight w:val="21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5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expected dividend yields are 0.00% as the Company has never paid cash dividends and does not expect to pay any cash dividends in the foreseeable future.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9" w:name="page20"/>
    <w:bookmarkEnd w:id="19"/>
    <w:p>
      <w:pPr>
        <w:ind w:right="40"/>
        <w:spacing w:after="0" w:line="282" w:lineRule="auto"/>
        <w:rPr>
          <w:sz w:val="20"/>
          <w:szCs w:val="20"/>
          <w:color w:val="auto"/>
        </w:rPr>
      </w:pPr>
      <w:r>
        <w:rPr>
          <w:rFonts w:ascii="Times New Roman" w:cs="Times New Roman" w:eastAsia="Times New Roman" w:hAnsi="Times New Roman"/>
          <w:sz w:val="18"/>
          <w:szCs w:val="18"/>
          <w:color w:val="auto"/>
        </w:rPr>
        <w:t>As of March 31, 2026, there was $15.7 million of unrecognized stock-based compensation expense related to stock options estimated to be recognized over a weighted-average period of 3.28 years.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 and PRSU activity</w:t>
      </w:r>
    </w:p>
    <w:p>
      <w:pPr>
        <w:spacing w:after="0" w:line="18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RSUs granted under the 2023 Plan generally vest over a four-year period with 25% of the RSUs vesting after approximately one year and the remainder vesting in equal quarterly installments over the following 12 quarters, subject to requisite service requirements. Additionally, during the three months ended March 31, 2026, a total of 243,275 PRSUs were granted to employees under the 2023 Plan that vest upon the achievement of certain performance conditions over periods ranging from approximately four months to approximately 11 months, subject to requisite service requirements.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RSU activity under the 2023 Plan for the three months ended March 31, 2026: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140" w:type="dxa"/>
            <w:vAlign w:val="bottom"/>
          </w:tcPr>
          <w:p>
            <w:pPr>
              <w:spacing w:after="0"/>
              <w:rPr>
                <w:sz w:val="12"/>
                <w:szCs w:val="12"/>
                <w:color w:val="auto"/>
              </w:rPr>
            </w:pPr>
          </w:p>
        </w:tc>
        <w:tc>
          <w:tcPr>
            <w:tcW w:w="208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73"/>
        </w:trPr>
        <w:tc>
          <w:tcPr>
            <w:tcW w:w="7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208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7140" w:type="dxa"/>
            <w:vAlign w:val="bottom"/>
            <w:vMerge w:val="continue"/>
          </w:tcPr>
          <w:p>
            <w:pPr>
              <w:spacing w:after="0"/>
              <w:rPr>
                <w:sz w:val="18"/>
                <w:szCs w:val="18"/>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703,578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657,249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16"/>
        </w:trPr>
        <w:tc>
          <w:tcPr>
            <w:tcW w:w="7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Vested</w:t>
            </w:r>
          </w:p>
        </w:tc>
        <w:tc>
          <w:tcPr>
            <w:tcW w:w="2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(170,812)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2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(85,638)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0"/>
        </w:trPr>
        <w:tc>
          <w:tcPr>
            <w:tcW w:w="7140" w:type="dxa"/>
            <w:vAlign w:val="bottom"/>
            <w:shd w:val="clear" w:color="auto" w:fill="CFF0FC"/>
          </w:tcPr>
          <w:p>
            <w:pPr>
              <w:spacing w:after="0" w:line="20" w:lineRule="exact"/>
              <w:rPr>
                <w:sz w:val="1"/>
                <w:szCs w:val="1"/>
                <w:color w:val="auto"/>
              </w:rPr>
            </w:pPr>
          </w:p>
        </w:tc>
        <w:tc>
          <w:tcPr>
            <w:tcW w:w="190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Unvested as of March 31, 2026</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1,104,377</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-170815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March 31, 2026, there was $6.4 million of unrecognized stock-based compensation expense related to RSUs estimated to be recognized over a weighted-average period of 3.36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PRSU activity under the 2023 Plan for the three months ended March 31, 2026: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1280" w:type="dxa"/>
            <w:vAlign w:val="bottom"/>
            <w:vMerge w:val="restart"/>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73"/>
        </w:trPr>
        <w:tc>
          <w:tcPr>
            <w:tcW w:w="7140" w:type="dxa"/>
            <w:vAlign w:val="bottom"/>
          </w:tcPr>
          <w:p>
            <w:pPr>
              <w:spacing w:after="0"/>
              <w:rPr>
                <w:sz w:val="15"/>
                <w:szCs w:val="15"/>
                <w:color w:val="auto"/>
              </w:rPr>
            </w:pPr>
          </w:p>
        </w:tc>
        <w:tc>
          <w:tcPr>
            <w:tcW w:w="1280" w:type="dxa"/>
            <w:vAlign w:val="bottom"/>
            <w:tcBorders>
              <w:bottom w:val="single" w:sz="8" w:color="auto"/>
            </w:tcBorders>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140,700</w:t>
            </w:r>
          </w:p>
        </w:tc>
        <w:tc>
          <w:tcPr>
            <w:tcW w:w="2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243,275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Vested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March 31, 2026</w:t>
            </w:r>
          </w:p>
        </w:tc>
        <w:tc>
          <w:tcPr>
            <w:tcW w:w="1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382,933</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-25400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2023 ESPP, eligible employees may purchase shares of the Company's common stock through payroll deductions at a price equal to 85% of the lower of the fair market values of the stock as of the beginning of the offering period or the end of each six-month purchase period. Each offering period of two years will consist of four six-month purchase periods, subject to reset on the first day of each purchase period depending on the fair market values of the Company's stock. Employees may not purchase more than 6,000 shares of the Company's common stock during any purchase period. The first purchase period within the first offering period under the 2023 ESPP commenced during the three months ended December 31, 2024 and concluded during the three months ended March 31, 2025; following reset, the first purchase period within the second offering period commenced during the three months ended March 31, 2025 and concluded during the three months ended September 30, 2025; and the second purchase period within the second offering period commenced during the three months ended September 30, 2025 and concluded during the three months ended March 31, 2026. During the three months ended March 31, 2026, a total of 52,285 shares were issued under the 2023 ESPP at a weighted-average purchase price of $2.74 per share with total proceeds of approximately $0.1 million received by the Company. During the three months ended March 31, 2025, a total of 65,342 shares were issued under the 2023 ESPP at a weighted-average purchase price of $2.61 per share with total proceeds of approximately $0.2 million received by the Company. As of and during the three months ended March 31, 2026 and March 31, 2025, stock-based compensation expense recorded, as well as the estimated fair value of unearned and unrecognized stock-based expense expected to be recorded, related to the 2023 ESPP were not material.</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was classified as follows in the Company’s unaudited condensed statements of operations and comprehensive loss:</w:t>
      </w:r>
    </w:p>
    <w:p>
      <w:pPr>
        <w:spacing w:after="0" w:line="178"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80" w:type="dxa"/>
        <w:tblCellMar>
          <w:top w:w="0" w:type="dxa"/>
          <w:left w:w="0" w:type="dxa"/>
          <w:bottom w:w="0" w:type="dxa"/>
          <w:right w:w="0" w:type="dxa"/>
        </w:tblCellMar>
      </w:tblPr>
      <w:tr>
        <w:trPr>
          <w:trHeight w:val="142"/>
        </w:trPr>
        <w:tc>
          <w:tcPr>
            <w:tcW w:w="47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7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840" w:type="dxa"/>
            <w:vAlign w:val="bottom"/>
            <w:gridSpan w:val="2"/>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1,051</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1,877</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7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1,704</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1,820</w:t>
            </w:r>
          </w:p>
        </w:tc>
      </w:tr>
      <w:tr>
        <w:trPr>
          <w:trHeight w:val="22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7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2,755</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3,697</w:t>
            </w: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-25400</wp:posOffset>
            </wp:positionV>
            <wp:extent cx="1111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1111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Net Loss per Share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common share attributable to common stockholders was calculated as follows:</w:t>
      </w:r>
    </w:p>
    <w:p>
      <w:pPr>
        <w:spacing w:after="0" w:line="178"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7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7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20" w:type="dxa"/>
            <w:vAlign w:val="bottom"/>
          </w:tcPr>
          <w:p>
            <w:pPr>
              <w:spacing w:after="0"/>
              <w:rPr>
                <w:sz w:val="18"/>
                <w:szCs w:val="18"/>
                <w:color w:val="auto"/>
              </w:rPr>
            </w:pPr>
          </w:p>
        </w:tc>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(20,196)</w:t>
            </w: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(32,656)</w:t>
            </w:r>
          </w:p>
        </w:tc>
      </w:tr>
      <w:tr>
        <w:trPr>
          <w:trHeight w:val="216"/>
        </w:trPr>
        <w:tc>
          <w:tcPr>
            <w:tcW w:w="20" w:type="dxa"/>
            <w:vAlign w:val="bottom"/>
          </w:tcPr>
          <w:p>
            <w:pPr>
              <w:spacing w:after="0"/>
              <w:rPr>
                <w:sz w:val="18"/>
                <w:szCs w:val="18"/>
                <w:color w:val="auto"/>
              </w:rPr>
            </w:pPr>
          </w:p>
        </w:tc>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9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9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81,183,812</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33,113,991</w:t>
            </w:r>
          </w:p>
        </w:tc>
      </w:tr>
      <w:tr>
        <w:trPr>
          <w:trHeight w:val="229"/>
        </w:trPr>
        <w:tc>
          <w:tcPr>
            <w:tcW w:w="20" w:type="dxa"/>
            <w:vAlign w:val="bottom"/>
          </w:tcPr>
          <w:p>
            <w:pPr>
              <w:spacing w:after="0"/>
              <w:rPr>
                <w:sz w:val="19"/>
                <w:szCs w:val="19"/>
                <w:color w:val="auto"/>
              </w:rPr>
            </w:pPr>
          </w:p>
        </w:tc>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3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6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(0.99)</w:t>
            </w:r>
          </w:p>
        </w:tc>
      </w:tr>
      <w:tr>
        <w:trPr>
          <w:trHeight w:val="20"/>
        </w:trPr>
        <w:tc>
          <w:tcPr>
            <w:tcW w:w="20" w:type="dxa"/>
            <w:vAlign w:val="bottom"/>
          </w:tcPr>
          <w:p>
            <w:pPr>
              <w:spacing w:after="0" w:line="20" w:lineRule="exact"/>
              <w:rPr>
                <w:sz w:val="1"/>
                <w:szCs w:val="1"/>
                <w:color w:val="auto"/>
              </w:rPr>
            </w:pPr>
          </w:p>
        </w:tc>
        <w:tc>
          <w:tcPr>
            <w:tcW w:w="62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-25400</wp:posOffset>
            </wp:positionV>
            <wp:extent cx="1289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1289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Commitments and Contingencies</w:t>
      </w:r>
    </w:p>
    <w:p>
      <w:pPr>
        <w:spacing w:after="0" w:line="18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Leases</w:t>
      </w:r>
      <w:r>
        <w:rPr>
          <w:rFonts w:ascii="Times New Roman" w:cs="Times New Roman" w:eastAsia="Times New Roman" w:hAnsi="Times New Roman"/>
          <w:sz w:val="18"/>
          <w:szCs w:val="18"/>
          <w:color w:val="auto"/>
        </w:rPr>
        <w:t>—As of March 31, 2026, the Company had entered into commitments under lease agreements to rent laboratory and office space and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(see Note 7).</w:t>
      </w:r>
    </w:p>
    <w:p>
      <w:pPr>
        <w:spacing w:after="0" w:line="11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Commitments</w:t>
      </w:r>
      <w:r>
        <w:rPr>
          <w:rFonts w:ascii="Times New Roman" w:cs="Times New Roman" w:eastAsia="Times New Roman" w:hAnsi="Times New Roman"/>
          <w:sz w:val="18"/>
          <w:szCs w:val="18"/>
          <w:color w:val="auto"/>
        </w:rPr>
        <w:t>—As of March 31, 2026, the Company had entered into commitments under license, acquisition, research collaboration and sponsored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agreements with third parties (see Note 12). In addition, the Company has entered into services agreements with third parties for pharmaceutical manufacturing and research activities in the normal course of business, which can generally be terminated by the Company with 30 to 60 days’ written notice, unless otherwise indicated. Further, certain of the Company’s manufacturing agreements could require early termination and wind-down payments due from the Company upon either the termination of its clinical trials or if the Company terminates such agreements for convenience.</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Contingencies</w:t>
      </w:r>
      <w:r>
        <w:rPr>
          <w:rFonts w:ascii="Times New Roman" w:cs="Times New Roman" w:eastAsia="Times New Roman" w:hAnsi="Times New Roman"/>
          <w:sz w:val="18"/>
          <w:szCs w:val="18"/>
          <w:color w:val="auto"/>
        </w:rPr>
        <w:t>—From time to time, the Company may have certain contingent liabilities that arise in the ordinary course of business.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recognizes any associated legal fees as incurred and accrues a liability for such contingent liability matters when it is probable that future expenditures will be made, and such expenditures can be reasonably estimated. For all periods presented, the Company was not a party to any pending material litigation or other material legal proceedings, except that on October 12, 2023, Rocket Pharmaceuticals, Inc. (“Rocket”) filed a lawsuit in the U.S. District Court for the Southern District of New York against the Company and two former employees that claimed, among other things, misappropriation of confidential information and trade secrets. The complaint alleged the individual defendants downloaded confidential Rocket company documents and other proprietary materials prior to leaving Rocket in 2021 and that the Company used this information to advance its programs after they became employed at the Company. The complaint sought unspecified damages and asked the court to enjoin the Company from competing and working in the market for gene therapy treatments targeting cardiac diseases. In August 2024, the Company asserted counterclaims against Rocket and Spacecraft Seven LLC, a wholly owned subsidiary of Rocket, for misappropriation of trade secrets, correction of inventorship of certain patents, breach of contract, and tortious interference with contract. The Company's counterclaims sought equitable relief, damages, attorneys' fees and costs from Rocket and Spacecraft Seven LLC. In June 2025, the litigation was resolved amicably and without admission of liability by any party, and all claims have been dismissed with prejudice.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1" w:name="page22"/>
    <w:bookmarkEnd w:id="21"/>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t>Indemnification Agreements</w:t>
      </w:r>
      <w:r>
        <w:rPr>
          <w:rFonts w:ascii="Times New Roman" w:cs="Times New Roman" w:eastAsia="Times New Roman" w:hAnsi="Times New Roman"/>
          <w:sz w:val="18"/>
          <w:szCs w:val="18"/>
          <w:color w:val="auto"/>
        </w:rPr>
        <w:t>—In the ordinary course of business, the Company may provide indemnification of varying scope and terms to vendors,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For all periods presented, the Company has not incurred any material costs as a result of such indemnifications.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License, Acquisition, Research and Collaboration and Sponsored Research Agreements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color w:val="auto"/>
        </w:rPr>
        <w:t>Adverum Biotechnologies</w:t>
      </w:r>
      <w:r>
        <w:rPr>
          <w:rFonts w:ascii="Times New Roman" w:cs="Times New Roman" w:eastAsia="Times New Roman" w:hAnsi="Times New Roman"/>
          <w:sz w:val="18"/>
          <w:szCs w:val="18"/>
          <w:color w:val="auto"/>
        </w:rPr>
        <w:t>—On January 25, 2021, the Company entered into an exclusive license agreement with Adverum Biotechnologies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(“Adverum”) to in-license materials and technology related to the treatment of cardiomyopathy due to Friedreich's ataxia ("FA") (as amended in February 2022, the “Adverum Agreement”). In connection with the Adverum Agreement, the Company gained access to a portfolio of inventions, patent rights, technology, and licensed methods that the Company continues to develop, and the Company will assume all development and commercialization activities worldwide. Pursuant to the Adverum Agreement, the Company paid a one-time up-front non-refundable fee of $7.5 million, and is obligated to pay aggregate development and regulatory milestones of up to $17.5 million including a $3.5 million development milestone that was achieved and paid in the first quarter of 2023, and aggregate sales event and commercialization milestones of up to $49.0 million. The Company is obligated to pay Adverum tiered royalties ranging from high single-digits to sub teens based on annual aggregate worldwide net sales of Products (as defined in the Adverum Agreement). As of March 31, 2026, there were no research and development expenses recorded by the Company or payments made to Adverum under the terms of the Adverum Agreement other than the one-time up-front non-refundable fee of $7.5 million and the $3.5 million development milestone that was achieved and paid in the first quarter of 2023.</w:t>
      </w:r>
    </w:p>
    <w:p>
      <w:pPr>
        <w:spacing w:after="0" w:line="14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Adverum Agreement remains in effect until termination at the date of the last royalty term to expire. The Company can terminate the Adverum Agreement with 120 days’ written notice. The Adverum Agreement can also be terminated as a result of a patent challenge, material breach of contractual terms, or insolvency by either party.</w:t>
      </w:r>
    </w:p>
    <w:p>
      <w:pPr>
        <w:spacing w:after="0" w:line="14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color w:val="auto"/>
        </w:rPr>
        <w:t>Cornell University</w:t>
      </w:r>
      <w:r>
        <w:rPr>
          <w:rFonts w:ascii="Times New Roman" w:cs="Times New Roman" w:eastAsia="Times New Roman" w:hAnsi="Times New Roman"/>
          <w:sz w:val="18"/>
          <w:szCs w:val="18"/>
          <w:color w:val="auto"/>
        </w:rPr>
        <w:t>—On May 28, 2020, the Company entered into two exclusive license agreements with Cornell University (“Cornell”) (each,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the “First Cornell License Agreement” and the “Second Cornell License Agreement,” respectively; collectively the “May 2020 Cornell License Agreements”). The First Cornell License Agreement is for the in-license of technology related to portfolios for APOE-associated Alzheimer’s disease and Anti-Tau, although the Company’s license is not restricted by such indications and it includes assignment to the Company of Cornell’s IND for the use of AAVrh10.hAPOE2 vector to treat APOE4 homozygous patients who are at risk for or have Alzheimer’s disease to support development of the Company’s LX1001 program. The Second Cornell License Agreement is for the in-license of technology related to a portfolio for FA although the Company’s license is not restricted by such indications, and it includes assignment to the Company of Cornell’s IND for the use of AAVrh.10cUhCLN2 to treat children with CLN2 Batten disease to support development of the Company’s LX1004 program. Through the May 2020 Cornell License Agreements, the Company gains access to a portfolio of inventions, patent rights, technology, and licensed methods that the Company continues to develop. Under the terms of the May 2020 Cornell License Agreements, the Company has assumed all development and commercialization activities worldwide with respect to the licensed technology.</w:t>
      </w:r>
    </w:p>
    <w:p>
      <w:pPr>
        <w:spacing w:after="0" w:line="14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initial consideration for the May 2020 Cornell License Agreements, the Company paid Cornell an upfront payment in cash of $0.3 million and issued $1.3 million of notes (the “Cornell Notes”). In November 2020, the Cornell Notes with outstanding principal of $1.3 million were cancelled in exchange for 1,337,610 shares of series A convertible preferred stock, which converted into 126,258 shares of common stock upon the closing of the Company's IPO on November 7, 2023. As additional consideration, the Company is required to pay Cornell up to $8.4 million upon the achievement of specific clinical and regulatory milestones under the First Cornell License Agreement and up to $4.3 million in two portfolios and up to $0.6 million for a third portfolio upon the achievement of specific clinical and regulatory milestones under the Second Cornell License Agreement. In the second quarter of 2022, a clinical and regulatory milestone of $0.1 million was recognized and paid to Cornell in connection with the Second Cornell License Agreement. The Company is also required to pay Cornell a flat royalty in the mid-single-digits based on net sales of the products covered by the licenses, subject to certain adjustments.</w:t>
      </w:r>
    </w:p>
    <w:p>
      <w:pPr>
        <w:spacing w:after="0" w:line="151"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Upon expiration of the royalty term of a given licensed product in a country, the respective license becomes non-exclusive and royalty-free. In addition, each of the May 2020 Cornell License Agreements may be terminated by the Company for any reason upon ninety (90)-days’ advance notice to Cornell and by Cornell upon the Company’s material uncured breach, and all licenses and rights granted by either party under such agreement will concurrently terminate.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22" w:name="page23"/>
    <w:bookmarkEnd w:id="22"/>
    <w:p>
      <w:pPr>
        <w:spacing w:after="0" w:line="255" w:lineRule="auto"/>
        <w:rPr>
          <w:sz w:val="20"/>
          <w:szCs w:val="20"/>
          <w:color w:val="auto"/>
        </w:rPr>
      </w:pPr>
      <w:r>
        <w:rPr>
          <w:rFonts w:ascii="Times New Roman" w:cs="Times New Roman" w:eastAsia="Times New Roman" w:hAnsi="Times New Roman"/>
          <w:sz w:val="18"/>
          <w:szCs w:val="18"/>
          <w:color w:val="auto"/>
        </w:rPr>
        <w:t>On April 21, 2024, the Company entered into the Third License Agreement (as amended, the “Third Cornell License Agreement,” together with the May 2020 Cornell License Agreements, the “Cornell License Agreements”) with Cornell. Pursuant to the Third Cornell License Agreement, Cornell has granted the Company an exclusive license to practice under certain patent rights generated in animal studies conducted by Cornell on behalf of the Company and a non-exclusive license to know-how concerning a gene therapy for FA cardiomyopathy and current and future data generated in an ongoing investigator-initiated Phase 1A trial of AAVrh.10hFXN to treat FA cardiomyopathy. Both licenses are worldwide and cover products with human and non-human prophylactic and therapeutic uses. Cornell has also granted the Company a right of reference to Cornell’s Investigational New Drug application for a gene therapy for FA cardiomyopathy.</w:t>
      </w:r>
    </w:p>
    <w:p>
      <w:pPr>
        <w:spacing w:after="0" w:line="16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Under the Third Cornell License Agreement, the Company paid a license issue fee and an initial data transfer fee to Cornell totaling $0.6 million. Additionally, the Company will be paying an annual data transfer fee of $50,000 until data is no longer being gathered. The Company has agreed to pay annual license maintenance fees ranging from $2,500 to $25,000 until such time the Company commercializes a licensed product. In addition, the Company will pay Cornell up to an aggregate of $2.1 million in regulatory milestones and up to an aggregate of $100 million in commercial milestones, plus low single digit royalties on net sales.</w:t>
      </w:r>
    </w:p>
    <w:p>
      <w:pPr>
        <w:spacing w:after="0" w:line="14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Third Cornell License Agreement contains other customary license terms including terms related to sublicensing, development, commercialization, milestones, royalties, intellectual property, and termination. Upon expiration of the applicable royalty term for a product in a given country, the Company shall retain a non-exclusive, royalty free license to the data and know-how, including to continue selling such product in that country.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Cornell may terminate the Third Cornell License Agreement if the Company (i) breaches the Third Cornell License Agreement (subject to a cure period),</w:t>
      </w:r>
    </w:p>
    <w:p>
      <w:pPr>
        <w:spacing w:after="0" w:line="27" w:lineRule="exact"/>
        <w:rPr>
          <w:sz w:val="20"/>
          <w:szCs w:val="20"/>
          <w:color w:val="auto"/>
        </w:rPr>
      </w:pPr>
    </w:p>
    <w:p>
      <w:pPr>
        <w:ind w:right="140" w:firstLine="8"/>
        <w:spacing w:after="0" w:line="253" w:lineRule="auto"/>
        <w:tabs>
          <w:tab w:leader="none" w:pos="2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participates in any proceeding challenging the validity of the licensed patents, (iii) publishes the licensed data without Cornell’s prior written consent, or (iv) does not reach certain milestones. Cornell may also terminate the Third Cornell License Agreement in part on a product-by-product basis if the Company does not diligently develop and sell a product. The Company may terminate the Third Cornell License Agreement, in whole or in part with respect to the right of reference, or the licensed data, know-how, or patent rights, with 90 days’ prior written notice to Cornell.</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December 17, 2025, the Company executed a Second Amendment to the Third Cornell License Agreement (the “Second Amendment to the Third Cornell License Agreement”), which added a one-time fee of $0.1 million for additional data transfer and processing.</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incurred $0.4 million of research and development costs and paid $0 in connection with the Cornell License Agreements. During the three months ended March 31, 2025, the Company incurred $30,000 of research and development costs and paid $0 in connection with the Cornell License Agreements.</w:t>
      </w:r>
    </w:p>
    <w:p>
      <w:pPr>
        <w:spacing w:after="0" w:line="1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Stelios Therapeutics, Inc.</w:t>
      </w:r>
      <w:r>
        <w:rPr>
          <w:rFonts w:ascii="Times New Roman" w:cs="Times New Roman" w:eastAsia="Times New Roman" w:hAnsi="Times New Roman"/>
          <w:sz w:val="18"/>
          <w:szCs w:val="18"/>
          <w:color w:val="auto"/>
        </w:rPr>
        <w:t>—Stelios Therapeutics, Inc. (“Stelios”) was an early-stage company developing novel adeno-associated AAV-based gene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therapies for rare cardiac conditions including arrhythmogenic cardiomyopathy and TNNI3-associated hypertrophic cardiomyopathy. On July 16, 2021, the Company acquired 100% of the outstanding stock of Stelios that was accounted for as an asset acquisition pursuant to FASB ASC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The Company is required to pay up to a remaining aggregate of $12.5 million to the selling shareholders of Stelios upon the achievement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development milestones, excluding a $6.0 million development milestone that was achieved in the third quarter of 2024 and paid in the fourth quarter of 2024. Dr. Eric Adler, the Company's former Chief Medical Officer and Head of Research, was a co-founder of Stelios and a selling shareholder. Of the $6.0 million development milestone payment, Dr. Adler received approximately $1.3 million. Stelios was merged into the Company on December 15, 2022 and ceased to exist.</w:t>
      </w:r>
    </w:p>
    <w:p>
      <w:pPr>
        <w:spacing w:after="0" w:line="15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The Regents of the University of California, San Diego</w:t>
      </w:r>
      <w:r>
        <w:rPr>
          <w:rFonts w:ascii="Times New Roman" w:cs="Times New Roman" w:eastAsia="Times New Roman" w:hAnsi="Times New Roman"/>
          <w:sz w:val="18"/>
          <w:szCs w:val="18"/>
          <w:color w:val="auto"/>
        </w:rPr>
        <w:t>—Stelios entered into an exclusive worldwide license agreement on April 23, 2020 (as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UCSD Agreement”) with The Regents of UCSD to in-license materials and intellectual property related to a gene therapy for arrhythmogenic right ventricular cardiomyopathy. The First UCSD Agreement relates to the Company’s development efforts for its LX2021 program. In connection with the First UCSD Agreement, the Company gained access to inventions, patent rights, technology, and licensed methods that it continues to develop, and it has assumed all worldwide development and commercialization activities with respect to the licensed technology. The First UCSD Agreement required Stelios to pay one-time up-front non-refundable cash fees of $20,000 for each agreement and requires the Company to pay aggregate development and commercialization milestones of up to $4.8 million, and low- to mid-single digit royalties and low-single digit royalties based on aggregate net sales. The only research and development expense incurred by Stelios or the Company, and payment made to The Regents of UCSD through December 31, 2025 under the terms of the First UCSD Agreement, was the one-time up-front non-refundable cash fee of $20,000. The Company has the right to terminate the First UCSD Agreement at any time upon sixty (60)-days’ written notice to The Regents of UCSD.</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23" w:name="page24"/>
    <w:bookmarkEnd w:id="23"/>
    <w:p>
      <w:pPr>
        <w:ind w:right="60"/>
        <w:spacing w:after="0" w:line="253" w:lineRule="auto"/>
        <w:rPr>
          <w:sz w:val="20"/>
          <w:szCs w:val="20"/>
          <w:color w:val="auto"/>
        </w:rPr>
      </w:pPr>
      <w:r>
        <w:rPr>
          <w:rFonts w:ascii="Times New Roman" w:cs="Times New Roman" w:eastAsia="Times New Roman" w:hAnsi="Times New Roman"/>
          <w:sz w:val="18"/>
          <w:szCs w:val="18"/>
          <w:color w:val="auto"/>
        </w:rPr>
        <w:t>Stelios entered into an exclusive worldwide license agreement on August 6, 2020 (as amended, the “Second UCSD Agreement”) with The Regents of UCSD to in-license materials and intellectual property related to a gene therapy for hypertrophic cardiomyopathy. On November 14, 2025, the Company entered into an amended and restated license agreement with UCSD, which amended and restated in its entirety, the Second UCSD Agreement (the "Amended and Restated Second UCSD Agreement"). The Amended and Restated Second UCSD Agreement maintained the Company's prior exclusive worldwide license to materials and intellectual property related to a gene therapy for hypertrophic cardiomyopathy, replaced Stelios with the Company as licensee, and exclusively in-licensed additional materials and intellectual property related to the LX2022 program. Stelios previously paid a one-time up-front non-refundable cash fee of $20,000 under the Second UCSD Agreement. The Amended and Restated Second UCSD Agreement requires the Company to pay aggregate development and commercialization milestones of up to $2.4 million, and low-single digit royalties based on aggregate net sales. The only research and development expense incurred by Stelios or the Company, and payment made to The Regents of UCSD through March 31, 2026 under the terms of the Second UCSD Agreement and the Amended and Restated Second UCSD Agreement, was the one-time up-front non-refundable cash fee of $20,000. The Company has the right to terminate the Amended and Restated Second UCSD Agreement at any time upon sixty (60)-days’ written notice to The Regents of UCSD.</w:t>
      </w:r>
    </w:p>
    <w:p>
      <w:pPr>
        <w:spacing w:after="0" w:line="16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October 4, 2021, the Company entered into an exclusive worldwide license agreement (as amended, the “Third UCSD Agreement” and collectively with the First UCSD Agreement and the Amended and Restated Second UCSD Agreement, the “UCSD Agreements”) with The Regents of UCSD to in-license materials and intellectual property related to LX2020, a gene therapy for arrhythmogenic right ventricular cardiomyopathy. The Third UCSD Agreement relates to the Company’s development efforts for its LX2020 program. In connection with the Third UCSD Agreement, the Company gained access to inventions, patent rights, technology, and licensed methods that it continues to develop, and it has assumed all worldwide development and commercialization activities with respect to the licensed technology. The Third UCSD Agreement required the Company to pay a one-time up-front non-refundable cash fee of $20,000 and requires the Company to pay aggregate development and commercialization milestones of up to $4.0 million, and low-to mid-single digit royalties based on aggregate net sales. Research and development expenses incurred by the Company and payments made to The Regents of UCSD under the terms of the Third UCSD Agreement include the one-time up-front non-refundable cash fee of $20,000 as well as a $0.1 million development milestone that was achieved during the third quarter of 2024. The Company has the right to terminate the Third UCSD Agreement at any time upon sixty (60)-days’ written notice to The Regents of UCSD.</w:t>
      </w:r>
    </w:p>
    <w:p>
      <w:pPr>
        <w:spacing w:after="0" w:line="1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December 3, 2021, the Company entered into two sponsored research agreements with The Regents of UCSD (the "First UCSD SRA", the "Second UCSD SRA", and collectively, the “Initial UCSD SRAs”) for the Company’s LX2020, LX2021 and LX2022 programs in connection with the UCSD Agreements. Under the terms of the Initial UCSD SRAs, the Company has the first rights to obtain non-exclusive or exclusive, sublicensable, royalty-bearing, perpetual and transferable worldwide licenses in any resulting inventions owned by The Regents of UCSD or resulting inventions jointly owned between the Company and The Regents of UCSD, and the Company retains the rights to any resulting inventions owned by the Company. The Initial UCSD SRAs each have a two-year term and may be terminated early by the Company at any time upon the giving of thirty (30)-days’ written notice to The Regents of UCSD. The total costs to be invoiced to the Company over the terms of the Initial UCSD SRAs are $5.6 million.</w:t>
      </w:r>
    </w:p>
    <w:p>
      <w:pPr>
        <w:spacing w:after="0" w:line="1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April 13, 2024, the Company entered into a third sponsored research agreement with The Regents of UCSD (as amended, the “Third UCSD SRA”) for the Company’s LX2022 program in connection with the Second UCSD Agreement. Under the terms of the Third UCSD SRA, the Company has the first rights to obtain non-exclusive or exclusive, sublicensable, royalty-bearing, perpetual and transferable worldwide licenses in any resulting inventions owned by The Regents of UCSD or resulting inventions jointly owned between the Company and The Regents of UCSD, and the Company retains the rights to any resulting inventions owned by the Company. The Third UCSD SRA has a two-year term and may be terminated early by the Company at any time upon the giving of thirty (30)-days’ written notice to The Regents of UCSD. The costs to be invoiced to the Company over the term of the Third UCSD SRA are $0.7 million, and the Company may incur additional costs of $0.6 million under the Third UCSD SRA if certain study objectives are met.</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April 13, 2024, the Company also entered into an amendment to the Second UCSD SRA (as amended, the "Amended Second UCSD SRA") for the Company’s LX2022 program that extended the term of the Second UCSD SRA to December 2024.</w:t>
      </w:r>
    </w:p>
    <w:p>
      <w:pPr>
        <w:spacing w:after="0" w:line="121"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On each of April 19, 2024 and September 27, 2024, the Company also entered into an amendment to the First UCSD SRA (as amended, the "Amended First UCSD SRA", and together with the Amended Second UCSD SRA and the Third UCSD SRA, as amended, the "UCSD SRAs") for the Company’s LX2021 program in connection with the First UCSD Agreement. The Amended First UCSD SRA extends the term of the First UCSD SRA to December 2026 and provides for additional research and development studies and expenses. The total costs to be invoiced to the Company under the Amended First UCSD SRA are $0.7 million.</w:t>
      </w:r>
    </w:p>
    <w:p>
      <w:pPr>
        <w:spacing w:after="0" w:line="14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did not incur any research and development expenses and paid $0.5 million to The Regents of UCSD in connection with the Amended UCSD SRAs. During the three months ended March 31, 2025, the Company incurred $34,000 of research and development expenses and paid $0.1 million to The Regents of UCSD in connection with the UCSD SRAs. The Company has incurred and paid cumulative totals of $5.7 million to The Regents of UCSD as of March 31, 2026, in connection with the UCSD SRAs.</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24" w:name="page25"/>
    <w:bookmarkEnd w:id="24"/>
    <w:p>
      <w:pPr>
        <w:ind w:right="440"/>
        <w:spacing w:after="0" w:line="268" w:lineRule="auto"/>
        <w:rPr>
          <w:sz w:val="20"/>
          <w:szCs w:val="20"/>
          <w:color w:val="auto"/>
        </w:rPr>
      </w:pPr>
      <w:r>
        <w:rPr>
          <w:rFonts w:ascii="Times New Roman" w:cs="Times New Roman" w:eastAsia="Times New Roman" w:hAnsi="Times New Roman"/>
          <w:sz w:val="18"/>
          <w:szCs w:val="18"/>
          <w:b w:val="1"/>
          <w:bCs w:val="1"/>
          <w:color w:val="auto"/>
        </w:rPr>
        <w:t>Myoventive, Inc.</w:t>
      </w:r>
      <w:r>
        <w:rPr>
          <w:rFonts w:ascii="Times New Roman" w:cs="Times New Roman" w:eastAsia="Times New Roman" w:hAnsi="Times New Roman"/>
          <w:sz w:val="18"/>
          <w:szCs w:val="18"/>
          <w:color w:val="auto"/>
        </w:rPr>
        <w:t>—In June 2025, the Company entered into a Collaboration and License Agreement with Tilia Therapeutics, Inc., now known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Myoventive, Inc. ("Myoventive" and the "Myoventive Agreement"), to develop therapies for genetic cardiac diseases utilizing a novel non-viral RNA platform.</w:t>
      </w:r>
    </w:p>
    <w:p>
      <w:pPr>
        <w:spacing w:after="0" w:line="14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the terms of the Myoventive Agreement, the Company contributed expertise in developing cardiac genetic medicines, certain existing preclinical intellectual property, and technology, which will be combined with a novel non-viral delivery platform. As consideration for its contributions, the Company received a double-digit percentage equity position in Myoventive and will be entitled to future milestone payments, royalties, and opt-in rights to certain program(s).</w:t>
      </w:r>
    </w:p>
    <w:p>
      <w:pPr>
        <w:spacing w:after="0" w:line="135"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b w:val="1"/>
          <w:bCs w:val="1"/>
          <w:color w:val="auto"/>
        </w:rPr>
        <w:t>Abiomed, Inc. (Johnson &amp; Johnson subsidiary)</w:t>
      </w:r>
      <w:r>
        <w:rPr>
          <w:rFonts w:ascii="Times New Roman" w:cs="Times New Roman" w:eastAsia="Times New Roman" w:hAnsi="Times New Roman"/>
          <w:sz w:val="18"/>
          <w:szCs w:val="18"/>
          <w:color w:val="auto"/>
        </w:rPr>
        <w:t>—In December 2025, the Company entered into a Collaboration Agreement with Abiomed,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("Abiomed" and the "Abiomed Agreement"), to investigate localized cardiac delivery of gene therapy. Under the Abiomed Agreement, the parties intend to advance the potential efficacy and safety profile of gene therapy for genetically mediated cardiovascular diseases by concentrating AAV-vector delivery to the heart by investigating cutting-edge routes of administration using the Impella</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heart pump technology. The Company did not incur or pay any research and development costs in connection with the Abiomed Agreement for the three months ended March 31, 2026.</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Segment Information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CODM is its CEO and senior leadership team. All of the Company’s operating results are reviewed by the Company’s CODM within the same statement of operations and comprehensive loss whether research and development (by program) or general and administrative in nature. Accordingly, the Company has determined that it has a single reportable segment and operating segment structure. The Company's CODM regularly reviews total expenses and expenses by significant areas such as departments and programs to make decisions when evaluating the Company's financial performance. The Company does not evaluate performance or allocate resources based on segment asset data and therefore such information is not presented. All long-lived assets are located in the United States.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contains additional information on the Company's net loss, including significant segment expenses for the three months ended March 31, 2026 and March 31,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284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68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6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LX2006</w:t>
            </w:r>
          </w:p>
        </w:tc>
        <w:tc>
          <w:tcPr>
            <w:tcW w:w="980" w:type="dxa"/>
            <w:vAlign w:val="bottom"/>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180" w:type="dxa"/>
            <w:vAlign w:val="bottom"/>
          </w:tcPr>
          <w:p>
            <w:pPr>
              <w:spacing w:after="0"/>
              <w:rPr>
                <w:sz w:val="18"/>
                <w:szCs w:val="18"/>
                <w:color w:val="auto"/>
              </w:rPr>
            </w:pP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00" w:type="dxa"/>
            <w:vAlign w:val="bottom"/>
          </w:tcPr>
          <w:p>
            <w:pPr>
              <w:spacing w:after="0"/>
              <w:rPr>
                <w:sz w:val="18"/>
                <w:szCs w:val="18"/>
                <w:color w:val="auto"/>
              </w:rPr>
            </w:pPr>
          </w:p>
        </w:tc>
      </w:tr>
      <w:tr>
        <w:trPr>
          <w:trHeight w:val="216"/>
        </w:trPr>
        <w:tc>
          <w:tcPr>
            <w:tcW w:w="768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LX2020</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programs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8"/>
                <w:szCs w:val="18"/>
                <w:color w:val="auto"/>
              </w:rPr>
            </w:pPr>
          </w:p>
        </w:tc>
      </w:tr>
      <w:tr>
        <w:trPr>
          <w:trHeight w:val="216"/>
        </w:trPr>
        <w:tc>
          <w:tcPr>
            <w:tcW w:w="768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Employee compensation expenses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Lab-related costs and supplies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8"/>
                <w:szCs w:val="18"/>
                <w:color w:val="auto"/>
              </w:rPr>
            </w:pPr>
          </w:p>
        </w:tc>
      </w:tr>
      <w:tr>
        <w:trPr>
          <w:trHeight w:val="216"/>
        </w:trPr>
        <w:tc>
          <w:tcPr>
            <w:tcW w:w="768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All other research and development expense</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Employee compensation expenses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 other general and administrative expense</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12,565</w:t>
            </w:r>
          </w:p>
        </w:tc>
        <w:tc>
          <w:tcPr>
            <w:tcW w:w="100" w:type="dxa"/>
            <w:vAlign w:val="bottom"/>
          </w:tcPr>
          <w:p>
            <w:pPr>
              <w:spacing w:after="0"/>
              <w:rPr>
                <w:sz w:val="18"/>
                <w:szCs w:val="18"/>
                <w:color w:val="auto"/>
              </w:rPr>
            </w:pPr>
          </w:p>
        </w:tc>
      </w:tr>
      <w:tr>
        <w:trPr>
          <w:trHeight w:val="216"/>
        </w:trPr>
        <w:tc>
          <w:tcPr>
            <w:tcW w:w="76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9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(2,137)</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(1,149)</w:t>
            </w:r>
          </w:p>
        </w:tc>
      </w:tr>
      <w:tr>
        <w:trPr>
          <w:trHeight w:val="20"/>
        </w:trPr>
        <w:tc>
          <w:tcPr>
            <w:tcW w:w="7680" w:type="dxa"/>
            <w:vAlign w:val="bottom"/>
            <w:tcBorders>
              <w:right w:val="single" w:sz="8" w:color="CFF0FC"/>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(20,196)</w:t>
            </w: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(32,656)</w:t>
            </w:r>
          </w:p>
        </w:tc>
      </w:tr>
      <w:tr>
        <w:trPr>
          <w:trHeight w:val="20"/>
        </w:trPr>
        <w:tc>
          <w:tcPr>
            <w:tcW w:w="768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-153670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 Subsequent Events</w:t>
      </w:r>
    </w:p>
    <w:p>
      <w:pPr>
        <w:spacing w:after="0" w:line="1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Subsequent events have been evaluated through May 14, 2026, which is the date that these unaudited condensed financial statements were issued and were available to be issued.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2026, the Company sold 4,424,778 shares of its common stock under the ATM Program pursuant to the Sales Agreement with Leerink at a volume-weighted average price of $5.65 per share, and received gross and net proceeds of $25.0 million and approximately $23.6 million, respectively, after deducting approximately $0.8 million of fees paid to Leerink and $0.6 million of other third-party offering costs (see Note 8).</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financial statements and the related notes appearing elsewhere in this Quarterly Report on Form 10-Q.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 Please also see the section titled “Special Note Regarding Forward Looking Statements.” Unless the context requires otherwise, references in this Quarterly Report on Form 10-Q to “we,” “us” and “our” refer to Lexeo Therapeutics, Inc.</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are a clinical stage genetic medicine company dedicated to reshaping heart health by applying pioneering science to fundamentally change how cardiovascular diseases are treated. We are advancing a portfolio of therapeutic candidates that take aim at the underlying genetic causes of conditions, including Friedreich ataxia, or FA, cardiomyopathy, plakophilin-2, or PKP2, arrhythmogenic cardiomyopathy, or ACM, and other devastating diseases with high unmet need.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LX2006 for the treatment of FA cardiomyopathy</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most advanced cardiovascular product candidate, LX2006 for the treatment of FA cardiomyopathy, is currently being evaluated in SUNRISE-FA, our ongoing Phase 1/2 clinical trial and in a Cornell investigator-initiated trial.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Clinical Data Updates</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October 2025, we provided an interim clinical update, which included baseline characteristics and safety data from the 17 treated participants across the two studies, and clinical efficacy data from the 16 participants who had reached at least six months follow-up as of that time. A summary of key observations from the October 2025 interim update is set forth below.</w:t>
      </w:r>
    </w:p>
    <w:p>
      <w:pPr>
        <w:spacing w:after="0" w:line="68" w:lineRule="exact"/>
        <w:rPr>
          <w:sz w:val="20"/>
          <w:szCs w:val="20"/>
          <w:color w:val="auto"/>
        </w:rPr>
      </w:pPr>
    </w:p>
    <w:p>
      <w:pPr>
        <w:ind w:left="1020" w:hanging="503"/>
        <w:spacing w:after="0" w:line="25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LVMI among participants with abnormal baseline LVMI (n=6). Five of six participants achieved &gt;10% by 12-month visit or sooner and six of six participants achieved LVMI measurements within the normal range as of latest visit. An 18% mean improvement in LVMI was observed at 6-month visit and a 23% mean improvement in LVMI was observed at 12-month visit, exceeding 10% FDA-aligned threshold for pivotal study. In the mid- and high-dose cohorts (n=3), a 28% mean improvement in LVMI was observed at 6-month visit and a 33% mean improvement in LVMI was observed at 12-month visit, suggesting dose-dependent improvement. Among participants with normal baseline LVMI (n=10), the majority demonstrated LVMI improvement or stabilization over time.</w:t>
      </w:r>
    </w:p>
    <w:p>
      <w:pPr>
        <w:spacing w:after="0" w:line="79"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secondary cardiac biomarkers. Fourteen of sixteen participants achieved &gt;25% reduction in high-sensitivity troponin I from baseline at latest visit. Fourteen of sixteen participants achieved reduction or stabilization in LWT from baseline at latest visit.</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mFARS as demonstrated by a 2.0-point mean improvement from baseline at latest visit across all participants. Eleven of sixteen participants achieved reduction or stabilization in mFARS from baseline at latest visit.</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reported data in April 2025 from ongoing SUNRISE-FA trial (n=8) showed that all study participants achieved increases in frataxin protein expression from baseline at 3-month visit, with dose-dependent increases observed across cohorts.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March 2026, we shared updated interim clinical data for LX2006 at the American College of Cardiology, or ACC, Annual Meeting. Phase 1/2 interim clinical data presented at the ACC Annual Meeting continue to show sustained or deepening improvements across both cardiac and neurologic measures of FA, including statistically significant improvement in mean mFARS scores for LX2006-treated participants compared to a propensity-matched control cohort from the UNIFAI natural history study.</w:t>
      </w:r>
    </w:p>
    <w:p>
      <w:pPr>
        <w:spacing w:after="0" w:line="1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Treatment with LX2006 has been generally well tolerated with no Grade 3 treatment-related SAEs to date, no clinically significant complement activation, minimal, transient liver function test, or LFT, elevations, and no signs of frataxin over-expression observed in cardiac tissue. One previously disclosed, possibly treatment-related Grade 2 event of asymptomatic myocarditis observed one year after dosing. No participants discontinued from either study.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Alignment</w:t>
      </w:r>
    </w:p>
    <w:p>
      <w:pPr>
        <w:spacing w:after="0" w:line="18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February 2025, we announced further alignment on elements of the accelerated development pathway following a Type B Regenerative Medicine Advanced Therapy, or RMAT, meeting with the U.S. Food and Drug Administration, or FDA, including frataxin expression co-primary endpoint to be evaluated for any increase from baseline rather than numerical threshold.</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6" w:name="page27"/>
    <w:bookmarkEnd w:id="26"/>
    <w:p>
      <w:pPr>
        <w:ind w:right="580"/>
        <w:spacing w:after="0" w:line="261" w:lineRule="auto"/>
        <w:rPr>
          <w:sz w:val="20"/>
          <w:szCs w:val="20"/>
          <w:color w:val="auto"/>
        </w:rPr>
      </w:pPr>
      <w:r>
        <w:rPr>
          <w:rFonts w:ascii="Times New Roman" w:cs="Times New Roman" w:eastAsia="Times New Roman" w:hAnsi="Times New Roman"/>
          <w:sz w:val="18"/>
          <w:szCs w:val="18"/>
          <w:color w:val="auto"/>
        </w:rPr>
        <w:t>In July 2025, we announced Breakthrough Therapy designation based on interim clinical data from Phase 1/2 trials showing clinically meaningful improvements in cardiac biomarkers and functional measures. We also announced that LX2006 was selected for the Chemistry, Manufacturing, and Controls Development and Readiness Pilot, or CDRP, Program, created to facilitate chemistry, manufacturing and controls, or CMC, registrational readiness and support faster patient access.</w:t>
      </w:r>
    </w:p>
    <w:p>
      <w:pPr>
        <w:spacing w:after="0" w:line="15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October 2025, in response to our questions regarding the possibility of a faster path to a Biologics License Application, or BLA, the FDA indicated openness to a BLA submission for accelerated approval that includes clinical data from the ongoing Phase 1/2 studies of LX2006 pooled with new clinical data to be generated in the planned pivotal study. The FDA also previously agreed to evaluate the co-primary endpoint of LVMI at a time point earlier than 12 months. Collectively, we believe this regulatory feedback has the potential to reduce the size and length of the planned pivotal study, possibly accelerating the overall timeline to BLA submission. We plan to initiate the LX2006 pivotal study in the second quarter of 2026, pending finalization of the trial protocol.</w:t>
      </w:r>
    </w:p>
    <w:p>
      <w:pPr>
        <w:spacing w:after="0" w:line="106" w:lineRule="exact"/>
        <w:rPr>
          <w:sz w:val="20"/>
          <w:szCs w:val="20"/>
          <w:color w:val="auto"/>
        </w:rPr>
      </w:pPr>
    </w:p>
    <w:p>
      <w:pPr>
        <w:ind w:right="20"/>
        <w:spacing w:after="0" w:line="236" w:lineRule="exact"/>
        <w:rPr>
          <w:sz w:val="20"/>
          <w:szCs w:val="20"/>
          <w:color w:val="auto"/>
        </w:rPr>
      </w:pPr>
      <w:r>
        <w:rPr>
          <w:rFonts w:ascii="Times New Roman" w:cs="Times New Roman" w:eastAsia="Times New Roman" w:hAnsi="Times New Roman"/>
          <w:sz w:val="18"/>
          <w:szCs w:val="18"/>
          <w:color w:val="auto"/>
        </w:rPr>
        <w:t>In February 2026, we submitted the final registrational trial design and statistical analysis plan, or SAP, for the SUNRISE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 2 pivotal study to the FDA following a Type B meeting. We are in contact with the FDA and are awaiting final feedback on the study protocol. We plan to provide an update when the protocol and SAP are finalized.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LX2020 for the treatment of arrhythmogenic cardiomyopathy</w:t>
      </w:r>
    </w:p>
    <w:p>
      <w:pPr>
        <w:spacing w:after="0" w:line="20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second most advanced cardiovascular product candidate, LX2020 for the treatment of ACM caused by mutations in the PKP2 gene, referred to as PKP2-ACM, is currently being evaluated in HEROIC-PKP2, an ongoing Phase 1/2 clinical trial.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Clinical Data Updates</w:t>
      </w:r>
    </w:p>
    <w:p>
      <w:pPr>
        <w:spacing w:after="0" w:line="22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January 2026, we provided an interim clinical data update, which included baseline characteristics and safety data from the ten participants dosed, including three participants in cohort 1 at the low dose and seven participants in cohorts 2 and 3 at the high dose. Clinical efficacy data were inclusive of those participants with at least 6 months of follow-up (n=8). A summary of key observations from the January 2026 interim update is set forth below.</w:t>
      </w:r>
    </w:p>
    <w:p>
      <w:pPr>
        <w:spacing w:after="0" w:line="68" w:lineRule="exact"/>
        <w:rPr>
          <w:sz w:val="20"/>
          <w:szCs w:val="20"/>
          <w:color w:val="auto"/>
        </w:rPr>
      </w:pPr>
    </w:p>
    <w:p>
      <w:pPr>
        <w:ind w:left="1020" w:right="6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Arrhythmia burden stabilized or improved in majority of participants with dose-dependent response in non-sustained ventricular tachycardia, or NSVT, and premature ventricular contractions, or PVCs. NSVT reduced or stabilized in the majority of participants, with a 22% mean improvement in high-dose cohorts at latest visit (n=5). PVCs reduced or stabilized in the majority of participants, with a 14% mean improvement in high-dose cohorts at latest visit.</w:t>
      </w:r>
    </w:p>
    <w:p>
      <w:pPr>
        <w:spacing w:after="0" w:line="71"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of five participants in high-dose cohorts report improvement relative to baseline on the Patient Global Impression of Change, or PGIC, scale, a patient-reported outcome measure.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stable across other clinical measures including QRS duration, T-wave inversion, right ventricular ejection fraction, or RVEF, and New York Heart Association, or NYHA, Class.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PKP2 protein expression versus baseline at three months in all participants that had undergone cardiac biopsies (n=7) assessed by western blot. Dose-dependent increases observed, with mean increase of 93% in the low-dose cohort (n=2) and 162% mean increase in the high-dose cohorts (n=5).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Across all participants dosed, LX2020 has been generally well-tolerated to date with no clinically significant complement activation.</w:t>
      </w:r>
    </w:p>
    <w:p>
      <w:pPr>
        <w:spacing w:after="0" w:line="198"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Each of our gene therapy candidates utilizes the vector construct, dose and route of administration that we believe will result in the most favorable biodistribution and safety profile for our product candidate for each disease. Our most advanced programs use the AAVrh10 vector due to its high transduction efficiency in myocardial cells, potential for lower toxicity given the opportunity to utilize lower doses compared to other well-established AAV serotypes, and low pre-existing immunity.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and Future Capital Requirements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 date, we have funded our operations primarily through proceeds from the sale of shares of our convertible preferred stock, common stock, and pre-funded warrants and warrants to purchase our common stock. As of March 31, 2026, we had $227.6 million of cash, cash equivalents, and investments in U.S. Treasury securities. We have incurred significant operating losses since the commencement of our operations. Our ability to generate product revenue sufficient to achieve profitability will depend heavily on the successful development and eventual commercialization of one or more of our current gene therapy candidates or any future gene therapy candidates. Our net losses for the three months ended March 31, 2026 and the year ended December 31, 2025 were $20.2 million and $100.0 million, respectively, and our accumulated deficit was $400.3 million at March 31, 2026. We expect to continue to incur significant losses for the foreseeable future as we advance our current and future product candidates through preclinical and clinical development, continue to build our operations and operate as a public company.</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7" w:name="page28"/>
    <w:bookmarkEnd w:id="27"/>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expect to continue to incur net operating losses for at least the next several years, and we expect our research and development expenses, general and administrative expenses, and capital expenditures to continue to increase. We expect our expenses and capital requirements will increase significantly in connection with our ongoing activities as we:</w:t>
      </w:r>
    </w:p>
    <w:p>
      <w:pPr>
        <w:spacing w:after="0" w:line="176" w:lineRule="exact"/>
        <w:rPr>
          <w:sz w:val="20"/>
          <w:szCs w:val="20"/>
          <w:color w:val="auto"/>
        </w:rPr>
      </w:pPr>
    </w:p>
    <w:p>
      <w:pPr>
        <w:ind w:left="760" w:right="160" w:hanging="378"/>
        <w:spacing w:after="0" w:line="234" w:lineRule="auto"/>
        <w:tabs>
          <w:tab w:leader="none" w:pos="7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continue our ongoing and planned clinical trials as well as research and development of our FA cardiomyopathy (LX2006) and arrhythmogenic cardiomyopathy caused by mutations in the PKP2 gene, or PKP2-ACM (LX2020) programs and other product candidates;</w:t>
      </w:r>
    </w:p>
    <w:p>
      <w:pPr>
        <w:spacing w:after="0" w:line="167"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initiate preclinical studies and clinical trials for any additional product candidates that we may pursue in the future;</w:t>
      </w:r>
    </w:p>
    <w:p>
      <w:pPr>
        <w:spacing w:after="0" w:line="165"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seek to discover and develop additional product candidates and further expand our clinical product pipeline;</w:t>
      </w:r>
    </w:p>
    <w:p>
      <w:pPr>
        <w:spacing w:after="0" w:line="179"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65"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invest in capital equipment in order to expand our research and development and manufacturing activities;</w:t>
      </w:r>
    </w:p>
    <w:p>
      <w:pPr>
        <w:spacing w:after="0" w:line="165"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attract, hire and retain additional clinical, scientific, quality control, regulatory, and manufacturing management and administrative personnel;</w:t>
      </w:r>
    </w:p>
    <w:p>
      <w:pPr>
        <w:spacing w:after="0" w:line="179"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add clinical, operational, financial and management information systems and personnel, including personnel to support our product development;</w:t>
      </w:r>
    </w:p>
    <w:p>
      <w:pPr>
        <w:spacing w:after="0" w:line="165"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develop, maintain, expand, protect and enforce our intellectual property portfolio, including patents, trade secrets and know-how;</w:t>
      </w:r>
    </w:p>
    <w:p>
      <w:pPr>
        <w:spacing w:after="0" w:line="165"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acquire or in-license other product candidates and technologies;</w:t>
      </w:r>
    </w:p>
    <w:p>
      <w:pPr>
        <w:spacing w:after="0" w:line="179"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expand our operations in the United States and to other geographies;</w:t>
      </w:r>
    </w:p>
    <w:p>
      <w:pPr>
        <w:spacing w:after="0" w:line="184" w:lineRule="exact"/>
        <w:rPr>
          <w:rFonts w:ascii="Times New Roman" w:cs="Times New Roman" w:eastAsia="Times New Roman" w:hAnsi="Times New Roman"/>
          <w:sz w:val="22"/>
          <w:szCs w:val="22"/>
          <w:color w:val="auto"/>
        </w:rPr>
      </w:pPr>
    </w:p>
    <w:p>
      <w:pPr>
        <w:ind w:left="760" w:right="680" w:hanging="378"/>
        <w:spacing w:after="0" w:line="234" w:lineRule="auto"/>
        <w:tabs>
          <w:tab w:leader="none" w:pos="7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incur additional legal, accounting, investor relations and other general and administrative expenses associated with operating as a public company; and</w:t>
      </w:r>
    </w:p>
    <w:p>
      <w:pPr>
        <w:spacing w:after="0" w:line="186" w:lineRule="exact"/>
        <w:rPr>
          <w:rFonts w:ascii="Times New Roman" w:cs="Times New Roman" w:eastAsia="Times New Roman" w:hAnsi="Times New Roman"/>
          <w:sz w:val="22"/>
          <w:szCs w:val="22"/>
          <w:color w:val="auto"/>
        </w:rPr>
      </w:pPr>
    </w:p>
    <w:p>
      <w:pPr>
        <w:ind w:left="760" w:right="780" w:hanging="378"/>
        <w:spacing w:after="0" w:line="234" w:lineRule="auto"/>
        <w:tabs>
          <w:tab w:leader="none" w:pos="7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establish a sales, marketing and distribution infrastructure, either ourselves or in partnership with others, to commercialize any product candidates, if approved, and related additional commercial manufacturing costs.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If our development efforts for LX2006 and LX2020, or any future product candidates, are successful and result in regulatory approval, or if we enter into collaboration or license agreements with third parties, we may generate revenue in the future from product sales, royalties or payments from such collaboration or license agreements, or a combination of product sales and payments from such agreements.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8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for our research activities, including our discovery efforts and the preclinical and clinical development of our programs. These expenses include:</w:t>
      </w:r>
    </w:p>
    <w:p>
      <w:pPr>
        <w:spacing w:after="0" w:line="162" w:lineRule="exact"/>
        <w:rPr>
          <w:sz w:val="20"/>
          <w:szCs w:val="20"/>
          <w:color w:val="auto"/>
        </w:rPr>
      </w:pPr>
    </w:p>
    <w:p>
      <w:pPr>
        <w:ind w:left="760" w:right="760" w:hanging="378"/>
        <w:spacing w:after="0" w:line="234" w:lineRule="auto"/>
        <w:tabs>
          <w:tab w:leader="none" w:pos="7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employee-related expenses, including salaries, benefits, and stock-based compensation expense for employees engaged in research and development functions;</w:t>
      </w:r>
    </w:p>
    <w:p>
      <w:pPr>
        <w:spacing w:after="0" w:line="186" w:lineRule="exact"/>
        <w:rPr>
          <w:rFonts w:ascii="Times New Roman" w:cs="Times New Roman" w:eastAsia="Times New Roman" w:hAnsi="Times New Roman"/>
          <w:sz w:val="22"/>
          <w:szCs w:val="22"/>
          <w:color w:val="auto"/>
        </w:rPr>
      </w:pPr>
    </w:p>
    <w:p>
      <w:pPr>
        <w:ind w:left="760" w:right="540" w:hanging="378"/>
        <w:spacing w:after="0" w:line="256" w:lineRule="auto"/>
        <w:tabs>
          <w:tab w:leader="none" w:pos="76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expenses incurred under agreements with third parties, such as consultants, clinical investigators, contractors and CROs that assist with (i) identification of potential product candidates in discovery platforms and (ii) the preclinical and clinical studies of our product candidates;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8" w:name="page29"/>
    <w:bookmarkEnd w:id="28"/>
    <w:p>
      <w:pPr>
        <w:jc w:val="both"/>
        <w:ind w:left="760" w:right="180" w:hanging="378"/>
        <w:spacing w:after="0" w:line="239" w:lineRule="auto"/>
        <w:tabs>
          <w:tab w:leader="none" w:pos="7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cost of developing and scaling our manufacturing process and manufacturing product candidates for use in our research, preclinical studies and clinical trials, including under agreements with third parties, such as consultants, contractors and contract manufacturing organizations, or CMOs;</w:t>
      </w:r>
    </w:p>
    <w:p>
      <w:pPr>
        <w:spacing w:after="0" w:line="181"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costs to maintain compliance with FDA and other regulatory requirements;</w:t>
      </w:r>
    </w:p>
    <w:p>
      <w:pPr>
        <w:spacing w:after="0" w:line="165"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laboratory supplies and research materials;</w:t>
      </w:r>
    </w:p>
    <w:p>
      <w:pPr>
        <w:spacing w:after="0" w:line="165"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facilities, depreciation, and other expenses, which include direct and allocated expenses for rent and maintenance of facilities;</w:t>
      </w:r>
    </w:p>
    <w:p>
      <w:pPr>
        <w:spacing w:after="0" w:line="179"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payments made under our licensing agreements with third parties, including milestone payments; and</w:t>
      </w:r>
    </w:p>
    <w:p>
      <w:pPr>
        <w:spacing w:after="0" w:line="165"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other expenses incurred as a result of research and development activities.</w:t>
      </w:r>
    </w:p>
    <w:p>
      <w:pPr>
        <w:spacing w:after="0" w:line="15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record research and development costs as expenses when incurred. Nonrefundable advance payments for goods and services that will be used in future research and development activities are expensed when the activity has been performed or when the goods have been received rather than when the payment is made. When third-party service providers’ billing terms do not coincide with our period-end, we are required to make estimates of our obligations to those third parties incurred in a given accounting period and record accruals at the end of the period. We base these estimates on our knowledge of the research and development programs, services performed for the period, past history for related activities and the expected duration of the third-party service contract, where applicable. If timelines or contracts are modified based upon changes in the scope of work to be performed, we modify our estimates of accrued expenses accordingly on a prospective basis; therefore, actual results could differ from our estimates. Upfront payments under license agreements are expensed upon receipt of the license, and annual maintenance fees under license agreements are expensed in the period in which they are incurred. Milestone payments under license agreements are accrued, with a corresponding expense being recognized, in the period in which the milestone is determined to be probable of achievement and the related amount is reasonably estimable.</w:t>
      </w:r>
    </w:p>
    <w:p>
      <w:pPr>
        <w:spacing w:after="0" w:line="1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direct research and development expenses are tracked on a program-by-program basis and consist primarily of external costs, such as fees paid to CROs, CMOs, central laboratories and certain outside consultants in connection with our research and discovery, preclinical development, process development, manufacturing, clinical development, clinical trials, regulatory and quality assurance activities. We do not allocate professional services costs and licensing fees and other similar costs to specific programs because these costs are deployed across multiple programs.</w:t>
      </w:r>
    </w:p>
    <w:p>
      <w:pPr>
        <w:spacing w:after="0" w:line="13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and account for a significant portion of our operating expenses. Product candidates in later stages of clinical development generally have higher development costs than those in earlier stages of clinical development, primarily due to the increased size and duration of later-stage clinical trials. As a result, we expect our research and development expenses to increase for the foreseeable future as we further advance LX2006 and LX2020, and any other future product candidates that we may develop, into and through preclinical studies and clinical trials and pursue regulatory approvals.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research, preclinical studies and clinical trials, regulatory developments and our assessments as to each product candidate’s commercial potential. In addition, we cannot forecast whether any of our current or future product candidates will be subject to future collaborations, when such arrangements will be secured, if at all, and to what degree such arrangements would affect our development plans and capital requirements. We are also unable to predict when, if ever, we will generate revenue from our product candidates to offset our expenses.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expenses, including salaries, benefits and stock-based compensation expense for personnel in executive, accounting, business development, legal, human resources and administrative functions. General and administrative expenses also include corporate facility costs not otherwise included in research and development expenses, depreciation, and other expenses, which include direct or allocated expenses for rent and maintenance of facilities and insurance, not otherwise included in research and development expenses, as well as professional fees for legal, consulting, investor and public relations, accounting and audit services.</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8" w:right="379" w:bottom="1440" w:gutter="0" w:footer="0" w:header="0"/>
        </w:sectPr>
      </w:pPr>
    </w:p>
    <w:bookmarkStart w:id="29" w:name="page30"/>
    <w:bookmarkEnd w:id="29"/>
    <w:p>
      <w:pPr>
        <w:ind w:right="40"/>
        <w:spacing w:after="0" w:line="261" w:lineRule="auto"/>
        <w:rPr>
          <w:sz w:val="20"/>
          <w:szCs w:val="20"/>
          <w:color w:val="auto"/>
        </w:rPr>
      </w:pPr>
      <w:r>
        <w:rPr>
          <w:rFonts w:ascii="Times New Roman" w:cs="Times New Roman" w:eastAsia="Times New Roman" w:hAnsi="Times New Roman"/>
          <w:sz w:val="18"/>
          <w:szCs w:val="18"/>
          <w:color w:val="auto"/>
        </w:rPr>
        <w:t>We expect that in the near to medium term future our general and administrative expenses may increase relative to those incurred during the three months ended March 31, 2026 on a quarterly basis and on an annualized basis, due to anticipated sales and marketing costs as we approach expected commercialization of our product candidates, if approved, while supporting the continued research and development of our programs and the growth of our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net includes foreign exchange gains and (losses).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is primarily associated with our finance right of use asset equipment leases.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89" w:lineRule="exact"/>
        <w:rPr>
          <w:sz w:val="20"/>
          <w:szCs w:val="20"/>
          <w:color w:val="auto"/>
        </w:rPr>
      </w:pPr>
    </w:p>
    <w:p>
      <w:pPr>
        <w:jc w:val="both"/>
        <w:ind w:right="740"/>
        <w:spacing w:after="0" w:line="282" w:lineRule="auto"/>
        <w:rPr>
          <w:sz w:val="20"/>
          <w:szCs w:val="20"/>
          <w:color w:val="auto"/>
        </w:rPr>
      </w:pPr>
      <w:r>
        <w:rPr>
          <w:rFonts w:ascii="Times New Roman" w:cs="Times New Roman" w:eastAsia="Times New Roman" w:hAnsi="Times New Roman"/>
          <w:sz w:val="18"/>
          <w:szCs w:val="18"/>
          <w:color w:val="auto"/>
        </w:rPr>
        <w:t>Interest income is primarily related to interest earned from our investments in U.S. government money market funds and interest earned from our investments in U.S. Treasury securities, as well as interest earned on interest-bearing demand deposit cash accounts and a cash collateral account.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premium) accretion of discount on investments in U.S. Treasury securities, net</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(Amortization of premium) and accretion of discount on investments in U.S. Treasury securities, net consists of amortization of premium and accretion of discount on our investments in U.S. Treasury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Provision for income taxes consists of U.S. federal and state income taxes in the jurisdictions where we conduct business. Since our inception, we have not recorded any income tax benefits for the net losses we have incurred in each year or for our research and development tax credits, as we believe, based upon the weight of available evidence, that it is more likely than not that all of our net operating loss, or NOL, carryforwards and tax credits will not be realized. Accordingly, we have recorded a full valuation allowance against our net deferred tax assets at March 31, 2026, December 31, 2025 and March 31, 2025. As of March 31, 2026, December 31, 2025 and March 31, 2025, we had no unrecognized tax benefits.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40" w:type="dxa"/>
            <w:vAlign w:val="bottom"/>
            <w:gridSpan w:val="8"/>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15,703</w:t>
            </w:r>
          </w:p>
        </w:tc>
        <w:tc>
          <w:tcPr>
            <w:tcW w:w="1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17,171</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16"/>
        </w:trPr>
        <w:tc>
          <w:tcPr>
            <w:tcW w:w="6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(10,004)</w:t>
            </w:r>
          </w:p>
        </w:tc>
        <w:tc>
          <w:tcPr>
            <w:tcW w:w="0" w:type="dxa"/>
            <w:vAlign w:val="bottom"/>
          </w:tcPr>
          <w:p>
            <w:pPr>
              <w:spacing w:after="0"/>
              <w:rPr>
                <w:sz w:val="1"/>
                <w:szCs w:val="1"/>
                <w:color w:val="auto"/>
              </w:rPr>
            </w:pPr>
          </w:p>
        </w:tc>
      </w:tr>
      <w:tr>
        <w:trPr>
          <w:trHeight w:val="20"/>
        </w:trPr>
        <w:tc>
          <w:tcPr>
            <w:tcW w:w="63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(11,472)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(22,333)</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(33,805)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and expense</w:t>
            </w:r>
          </w:p>
        </w:tc>
        <w:tc>
          <w:tcPr>
            <w:tcW w:w="32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(Amortization of premium) accretion of discount on investments in U.S. Treasury</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net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other income and expense</w:t>
            </w:r>
          </w:p>
        </w:tc>
        <w:tc>
          <w:tcPr>
            <w:tcW w:w="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 before income taxes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(20,196)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(32,656)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1"/>
        </w:trPr>
        <w:tc>
          <w:tcPr>
            <w:tcW w:w="63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-2579370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-2579370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-2579370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-2287905</wp:posOffset>
            </wp:positionV>
            <wp:extent cx="768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-2287905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-2287905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-1319530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-1319530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-1036955</wp:posOffset>
            </wp:positionV>
            <wp:extent cx="768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-1036955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-1036955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for the three months ended March 31, 2026 and 2025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5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2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9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external research and development expenses by program:</w:t>
            </w:r>
          </w:p>
        </w:tc>
        <w:tc>
          <w:tcPr>
            <w:tcW w:w="72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LX2006</w:t>
            </w:r>
          </w:p>
        </w:tc>
        <w:tc>
          <w:tcPr>
            <w:tcW w:w="15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LX2020</w:t>
            </w:r>
          </w:p>
        </w:tc>
        <w:tc>
          <w:tcPr>
            <w:tcW w:w="7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(3,035)</w:t>
            </w:r>
          </w:p>
        </w:tc>
        <w:tc>
          <w:tcPr>
            <w:tcW w:w="0" w:type="dxa"/>
            <w:vAlign w:val="bottom"/>
          </w:tcPr>
          <w:p>
            <w:pPr>
              <w:spacing w:after="0"/>
              <w:rPr>
                <w:sz w:val="1"/>
                <w:szCs w:val="1"/>
                <w:color w:val="auto"/>
              </w:rPr>
            </w:pPr>
          </w:p>
        </w:tc>
      </w:tr>
      <w:tr>
        <w:trPr>
          <w:trHeight w:val="216"/>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programs</w:t>
            </w: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direct external research and development expenses by program</w:t>
            </w:r>
          </w:p>
        </w:tc>
        <w:tc>
          <w:tcPr>
            <w:tcW w:w="7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09"/>
        </w:trPr>
        <w:tc>
          <w:tcPr>
            <w:tcW w:w="5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720" w:type="dxa"/>
            <w:vAlign w:val="bottom"/>
            <w:tcBorders>
              <w:top w:val="single" w:sz="8" w:color="CFF0F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Employee and stock-based compensation expenses</w:t>
            </w:r>
          </w:p>
        </w:tc>
        <w:tc>
          <w:tcPr>
            <w:tcW w:w="7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(1,483)</w:t>
            </w:r>
          </w:p>
        </w:tc>
        <w:tc>
          <w:tcPr>
            <w:tcW w:w="0" w:type="dxa"/>
            <w:vAlign w:val="bottom"/>
          </w:tcPr>
          <w:p>
            <w:pPr>
              <w:spacing w:after="0"/>
              <w:rPr>
                <w:sz w:val="1"/>
                <w:szCs w:val="1"/>
                <w:color w:val="auto"/>
              </w:rPr>
            </w:pPr>
          </w:p>
        </w:tc>
      </w:tr>
      <w:tr>
        <w:trPr>
          <w:trHeight w:val="216"/>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Lab-related costs and supplies</w:t>
            </w: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7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unallocated costs, including facilities</w:t>
            </w: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unallocated research and development expenses:</w:t>
            </w:r>
          </w:p>
        </w:tc>
        <w:tc>
          <w:tcPr>
            <w:tcW w:w="7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0"/>
        </w:trPr>
        <w:tc>
          <w:tcPr>
            <w:tcW w:w="592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5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15,703</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17,171</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-996950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-996950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-996950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-156845</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-156845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net decrease of $1.5 million in total research and development expenses for the three months ended March 31, 2026 compared to the three months ended March 31, 2025 was primarily due to decreases in (i) employee and stock-based compensation expenses of $1.5 million primarily due to decreased headcount, (ii) CMC expenses of $0.8 million, and (iii) preclinical and quality expenses of $0.4 million. These decreases were primarily offset by increases in (i) clinical trial expenses of $0.5 million, (ii) milestone expenses of $0.4 million associated with our LX1001 program, and (iii) program and portfolio management expenses of $0.3 million.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net decrease of $10.0 million in general and administrative expenses for the three months ended March 31, 2026 compared to the three months ended March 31, 2025 was primarily due to decreases in (i) third-party legal fees and associated costs of $10.5 million, and (ii) employee and stock-based compensation expenses of $0.4 million primarily due to decreased headcount. These decreases were partially offset by increased professional services and consultant expenses of $0.4 million.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recognized interest income of $2.1 million and $1.2 million for the three months ended March 31, 2026 and March 31, 2025, respectively, primarily related to interest earned on our investments in U.S. government money market funds, our investments in U.S Treasury securities, and our interest-bearing demand deposit cash accounts, with the increase due to higher invested balances, which was partially offset by lower interest rates.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our operations. We expect to incur significant expenses and operating losses for the foreseeable future as we advance the clinical development of our product candidates. Since our inception through March 31, 2026, we funded our operations primarily through proceeds from the sale of shares of our convertible preferred stock, common stock, and pre-funded warrants and warrants to purchase our common stock. As of March 31, 2026 and December 31, 2025, we had cash, cash equivalents, and investments in U.S. Treasury Securities of $227.6 million and $246.6 million, respectively.</w:t>
      </w:r>
    </w:p>
    <w:p>
      <w:pPr>
        <w:spacing w:after="0" w:line="1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2026, we had not sold any shares of common stock pursuant to the ATM Program. In April 2026, we sold 4,424,778 shares of our common stock under the ATM Program for net proceeds of $23.6 million after transaction costs.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believe that our cash, cash equivalents, and investments in U.S. Treasury securities balances will be sufficient to fund our planned operating expenses and capital expenditure requirements into 2028. Our total future capital requirements will depend on many factors and are subject to the risks and uncertainties set forth in “Item 1A Risk Factors.”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three months ended March 31, 2026 and March 31, 2025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780" w:type="dxa"/>
            <w:vAlign w:val="bottom"/>
            <w:tcBorders>
              <w:bottom w:val="single" w:sz="8" w:color="auto"/>
            </w:tcBorders>
            <w:gridSpan w:val="5"/>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5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3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(21,144)</w:t>
            </w: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(21,716)</w:t>
            </w:r>
          </w:p>
        </w:tc>
      </w:tr>
      <w:tr>
        <w:trPr>
          <w:trHeight w:val="216"/>
        </w:trPr>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100" w:type="dxa"/>
            <w:vAlign w:val="bottom"/>
          </w:tcPr>
          <w:p>
            <w:pPr>
              <w:spacing w:after="0"/>
              <w:rPr>
                <w:sz w:val="18"/>
                <w:szCs w:val="18"/>
                <w:color w:val="auto"/>
              </w:rPr>
            </w:pPr>
          </w:p>
        </w:tc>
      </w:tr>
      <w:tr>
        <w:trPr>
          <w:trHeight w:val="216"/>
        </w:trPr>
        <w:tc>
          <w:tcPr>
            <w:tcW w:w="53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3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332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8,768</w:t>
            </w:r>
          </w:p>
        </w:tc>
        <w:tc>
          <w:tcPr>
            <w:tcW w:w="160" w:type="dxa"/>
            <w:vAlign w:val="bottom"/>
          </w:tcPr>
          <w:p>
            <w:pPr>
              <w:spacing w:after="0"/>
              <w:rPr>
                <w:sz w:val="19"/>
                <w:szCs w:val="19"/>
                <w:color w:val="auto"/>
              </w:rPr>
            </w:pP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-156845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net cash used in operating activities consisted primarily of our net loss of $20.2 million and $4.2 million of net cash used in changes in operating assets and liabilities, which were partially offset by $2.8 million of stock-based compensation expense and $0.5 million of depreciation expense and amortization of operating and finance right-of-use assets.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net cash used in operating activities consisted primarily of our net loss of $32.7 million, which was partially offset by $6.7 million of net cash provided by changes in operating assets and liabilities, $3.7 million of stock-based compensation expense, and $0.5 million of depreciation and amortization of operating and finance right-of-use assets.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March 31, 2025, net cash provided by investing activities was $27.5 million and $15.6 million, respectively, and consisted primarily of proceeds from sales or maturities of 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financing activities consisted primarily of proceeds received from the exercise of common warrants of $2.4 million, as well as proceeds received from common stock issuances under the 2023 ESPP of $0.1 million, which were partially offset by $0.1 million of principal payments made on equipment finance leases.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provided by financing activities consisted of proceeds received from common stock issuances under the 2023 ESPP of $0.2 million, which was partially offset by $0.2 million of principal payments made on equipment finance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expect our expenses and capital requirements to increase significantly in connection with our ongoing activities, particularly as we advance our lead product candidates and other development programs. Accordingly, we will continue to require substantial additional funding to support our continuing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and amount of our future operating and capital requirements will largely depend on many factors, including:</w:t>
      </w:r>
    </w:p>
    <w:p>
      <w:pPr>
        <w:spacing w:after="0" w:line="185" w:lineRule="exact"/>
        <w:rPr>
          <w:sz w:val="20"/>
          <w:szCs w:val="20"/>
          <w:color w:val="auto"/>
        </w:rPr>
      </w:pPr>
    </w:p>
    <w:p>
      <w:pPr>
        <w:ind w:left="1020" w:right="1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scope, progress, timing, results and costs of product discovery, preclinical studies and clinical trials for our product candidates or any future candidates we may develop;</w:t>
      </w:r>
    </w:p>
    <w:p>
      <w:pPr>
        <w:spacing w:after="0" w:line="134" w:lineRule="exact"/>
        <w:rPr>
          <w:rFonts w:ascii="Times New Roman" w:cs="Times New Roman" w:eastAsia="Times New Roman" w:hAnsi="Times New Roman"/>
          <w:sz w:val="18"/>
          <w:szCs w:val="18"/>
          <w:color w:val="auto"/>
        </w:rPr>
      </w:pPr>
    </w:p>
    <w:p>
      <w:pPr>
        <w:ind w:left="1020" w:right="8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with Cornell University, Adverum, The Regents of UCSD, and any other key licensors or collaborators;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84" w:lineRule="exact"/>
        <w:rPr>
          <w:rFonts w:ascii="Times New Roman" w:cs="Times New Roman" w:eastAsia="Times New Roman" w:hAnsi="Times New Roman"/>
          <w:sz w:val="18"/>
          <w:szCs w:val="18"/>
          <w:color w:val="auto"/>
        </w:rPr>
      </w:pPr>
    </w:p>
    <w:p>
      <w:pPr>
        <w:jc w:val="both"/>
        <w:ind w:left="1020" w:right="24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seeking and obtaining regulatory approvals from the FDA and comparable foreign regulatory authorities, including the potential for such authorities to require that we perform more preclinical studies or clinical trials than those that we currently expect or change their requirements on studies that had previously been agreed to;</w:t>
      </w:r>
    </w:p>
    <w:p>
      <w:pPr>
        <w:spacing w:after="0" w:line="1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2" w:name="page33"/>
    <w:bookmarkEnd w:id="32"/>
    <w:p>
      <w:pPr>
        <w:ind w:left="1020" w:right="3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collaboration agreements we have or may enter into;</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collaboration agreements, if any;</w:t>
      </w:r>
    </w:p>
    <w:p>
      <w:pPr>
        <w:spacing w:after="0" w:line="184"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establish, maintain, expand, enforce and defend the scope of our intellectual property portfolio, including preparing, filing and prosecuting patent applications, maintaining and enforcing our intellectual property rights and defending intellectual property-related claims;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commercial production;</w:t>
      </w:r>
    </w:p>
    <w:p>
      <w:pPr>
        <w:spacing w:after="0" w:line="184"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approvals to market our product candidates; and</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w:t>
      </w:r>
    </w:p>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may be unable to raise additional funds or enter into potential collaborations, strategic partnerships or marketing, distribution, licensing or other similar agreements or arrangements on favorable terms, or at all. To the extent that we raise additional capital through the sale of equity or convertible debt securities, your stockholder ownership interest will be diluted. If we fail to raise capital or enter into such agreements or arrangements as, and when, needed, we may have to significantly delay, scale back or discontinue the development or commercialization of our product candidates or grant rights to develop and market product candidates that we would otherwise prefer to develop and market ourselves.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U.S. generally accepted accounting principles, or U.S. GAAP. The preparation of our financial statements and related disclosures requires us to make estimates and judgments that affect the reported amounts of assets, liabilities, expenses, and the disclosure of our contingent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Other than as disclosed in Note 2 to the condensed financial statements included in this Quarterly Report on Form 10-Q, there have been no significant changes to our critical accounting estimates from those described in our audited financial statements as of and for the year ended December 31, 2025 included in our Annual Report on Form 10-K, filed with the SEC on March 30,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qualify as an “emerging growth company” pursuant to the provisions of the JOBS Act. As an emerging growth company,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smaller reporting company, as defined by Rule 12b-2 under the Exchange Act and are not required to provide the information under this item.</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required by Rule 13a-15(d) of the Exchange Act, our management, including our principal executive officer and our principal financial officer, conducted an evaluation of our internal control over financial reporting to determine whether any change occurred during the period covered by this Quarterly Report on Form 10-Q that has materially affected, or is reasonably likely to materially affect, our internal control over financial reporting. Based on the evaluation of our disclosure controls and procedures at March 31, 2026, our principal executive officer and our principal financial officer concluded that, as of such date, our disclosure controls and procedures were effective at the reasonable assurance level.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fiscal quarter ended March 31, 2026 that materially affected, or are reasonably likely to materially affect, our internal control over financial reporting.</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57" w:right="41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Legal Proceedings, see Note 11 to the condensed financial statements included in Part I, Item 1 of this Quarterly Report on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carefully the risks and uncertainties described below, together with all of the other information in this Quarterly Report, including the section titled “Management’s Discussion and Analysis of Financial Condition and Results of Operations” and our financial statements and related notes included elsewhere in this Quarterly Report, before deciding whether to invest in our common stock. The risks and uncertainties described below are not the only ones we face. Additional risks and uncertainties that we are unaware of, or that we currently believe are not material, may also become important factors that affect us. If any of the following risks are realized, our business, financial condition, results of operations and prospects could be materially and adversely affected. In that event, the price of our common stock could decline, and you could lose part or all of your investment. We cannot provide assurance that any of the events discussed below will not occur.</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in our common stock involves a high degree of risk because our business is subject to numerous risks and uncertainties, as fully described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factors and uncertainties that make investing in our common stock risky include, among others:</w:t>
      </w:r>
    </w:p>
    <w:p>
      <w:pPr>
        <w:spacing w:after="0" w:line="166" w:lineRule="exact"/>
        <w:rPr>
          <w:sz w:val="20"/>
          <w:szCs w:val="20"/>
          <w:color w:val="auto"/>
        </w:rPr>
      </w:pPr>
    </w:p>
    <w:p>
      <w:pPr>
        <w:ind w:left="380" w:right="120" w:hanging="372"/>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we expect to incur significant net losses for the foreseeable future and may not be able to achieve or sustain revenue or profitability in the future;</w:t>
      </w:r>
    </w:p>
    <w:p>
      <w:pPr>
        <w:spacing w:after="0" w:line="13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no products approved for commercial sale;</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raise capital when needed, we could be forced to curtail our planned operations and the pursuit of our growth strategy;</w:t>
      </w:r>
    </w:p>
    <w:p>
      <w:pPr>
        <w:spacing w:after="0" w:line="184"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stockholders, restrict our operations or require us to relinquish rights to our technologies or product candidates;</w:t>
      </w:r>
    </w:p>
    <w:p>
      <w:pPr>
        <w:spacing w:after="0" w:line="134"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our ability to advance our current and future product candidates through preclinical studies and clinical trials, obtain marketing approval and ultimately commercialize them. If we are unable to or experience significant delays in doing so, our business will be materially harmed;</w:t>
      </w:r>
    </w:p>
    <w:p>
      <w:pPr>
        <w:spacing w:after="0" w:line="135" w:lineRule="exact"/>
        <w:rPr>
          <w:rFonts w:ascii="Times New Roman" w:cs="Times New Roman" w:eastAsia="Times New Roman" w:hAnsi="Times New Roman"/>
          <w:sz w:val="18"/>
          <w:szCs w:val="18"/>
          <w:color w:val="auto"/>
        </w:rPr>
      </w:pPr>
    </w:p>
    <w:p>
      <w:pPr>
        <w:ind w:left="380" w:right="100" w:hanging="372"/>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developing novel gene therapy product candidates, which makes it difficult to predict the time, cost and potential success of product candidate development;</w:t>
      </w:r>
    </w:p>
    <w:p>
      <w:pPr>
        <w:spacing w:after="0" w:line="121" w:lineRule="exact"/>
        <w:rPr>
          <w:rFonts w:ascii="Times New Roman" w:cs="Times New Roman" w:eastAsia="Times New Roman" w:hAnsi="Times New Roman"/>
          <w:sz w:val="18"/>
          <w:szCs w:val="18"/>
          <w:color w:val="auto"/>
        </w:rPr>
      </w:pPr>
    </w:p>
    <w:p>
      <w:pPr>
        <w:ind w:left="380" w:right="160" w:hanging="372"/>
        <w:spacing w:after="0" w:line="266"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gene therapy is novel and the regulatory landscape that governs any product candidates we may develop is rigorous, complex, uncertain and subject to change, we cannot predict with certainty the geographic areas in which we could obtain regulatory approval or the time and cost of obtaining regulatory approval, if we receive it at all, for any product candidates we may develop;</w:t>
      </w:r>
    </w:p>
    <w:p>
      <w:pPr>
        <w:spacing w:after="0" w:line="148" w:lineRule="exact"/>
        <w:rPr>
          <w:rFonts w:ascii="Times New Roman" w:cs="Times New Roman" w:eastAsia="Times New Roman" w:hAnsi="Times New Roman"/>
          <w:sz w:val="18"/>
          <w:szCs w:val="18"/>
          <w:color w:val="auto"/>
        </w:rPr>
      </w:pPr>
    </w:p>
    <w:p>
      <w:pPr>
        <w:ind w:left="380" w:right="100" w:hanging="372"/>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and clinical trials are expensive, time-consuming, difficult to design and implement and involve an uncertain outcome. Further, we may encounter substantial delays in completing the development of our product candidates;</w:t>
      </w:r>
    </w:p>
    <w:p>
      <w:pPr>
        <w:spacing w:after="0" w:line="121" w:lineRule="exact"/>
        <w:rPr>
          <w:rFonts w:ascii="Times New Roman" w:cs="Times New Roman" w:eastAsia="Times New Roman" w:hAnsi="Times New Roman"/>
          <w:sz w:val="18"/>
          <w:szCs w:val="18"/>
          <w:color w:val="auto"/>
        </w:rPr>
      </w:pPr>
    </w:p>
    <w:p>
      <w:pPr>
        <w:ind w:left="380" w:right="120" w:hanging="372"/>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EMA and comparable foreign authorities are lengthy, time-consuming and inherently unpredictable. If we are not able to obtain required regulatory approval for our product candidates, our business will be substantially harmed;</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preclinical studies or earlier clinical trials may not be indicative of results in future clinical trials;</w:t>
      </w:r>
    </w:p>
    <w:p>
      <w:pPr>
        <w:spacing w:after="0" w:line="198" w:lineRule="exact"/>
        <w:rPr>
          <w:rFonts w:ascii="Times New Roman" w:cs="Times New Roman" w:eastAsia="Times New Roman" w:hAnsi="Times New Roman"/>
          <w:sz w:val="18"/>
          <w:szCs w:val="18"/>
          <w:color w:val="auto"/>
        </w:rPr>
      </w:pPr>
    </w:p>
    <w:p>
      <w:pPr>
        <w:ind w:left="380" w:right="160" w:hanging="372"/>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results from our clinical trials that we announce, publish or present from time to time may change as more patient data become available and are subject to audit and verification procedures that could result in material changes in the final data;</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ind w:left="372" w:right="120" w:hanging="372"/>
        <w:spacing w:after="0" w:line="258" w:lineRule="auto"/>
        <w:tabs>
          <w:tab w:leader="none" w:pos="3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 We may also identify safety and efficacy concerns after the approval of a product candidate which can result in negative consequences to our business and results of operations;</w:t>
      </w:r>
    </w:p>
    <w:p>
      <w:pPr>
        <w:spacing w:after="0" w:line="156" w:lineRule="exact"/>
        <w:rPr>
          <w:rFonts w:ascii="Times New Roman" w:cs="Times New Roman" w:eastAsia="Times New Roman" w:hAnsi="Times New Roman"/>
          <w:sz w:val="18"/>
          <w:szCs w:val="18"/>
          <w:color w:val="auto"/>
        </w:rPr>
      </w:pPr>
    </w:p>
    <w:p>
      <w:pPr>
        <w:ind w:left="372" w:right="80" w:hanging="372"/>
        <w:spacing w:after="0" w:line="266" w:lineRule="auto"/>
        <w:tabs>
          <w:tab w:leader="none" w:pos="3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the diseases we initially seek to treat have low prevalence and it may be difficult to identify and enroll patients with these diseases. If we experience delays or difficulties in the enrollment and/or maintenance of patients in clinical trials, our receipt of necessary regulatory approvals could be delayed or prevented;</w:t>
      </w:r>
    </w:p>
    <w:p>
      <w:pPr>
        <w:spacing w:after="0" w:line="135" w:lineRule="exact"/>
        <w:rPr>
          <w:rFonts w:ascii="Times New Roman" w:cs="Times New Roman" w:eastAsia="Times New Roman" w:hAnsi="Times New Roman"/>
          <w:sz w:val="18"/>
          <w:szCs w:val="18"/>
          <w:color w:val="auto"/>
        </w:rPr>
      </w:pPr>
    </w:p>
    <w:p>
      <w:pPr>
        <w:jc w:val="both"/>
        <w:ind w:left="372" w:right="60" w:hanging="372"/>
        <w:spacing w:after="0" w:line="266" w:lineRule="auto"/>
        <w:tabs>
          <w:tab w:leader="none" w:pos="3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seek Orphan Drug designation or Rare Pediatric Disease designation for some of our product candidates and we may be unsuccessful, or may be unable to maintain the benefits associated with Orphan Drug designation, including the potential for market exclusivity, for product candidates for which we obtain Orphan Drug designation;</w:t>
      </w:r>
    </w:p>
    <w:p>
      <w:pPr>
        <w:spacing w:after="0" w:line="135" w:lineRule="exact"/>
        <w:rPr>
          <w:rFonts w:ascii="Times New Roman" w:cs="Times New Roman" w:eastAsia="Times New Roman" w:hAnsi="Times New Roman"/>
          <w:sz w:val="18"/>
          <w:szCs w:val="18"/>
          <w:color w:val="auto"/>
        </w:rPr>
      </w:pPr>
    </w:p>
    <w:p>
      <w:pPr>
        <w:ind w:left="372" w:right="320" w:hanging="372"/>
        <w:spacing w:after="0" w:line="282" w:lineRule="auto"/>
        <w:tabs>
          <w:tab w:leader="none" w:pos="3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Fast Track, Breakthrough Therapy, or Regenerative Medicine Advanced Therapy designation that we may receive from the FDA may not actually lead to a faster development or regulatory review or approval process, and does not assure FDA approval of our product candidates;</w:t>
      </w:r>
    </w:p>
    <w:p>
      <w:pPr>
        <w:spacing w:after="0" w:line="134" w:lineRule="exact"/>
        <w:rPr>
          <w:rFonts w:ascii="Times New Roman" w:cs="Times New Roman" w:eastAsia="Times New Roman" w:hAnsi="Times New Roman"/>
          <w:sz w:val="18"/>
          <w:szCs w:val="18"/>
          <w:color w:val="auto"/>
        </w:rPr>
      </w:pPr>
    </w:p>
    <w:p>
      <w:pPr>
        <w:ind w:left="372" w:right="120" w:hanging="372"/>
        <w:spacing w:after="0" w:line="266" w:lineRule="auto"/>
        <w:tabs>
          <w:tab w:leader="none" w:pos="3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Rare Pediatric Disease designation from the FDA for LX2006 for the treatment of FA and we may seek such designation for future product candidates if Congress extends the rare pediatric disease priority review program. However, a marketing application for these product candidates, if approved, may not meet the eligibility criteria for a rare pediatric disease priority review voucher;</w:t>
      </w:r>
    </w:p>
    <w:p>
      <w:pPr>
        <w:spacing w:after="0" w:line="135" w:lineRule="exact"/>
        <w:rPr>
          <w:rFonts w:ascii="Times New Roman" w:cs="Times New Roman" w:eastAsia="Times New Roman" w:hAnsi="Times New Roman"/>
          <w:sz w:val="18"/>
          <w:szCs w:val="18"/>
          <w:color w:val="auto"/>
        </w:rPr>
      </w:pPr>
    </w:p>
    <w:p>
      <w:pPr>
        <w:jc w:val="both"/>
        <w:ind w:left="372" w:right="320" w:hanging="372"/>
        <w:spacing w:after="0" w:line="266" w:lineRule="auto"/>
        <w:tabs>
          <w:tab w:leader="none" w:pos="3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contract manufacturers are subject to significant regulation with respect to manufacturing our products. The third-party manufacturing facilities on which we rely, and any manufacturing facility that we may have in the future, may have limited capacity or fail to meet the applicable stringent regulatory requirements;</w:t>
      </w:r>
    </w:p>
    <w:p>
      <w:pPr>
        <w:spacing w:after="0" w:line="135" w:lineRule="exact"/>
        <w:rPr>
          <w:rFonts w:ascii="Times New Roman" w:cs="Times New Roman" w:eastAsia="Times New Roman" w:hAnsi="Times New Roman"/>
          <w:sz w:val="18"/>
          <w:szCs w:val="18"/>
          <w:color w:val="auto"/>
        </w:rPr>
      </w:pPr>
    </w:p>
    <w:p>
      <w:pPr>
        <w:ind w:left="372" w:right="60" w:hanging="372"/>
        <w:spacing w:after="0" w:line="282" w:lineRule="auto"/>
        <w:tabs>
          <w:tab w:leader="none" w:pos="3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 therapies are novel, complex and difficult to manufacture. We could experience manufacturing problems that result in delays in the development or commercialization of our product candidates or otherwise harm our business;</w:t>
      </w:r>
    </w:p>
    <w:p>
      <w:pPr>
        <w:spacing w:after="0" w:line="134" w:lineRule="exact"/>
        <w:rPr>
          <w:rFonts w:ascii="Times New Roman" w:cs="Times New Roman" w:eastAsia="Times New Roman" w:hAnsi="Times New Roman"/>
          <w:sz w:val="18"/>
          <w:szCs w:val="18"/>
          <w:color w:val="auto"/>
        </w:rPr>
      </w:pPr>
    </w:p>
    <w:p>
      <w:pPr>
        <w:ind w:left="372" w:right="120" w:hanging="372"/>
        <w:spacing w:after="0" w:line="282" w:lineRule="auto"/>
        <w:tabs>
          <w:tab w:leader="none" w:pos="3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suppliers for materials used in the manufacture of our product candidates, and the loss of these third-party suppliers or their inability to supply us with adequate materials could harm our business;</w:t>
      </w:r>
    </w:p>
    <w:p>
      <w:pPr>
        <w:spacing w:after="0" w:line="121" w:lineRule="exact"/>
        <w:rPr>
          <w:rFonts w:ascii="Times New Roman" w:cs="Times New Roman" w:eastAsia="Times New Roman" w:hAnsi="Times New Roman"/>
          <w:sz w:val="18"/>
          <w:szCs w:val="18"/>
          <w:color w:val="auto"/>
        </w:rPr>
      </w:pPr>
    </w:p>
    <w:p>
      <w:pPr>
        <w:ind w:left="372" w:right="260" w:hanging="372"/>
        <w:spacing w:after="0" w:line="282" w:lineRule="auto"/>
        <w:tabs>
          <w:tab w:leader="none" w:pos="3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any of our product candidates receive marketing approval, they may fail to achieve the degree of market acceptance by physicians, patients, third-party payors and others in the medical community necessary for commercial success;</w:t>
      </w:r>
    </w:p>
    <w:p>
      <w:pPr>
        <w:spacing w:after="0" w:line="121" w:lineRule="exact"/>
        <w:rPr>
          <w:rFonts w:ascii="Times New Roman" w:cs="Times New Roman" w:eastAsia="Times New Roman" w:hAnsi="Times New Roman"/>
          <w:sz w:val="18"/>
          <w:szCs w:val="18"/>
          <w:color w:val="auto"/>
        </w:rPr>
      </w:pPr>
    </w:p>
    <w:p>
      <w:pPr>
        <w:ind w:left="372" w:right="180" w:hanging="372"/>
        <w:spacing w:after="0" w:line="261" w:lineRule="auto"/>
        <w:tabs>
          <w:tab w:leader="none" w:pos="3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collaborations with several leading academic institutions to conduct research and development for many of our pipeline programs, including conducting preclinical and IND-enabling studies for portions of our near-term future pipeline. Failure or delay of our academic partners to fulfill all or part of their respective obligations to us under our agreements, a breakdown in collaboration between the parties or a complete or partial loss of either of these relationships could materially harm our business;</w:t>
      </w:r>
    </w:p>
    <w:p>
      <w:pPr>
        <w:spacing w:after="0" w:line="152" w:lineRule="exact"/>
        <w:rPr>
          <w:rFonts w:ascii="Times New Roman" w:cs="Times New Roman" w:eastAsia="Times New Roman" w:hAnsi="Times New Roman"/>
          <w:sz w:val="18"/>
          <w:szCs w:val="18"/>
          <w:color w:val="auto"/>
        </w:rPr>
      </w:pPr>
    </w:p>
    <w:p>
      <w:pPr>
        <w:ind w:left="372" w:hanging="372"/>
        <w:spacing w:after="0" w:line="282" w:lineRule="auto"/>
        <w:tabs>
          <w:tab w:leader="none" w:pos="3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continue to rely on third parties to conduct a significant portion of our existing clinical trials and potential future clinical trials for product candidates, and those third parties may not perform satisfactorily, including failing to meet deadlines for the completion of such trials;</w:t>
      </w:r>
    </w:p>
    <w:p>
      <w:pPr>
        <w:spacing w:after="0" w:line="121" w:lineRule="exact"/>
        <w:rPr>
          <w:rFonts w:ascii="Times New Roman" w:cs="Times New Roman" w:eastAsia="Times New Roman" w:hAnsi="Times New Roman"/>
          <w:sz w:val="18"/>
          <w:szCs w:val="18"/>
          <w:color w:val="auto"/>
        </w:rPr>
      </w:pPr>
    </w:p>
    <w:p>
      <w:pPr>
        <w:ind w:left="372" w:right="100" w:hanging="372"/>
        <w:spacing w:after="0" w:line="282" w:lineRule="auto"/>
        <w:tabs>
          <w:tab w:leader="none" w:pos="3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or protect intellectual property rights related to any of our product candidates, we may not be able to compete effectively in our market;</w:t>
      </w:r>
    </w:p>
    <w:p>
      <w:pPr>
        <w:spacing w:after="0" w:line="121" w:lineRule="exact"/>
        <w:rPr>
          <w:rFonts w:ascii="Times New Roman" w:cs="Times New Roman" w:eastAsia="Times New Roman" w:hAnsi="Times New Roman"/>
          <w:sz w:val="18"/>
          <w:szCs w:val="18"/>
          <w:color w:val="auto"/>
        </w:rPr>
      </w:pPr>
    </w:p>
    <w:p>
      <w:pPr>
        <w:ind w:left="372" w:right="100" w:hanging="372"/>
        <w:spacing w:after="0" w:line="266" w:lineRule="auto"/>
        <w:tabs>
          <w:tab w:leader="none" w:pos="3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FDA and other government agencies, regulatory actions and other actions under the current administration could hinder their ability to hire and retain key leadership and other personnel, or otherwise prevent new products and services from being developed or commercialized in a timely manner, which could negatively impact our business; and</w:t>
      </w:r>
    </w:p>
    <w:p>
      <w:pPr>
        <w:spacing w:after="0" w:line="148" w:lineRule="exact"/>
        <w:rPr>
          <w:rFonts w:ascii="Times New Roman" w:cs="Times New Roman" w:eastAsia="Times New Roman" w:hAnsi="Times New Roman"/>
          <w:sz w:val="18"/>
          <w:szCs w:val="18"/>
          <w:color w:val="auto"/>
        </w:rPr>
      </w:pPr>
    </w:p>
    <w:p>
      <w:pPr>
        <w:ind w:left="372" w:right="180" w:hanging="372"/>
        <w:spacing w:after="0" w:line="282" w:lineRule="auto"/>
        <w:tabs>
          <w:tab w:leader="none" w:pos="3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claims that we and our employees, consultants or independent contractors have wrongfully used or disclosed confidential information or trade secrets of third parties.</w:t>
      </w:r>
    </w:p>
    <w:p>
      <w:pPr>
        <w:spacing w:after="0" w:line="1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61"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9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1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Since our inception, we have incurred significant net losses, and we expect to continue to incur significant expenses and operating losses for the foreseeable future. For the three months ended March 31, 2026 and the fiscal year ended December 31, 2025, we incurred net losses of $20.2 million and $100.0 million, respectively, and we had an accumulated deficit of $400.3 million as of March 31, 2026. To date, we have primarily financed our operations with net proceeds from the sale of shares of our convertible preferred stock, common stock, and pre-funded warrants and warrants to purchase our common stock . We have no products approved for commercialization and have never generated any revenue from product sales.</w:t>
      </w:r>
    </w:p>
    <w:p>
      <w:pPr>
        <w:spacing w:after="0" w:line="14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still in the early clinical stages of development of our lead product candidates. We expect to continue to incur significant expenses and operating losses over the next several years. Our operating expenses and net losses may fluctuate significantly from quarter to quarter and year to year. We anticipate that our expenses will increase substantially as we:</w:t>
      </w:r>
    </w:p>
    <w:p>
      <w:pPr>
        <w:spacing w:after="0" w:line="149"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preclinical and clinical development of our product candidates and discovery programs;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additional clinical trials of our current and future product candidates;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gene therapy product candidate pipeline;</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clinical and regulatory capabilities;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our third party manufacturing partners to produce material in accordance with cGMP for clinical trials or potential commercial sales;</w:t>
      </w:r>
    </w:p>
    <w:p>
      <w:pPr>
        <w:spacing w:after="0" w:line="198" w:lineRule="exact"/>
        <w:rPr>
          <w:rFonts w:ascii="Times New Roman" w:cs="Times New Roman" w:eastAsia="Times New Roman" w:hAnsi="Times New Roman"/>
          <w:sz w:val="18"/>
          <w:szCs w:val="18"/>
          <w:color w:val="auto"/>
        </w:rPr>
      </w:pPr>
    </w:p>
    <w:p>
      <w:pPr>
        <w:ind w:left="380" w:right="980" w:hanging="372"/>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either alone or with a third party, a commercialization infrastructure and scale up manufacturing and distribution capabilities to commercialize any product candidates for which we may obtain regulatory approval;</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and patent claims;</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regulatory, manufacturing, scientific and administrative personnel;</w:t>
      </w:r>
    </w:p>
    <w:p>
      <w:pPr>
        <w:spacing w:after="0" w:line="184" w:lineRule="exact"/>
        <w:rPr>
          <w:rFonts w:ascii="Times New Roman" w:cs="Times New Roman" w:eastAsia="Times New Roman" w:hAnsi="Times New Roman"/>
          <w:sz w:val="18"/>
          <w:szCs w:val="18"/>
          <w:color w:val="auto"/>
        </w:rPr>
      </w:pPr>
    </w:p>
    <w:p>
      <w:pPr>
        <w:ind w:left="380" w:right="140" w:hanging="372"/>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while operating as a public company.</w:t>
      </w:r>
    </w:p>
    <w:p>
      <w:pPr>
        <w:spacing w:after="0" w:line="19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To date, we have not generated any revenue from the commercialization of our product candidates. To become and remain profitable, we must succeed in developing and eventually commercializing product candidates that generate significant revenue. This will require us to be successful in a range of challenging activities, including completing preclinical testing and clinical trials of our product candidates, obtaining regulatory approval, and manufacturing, marketing and selling any product candidates for which we may obtain regulatory approval, as well as discovering and developing additional product candidates. We are only in the preliminary stages of most of these activities and all of our product candidates are in early clinical trials or preclinical development. We may never succeed in these activities and, even if we do, may never generate any revenue or revenue that is significant enough to achieve profitability.</w:t>
      </w:r>
    </w:p>
    <w:p>
      <w:pPr>
        <w:spacing w:after="0" w:line="14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7" w:name="page38"/>
    <w:bookmarkEnd w:id="37"/>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history of commercializing products, which may make it difficult for an investor to evaluate the success of our business to date and to assess our future viability.</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 clinical stage genetic medicine company with a limited operating history. We commenced substantive business operations in 2020, and our operations to date have been largely focused on organizing and staffing our company, business planning, raising capital, entering into collaboration and license agreements for conducting preclinical and clinical research and development activities for our product candidates and gene therapy pipeline, and conducting clinical trials for our product candidates through CROs and other third parties. To date, we have not yet demonstrated our ability to successfully complete pivotal clinical trials, manufacture a product on a commercial scale or arrange for a third party to do so on our behalf, or conduct sales and marketing activities necessary for successful commercialization. Consequently, any predictions you make about our future success or viability may not be as accurate as they could be if we had a longer operating history or a history of successfully developing and commercializing products.</w:t>
      </w:r>
    </w:p>
    <w:p>
      <w:pPr>
        <w:spacing w:after="0" w:line="14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11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will require substantial future capital in order to complete planned and future clinical development for our lead product candidates, preclinical development for our other product candidates, and potential commercialization of these product candidates, if any are approved. We expect our spending levels to significantly increase in connection with our planned clinical trials of our lead product candidates. In addition, if we obtain marketing approval for any of our product candidates, we expect to incur significant expenses related to product sales, medical affairs, marketing, manufacturing and distribution. We also expect to incur additional costs associated with operating as a public company. Accordingly, we will need to obtain substantial additional funding in connection with our continuing operations. If we are unable to raise capital when needed or on acceptable terms, we would be forced to delay, reduce or eliminate certain of our clinical trials, our research and development programs or other operations.</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March 31, 2026, we had cash, cash equivalents, and investments in U.S. Treasury securities of $227.6 million. We believe that our cash, cash equivalents and investments in U.S. Treasury securities balances will be sufficient to fund our operating expenses and capital requirements into 2028. This estimate is based on assumptions that may prove to be wrong, and we could use our available capital resources sooner than we expect. Changes may occur beyond our control that would cause us to consume our available capital before that time, including changes in and progress of our development activities, acquisitions of additional product candidates, and changes in regulation. Our future capital requirements will depend on many factors, including:</w:t>
      </w:r>
    </w:p>
    <w:p>
      <w:pPr>
        <w:spacing w:after="0" w:line="143"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and investment in ongoing and future development of our gene therapy product candidates;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preclinical development, laboratory testing and clinical trials for our product candidates;</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 in our product candidate pipeline;</w:t>
      </w:r>
    </w:p>
    <w:p>
      <w:pPr>
        <w:spacing w:after="0" w:line="184" w:lineRule="exact"/>
        <w:rPr>
          <w:rFonts w:ascii="Times New Roman" w:cs="Times New Roman" w:eastAsia="Times New Roman" w:hAnsi="Times New Roman"/>
          <w:sz w:val="18"/>
          <w:szCs w:val="18"/>
          <w:color w:val="auto"/>
        </w:rPr>
      </w:pPr>
    </w:p>
    <w:p>
      <w:pPr>
        <w:ind w:left="380" w:right="180" w:hanging="372"/>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product candidates that we may pursue;</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 commercial infrastructure;</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and maintaining commercial-scale cGMP manufacturing capabilities, either internally or with third parties;</w:t>
      </w:r>
    </w:p>
    <w:p>
      <w:pPr>
        <w:spacing w:after="0" w:line="198" w:lineRule="exact"/>
        <w:rPr>
          <w:rFonts w:ascii="Times New Roman" w:cs="Times New Roman" w:eastAsia="Times New Roman" w:hAnsi="Times New Roman"/>
          <w:sz w:val="18"/>
          <w:szCs w:val="18"/>
          <w:color w:val="auto"/>
        </w:rPr>
      </w:pPr>
    </w:p>
    <w:p>
      <w:pPr>
        <w:ind w:left="380" w:right="60" w:hanging="372"/>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121" w:lineRule="exact"/>
        <w:rPr>
          <w:rFonts w:ascii="Times New Roman" w:cs="Times New Roman" w:eastAsia="Times New Roman" w:hAnsi="Times New Roman"/>
          <w:sz w:val="18"/>
          <w:szCs w:val="18"/>
          <w:color w:val="auto"/>
        </w:rPr>
      </w:pPr>
    </w:p>
    <w:p>
      <w:pPr>
        <w:ind w:left="380" w:right="100" w:hanging="372"/>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38" w:name="page39"/>
    <w:bookmarkEnd w:id="38"/>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any collaborations that we may establish and our license agreements;</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involving us;</w:t>
      </w:r>
    </w:p>
    <w:p>
      <w:pPr>
        <w:spacing w:after="0" w:line="184" w:lineRule="exact"/>
        <w:rPr>
          <w:rFonts w:ascii="Times New Roman" w:cs="Times New Roman" w:eastAsia="Times New Roman" w:hAnsi="Times New Roman"/>
          <w:sz w:val="18"/>
          <w:szCs w:val="18"/>
          <w:color w:val="auto"/>
        </w:rPr>
      </w:pPr>
    </w:p>
    <w:p>
      <w:pPr>
        <w:ind w:left="380" w:right="560" w:hanging="372"/>
        <w:spacing w:after="0" w:line="282"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our collaboration agreements or any additional collaboration agreements we may enter into; and</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will require additional capital to achieve our business objectives. While the long-term economic impact of the ongoing geopolitical conflicts in Ukraine and the Middle East is difficult to assess or predict, each of these events has caused significant disruptions to the global financial markets and contributed to a general global economic slowdown. Furthermore, inflation rates, particularly in the United States, have increased recently to levels not seen in decades. Increased inflation may result in increased operating costs and may affect our operating budgets, specifically with respect to increased labor costs and associated difficulties in recruiting qualified personnel. In addition, the U.S. Federal Reserve has raised, and may further raise, interest rates in response to concerns about inflation. Increases in interest rates, especially if coupled with reduced government spending and volatility in financial markets, may further increase economic uncertainty and heighten these risks. If the disruptions and slowdown deepen or persist, we may not be able to access additional capital on favorable terms, or at all, which could in the future negatively affect our financial condition and we could be forced to curtail our planned operations and the pursuit of our growth strategy.</w:t>
      </w:r>
    </w:p>
    <w:p>
      <w:pPr>
        <w:spacing w:after="0" w:line="14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1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we may finance our cash needs through a combination of equity offerings, government or private party grants, debt financings and license and collaboration agreements.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6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8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our ability to advance our current and future product candidates through preclinical studies and clinical trials, obtain marketing approval and ultimately commercialize them. If we are unable to or experience significant delays in doing so, our business will be materially harmed.</w:t>
      </w:r>
    </w:p>
    <w:p>
      <w:pPr>
        <w:spacing w:after="0" w:line="148"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We have invested a significant portion of our time and financial resources in the development of our product candidates and technology platforms. Our business is dependent on our ability to successfully complete preclinical and clinical development of, obtain regulatory approval for, and, if approved, successfully commercialize LX2006, LX2020 and any other product candidates in a timely manner.</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Each of our product candidates and programs will require additional preclinical and/or clinical development, regulatory approval and significant marketing efforts, and we will be required to obtain manufacturing supply and expertise and to build a commercial organization or successfully outsource commercialization before we generate any revenue from product sales. We do not have any products that are approved for commercial sale, and we may never be able to develop or commercialize marketable products.</w:t>
      </w:r>
    </w:p>
    <w:p>
      <w:pPr>
        <w:spacing w:after="0" w:line="13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ability to generate revenue from our product candidates, which may not occur for several years, will depend heavily on the successful development, regulatory approval and eventual commercialization of our product candidates. The success of our lead product candidates, or any other product candidates that we develop or otherwise may acquire will depend on various factors, including:</w:t>
      </w:r>
    </w:p>
    <w:p>
      <w:pPr>
        <w:spacing w:after="0" w:line="149" w:lineRule="exact"/>
        <w:rPr>
          <w:sz w:val="20"/>
          <w:szCs w:val="20"/>
          <w:color w:val="auto"/>
        </w:rPr>
      </w:pPr>
    </w:p>
    <w:p>
      <w:pPr>
        <w:ind w:left="380" w:right="60" w:hanging="372"/>
        <w:spacing w:after="0" w:line="282"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preclinical studies, including toxicology studies, biodistribution studies and minimally efficacious dose studies in animals, where applicable, under the FDA's GLPs;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9" w:name="page40"/>
    <w:bookmarkEnd w:id="39"/>
    <w:p>
      <w:pPr>
        <w:ind w:left="380" w:right="140" w:hanging="372"/>
        <w:spacing w:after="0" w:line="28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or development of suitable animal disease models for nonclinical studies to enable us to proceed into clinical development or support the submission of a marketing application;</w:t>
      </w:r>
    </w:p>
    <w:p>
      <w:pPr>
        <w:spacing w:after="0" w:line="134" w:lineRule="exact"/>
        <w:rPr>
          <w:rFonts w:ascii="Times New Roman" w:cs="Times New Roman" w:eastAsia="Times New Roman" w:hAnsi="Times New Roman"/>
          <w:sz w:val="18"/>
          <w:szCs w:val="18"/>
          <w:color w:val="auto"/>
        </w:rPr>
      </w:pPr>
    </w:p>
    <w:p>
      <w:pPr>
        <w:ind w:left="380" w:right="60" w:hanging="372"/>
        <w:spacing w:after="0" w:line="28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IND applications from the FDA or comparable foreign applications that allow commencement of our planned clinical trials or future clinical trials for our product candidates;</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 including under the FDA's current cGCPs;</w:t>
      </w:r>
    </w:p>
    <w:p>
      <w:pPr>
        <w:spacing w:after="0" w:line="198" w:lineRule="exact"/>
        <w:rPr>
          <w:rFonts w:ascii="Times New Roman" w:cs="Times New Roman" w:eastAsia="Times New Roman" w:hAnsi="Times New Roman"/>
          <w:sz w:val="18"/>
          <w:szCs w:val="18"/>
          <w:color w:val="auto"/>
        </w:rPr>
      </w:pPr>
    </w:p>
    <w:p>
      <w:pPr>
        <w:ind w:left="380" w:right="40" w:hanging="372"/>
        <w:spacing w:after="0" w:line="28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our own manufacturing capabilities and/or arrangements with third-party manufacturers for our commercial manufacturing processes for any of our product candidates that receive regulatory approval;</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timely marketing approvals from applicable regulatory authorities;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of commercial sales of products, if approved, whether alone or in collaboration with others;</w:t>
      </w:r>
    </w:p>
    <w:p>
      <w:pPr>
        <w:spacing w:after="0" w:line="198"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benefits and use of our products, including method of administration, if and when approved, by patients, the medical community and third-party payors, for their approved indications;</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experienced with any of our product candidates;</w:t>
      </w:r>
    </w:p>
    <w:p>
      <w:pPr>
        <w:spacing w:after="0" w:line="184" w:lineRule="exact"/>
        <w:rPr>
          <w:rFonts w:ascii="Times New Roman" w:cs="Times New Roman" w:eastAsia="Times New Roman" w:hAnsi="Times New Roman"/>
          <w:sz w:val="18"/>
          <w:szCs w:val="18"/>
          <w:color w:val="auto"/>
        </w:rPr>
      </w:pPr>
    </w:p>
    <w:p>
      <w:pPr>
        <w:ind w:left="380" w:right="460" w:hanging="372"/>
        <w:spacing w:after="0" w:line="28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cost, safety and efficacy of alternative therapies for any diseases for which we are developing our product candidates;</w:t>
      </w:r>
    </w:p>
    <w:p>
      <w:pPr>
        <w:spacing w:after="0" w:line="13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 candidates on a commercial scale;</w:t>
      </w:r>
    </w:p>
    <w:p>
      <w:pPr>
        <w:spacing w:after="0" w:line="184" w:lineRule="exact"/>
        <w:rPr>
          <w:rFonts w:ascii="Times New Roman" w:cs="Times New Roman" w:eastAsia="Times New Roman" w:hAnsi="Times New Roman"/>
          <w:sz w:val="18"/>
          <w:szCs w:val="18"/>
          <w:color w:val="auto"/>
        </w:rPr>
      </w:pPr>
    </w:p>
    <w:p>
      <w:pPr>
        <w:ind w:left="380" w:right="480" w:hanging="372"/>
        <w:spacing w:after="0" w:line="28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attainment and maintenance of patent, trademark and trade secret protection and regulatory exclusivity for our product candidates and otherwise protecting our rights in our intellectual property portfolio;</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compliance with regulatory requirements such as cGMPs;</w:t>
      </w:r>
    </w:p>
    <w:p>
      <w:pPr>
        <w:spacing w:after="0" w:line="198" w:lineRule="exact"/>
        <w:rPr>
          <w:rFonts w:ascii="Times New Roman" w:cs="Times New Roman" w:eastAsia="Times New Roman" w:hAnsi="Times New Roman"/>
          <w:sz w:val="18"/>
          <w:szCs w:val="18"/>
          <w:color w:val="auto"/>
        </w:rPr>
      </w:pPr>
    </w:p>
    <w:p>
      <w:pPr>
        <w:ind w:left="380" w:right="220" w:hanging="372"/>
        <w:spacing w:after="0" w:line="28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attainment and maintenance of third-party coverage and adequate reimbursement for our product candidates and patients’ willingness to pay out-of-pocket in the absence of such coverage and adequate reimbursement; and</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tolerability and efficacy profile of our products following approval.</w:t>
      </w:r>
    </w:p>
    <w:p>
      <w:pPr>
        <w:spacing w:after="0" w:line="18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spacing w:after="0" w:line="14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developing novel gene therapy product candidates, which makes it difficult to predict the time, cost and potential success of product candidate development.</w:t>
      </w:r>
    </w:p>
    <w:p>
      <w:pPr>
        <w:spacing w:after="0" w:line="11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future success depends on the successful development of a novel therapeutic approach. To date, very few products that utilize gene transfer have been approved in the United States or Europe. There have been a limited number of clinical trials using AAVrh10. Although gene therapies have been studied in human clinical trials for over 30 years, only a limited number of AAV-based gene therapy products have been approved by the FDA.</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0" w:name="page41"/>
    <w:bookmarkEnd w:id="40"/>
    <w:p>
      <w:pPr>
        <w:ind w:right="80"/>
        <w:spacing w:after="0" w:line="253" w:lineRule="auto"/>
        <w:rPr>
          <w:sz w:val="20"/>
          <w:szCs w:val="20"/>
          <w:color w:val="auto"/>
        </w:rPr>
      </w:pPr>
      <w:r>
        <w:rPr>
          <w:rFonts w:ascii="Times New Roman" w:cs="Times New Roman" w:eastAsia="Times New Roman" w:hAnsi="Times New Roman"/>
          <w:sz w:val="18"/>
          <w:szCs w:val="18"/>
          <w:color w:val="auto"/>
        </w:rPr>
        <w:t>We cannot be certain that our AAVrh10-based gene therapy product candidates will successfully complete clinical trials or that any future product candidates utilizing this or other vector constructs will successfully complete preclinical studies or clinical trials. We may not be successful in developing product candidates that avoid triggering toxicities or other side effects in preclinical studies or clinical trials. Our intravenous and intrathecal routes of administration may cause unforeseen side effects or present other challenges. Any such results could impact our ability to develop a product candidate, including our ability to enroll patients in our clinical trials. As a result of these factors, it is more difficult for us to predict the time and cost of product candidate development, and we cannot predict whether the application of our approach to gene therapy, or any similar or competitive programs, will result in the identification, development, and regulatory approval of any product candidate, or that other gene therapy programs will not be considered better or more favorable. There can be no assurance that any development problems we experience in the future related to our current gene therapy product candidates or any of our research programs will not cause significant delays or unanticipated costs, or that such development problems can be solved. We may also experience delays and challenges in achieving sustainable, reproducible, and scalable production. Any of these factors may prevent us from completing our preclinical studies or clinical trials or commercializing any product candidates we may develop on a timely or profitable basis, if at all.</w:t>
      </w:r>
    </w:p>
    <w:p>
      <w:pPr>
        <w:spacing w:after="0" w:line="16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gene therapy is novel and the regulatory landscape that governs any product candidates we may develop is rigorous, complex, uncertain and subject to change, we cannot predict with certainty the geographic areas in which we could obtain regulatory approval nor the time and cost of obtaining regulatory approval, if we receive it at all, for any product candidates we may develop.</w:t>
      </w:r>
    </w:p>
    <w:p>
      <w:pPr>
        <w:spacing w:after="0" w:line="1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regulatory requirements that will govern any novel gene therapy product candidates we develop are not entirely clear and are subject to change. The novel nature of our capsids makes it difficult to determine how long it will take or how much it will cost to obtain regulatory approvals for our product candidates in the United States, the European Union or other jurisdictions. Within the broader genetic medicine field, very few gene therapy products have received marketing authorization from the FDA or the European Medicines Agency, or EMA. Even with respect to gene therapies, the regulatory landscape is still developing. Regulatory requirements governing gene therapy products have changed frequently and will likely continue to change in the future, including with respect to those responsible for regulation of existing gene therapy products. For example, in 2016, the FDA established the Office of Tissues and Advanced Therapies, or OTAT, within the Center for Biologics Evaluation and Research, or CBER, to consolidate the review of gene therapy and related products, and to advise the CBER on its review. In March 2023, the FDA retitled the OTAT to the Office of Therapeutic Products, or OTP, and elevated OTP to a “Super Office” to meet its growing cell and gene therapy workload.</w:t>
      </w:r>
    </w:p>
    <w:p>
      <w:pPr>
        <w:spacing w:after="0" w:line="14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product candidates will need to meet safety and efficacy standards applicable to any new biologic being pursued for a given disease under the regulatory framework administered by the FDA. Although the FDA decides whether individual gene therapy protocols may proceed, the review process and determinations of other reviewing bodies, including IRBs, can impede or delay the initiation of a clinical trial.</w:t>
      </w:r>
    </w:p>
    <w:p>
      <w:pPr>
        <w:spacing w:after="0" w:line="14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same applies in the European Union. The EMA’s Committee for Advanced Therapies, or CAT, is responsible for assessing the quality, safety and efficacy of advanced-therapy medicinal products. Advanced-therapy medicinal products include gene therapy medicines, somatic-cell therapy medicines and tissue-engineered medicines. The role of the CAT is to prepare a draft opinion on an application for marketing authorization for a gene therapy medicinal candidate that is submitted to the EMA. In the European Union,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This could mean that any gene therapy product candidate we may develop in the future could be required to comply with additional and/or more stringent gene therapy guidelines in the European Union.</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41" w:name="page42"/>
    <w:bookmarkEnd w:id="41"/>
    <w:p>
      <w:pPr>
        <w:ind w:right="60"/>
        <w:spacing w:after="0" w:line="252" w:lineRule="auto"/>
        <w:rPr>
          <w:sz w:val="20"/>
          <w:szCs w:val="20"/>
          <w:color w:val="auto"/>
        </w:rPr>
      </w:pPr>
      <w:r>
        <w:rPr>
          <w:rFonts w:ascii="Times New Roman" w:cs="Times New Roman" w:eastAsia="Times New Roman" w:hAnsi="Times New Roman"/>
          <w:sz w:val="18"/>
          <w:szCs w:val="18"/>
          <w:color w:val="auto"/>
        </w:rPr>
        <w:t>Adverse developments in preclinical studies or clinical trials conducted by others in the field of gene therapy and gene regulation products may cause the FDA, the EMA and other regulatory bodies to revise the requirements for approval of any product candidates we may develop or limit the use of products utilizing gene regulation technologies, either of which could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the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spacing w:after="0" w:line="16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The regulatory review committees and advisory groups described above and any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product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12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w:t>
      </w:r>
    </w:p>
    <w:p>
      <w:pPr>
        <w:spacing w:after="0" w:line="1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of our product candidates are in preclinical or clinical development, and the risk of failure is high. The preclinical studies, clinical trials and manufacturing of our product candidates are, and the manufacturing and marketing of our products, if approved, will be, subject to extensive and rigorous review and regulation by numerous government authorities in the United States and in other countries where we may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disease. In particular, because our product candidates are subject to regulation as biologics, we will need to demonstrate that they are sufficiently safe and of sufficient purity and potency for use in their target diseases. Each product candidate must demonstrate an adequate risk-versus-benefit profile in its intended patient population and for its intended use.</w:t>
      </w:r>
    </w:p>
    <w:p>
      <w:pPr>
        <w:spacing w:after="0" w:line="16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Clinical testing is expensive, can take many years to complete and is subject to uncertainty. We cannot guarantee that any clinical trials will be initiated on schedule, conducted as planned or completed on schedule, if at all. To date, we are sponsoring clinical trials of LX2006 and LX2020, but we have not successfully completed any clinical trial that we have internally sponsored. Failure can occur at any time during the clinical trial process. Even if our ongoing and future clinical trials are completed as planned, we cannot be certain that their results will support the safety and effectiveness of our product candidates for their targeted diseases or support continued clinical development of such product candidates. Our future clinical trial results may not be successful.</w:t>
      </w:r>
    </w:p>
    <w:p>
      <w:pPr>
        <w:spacing w:after="0" w:line="14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This is particularly true for clinical trials in rare diseases, where the small patient populations make it difficult or impossible to conduct two traditional, adequate and well-controlled trials, and therefore the FDA or comparable foreign regulatory authorities are often required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2" w:name="page43"/>
    <w:bookmarkEnd w:id="42"/>
    <w:p>
      <w:pPr>
        <w:spacing w:after="0" w:line="266" w:lineRule="auto"/>
        <w:rPr>
          <w:sz w:val="20"/>
          <w:szCs w:val="20"/>
          <w:color w:val="auto"/>
        </w:rPr>
      </w:pPr>
      <w:r>
        <w:rPr>
          <w:rFonts w:ascii="Times New Roman" w:cs="Times New Roman" w:eastAsia="Times New Roman" w:hAnsi="Times New Roman"/>
          <w:sz w:val="18"/>
          <w:szCs w:val="18"/>
          <w:color w:val="auto"/>
        </w:rPr>
        <w:t>We may experience delays in initiating and conducting clinical trials of our lead product candidates and we do not know whether our clinical trials will begin on time, need to be redesigned, recruit and enroll patients on time or be completed on schedule, or at all. Events that may prevent successful or timely completion of clinical development include:</w:t>
      </w:r>
    </w:p>
    <w:p>
      <w:pPr>
        <w:spacing w:after="0" w:line="147"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of clinical trials;</w:t>
      </w:r>
    </w:p>
    <w:p>
      <w:pPr>
        <w:spacing w:after="0" w:line="18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sufficiently developing, characterizing or controlling a manufacturing process suitable for advanced clinical trials;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sourcing or qualifying ancillaries required for administration of our clinical drug product (such as vials, stoppers, or tubing);</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developing suitable assays for screening patients for eligibility for trials with respect to certain product candidates;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the FDA, EMA or other regulatory authorities as to the design or implementation of our clinical trials;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regulatory approval to commence a clinical trial;</w:t>
      </w:r>
    </w:p>
    <w:p>
      <w:pPr>
        <w:spacing w:after="0" w:line="198" w:lineRule="exact"/>
        <w:rPr>
          <w:rFonts w:ascii="Times New Roman" w:cs="Times New Roman" w:eastAsia="Times New Roman" w:hAnsi="Times New Roman"/>
          <w:sz w:val="18"/>
          <w:szCs w:val="18"/>
          <w:color w:val="auto"/>
        </w:rPr>
      </w:pPr>
    </w:p>
    <w:p>
      <w:pPr>
        <w:ind w:left="380" w:right="680" w:hanging="372"/>
        <w:spacing w:after="0" w:line="282"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reach an agreement on acceptable terms with clinical trial sites or prospective CROs, the terms of which can be subject to extensive negotiation and may vary significantly among different clinical trial sites;</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IRB approval for each clinical trial site;</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suitable patients to participate in a clinical trial in a timely manner;</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have patients complete a clinical trial or return for post-treatment follow-up;</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deviations by clinical trial sites, CROs or other third parties from trial protocol;</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our planned clinical trials in accordance with the FDA’s cGCP requirements, or applicable regulatory guidelines in other countries;</w:t>
      </w:r>
    </w:p>
    <w:p>
      <w:pPr>
        <w:spacing w:after="0" w:line="198" w:lineRule="exact"/>
        <w:rPr>
          <w:rFonts w:ascii="Times New Roman" w:cs="Times New Roman" w:eastAsia="Times New Roman" w:hAnsi="Times New Roman"/>
          <w:sz w:val="18"/>
          <w:szCs w:val="18"/>
          <w:color w:val="auto"/>
        </w:rPr>
      </w:pPr>
    </w:p>
    <w:p>
      <w:pPr>
        <w:ind w:left="380" w:right="220" w:hanging="372"/>
        <w:spacing w:after="0" w:line="282"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address patient-safety concerns that arise during the course of a trial, including occurrence of adverse events associated with the product candidate that are viewed to outweigh its potential benefits;</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initiate a sufficient number of clinical trial sites; or</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sufficient quantities of a product candidate for use in clinical trials.</w:t>
      </w:r>
    </w:p>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or significantly increase the cost of such trials, including:</w:t>
      </w:r>
    </w:p>
    <w:p>
      <w:pPr>
        <w:spacing w:after="0" w:line="121" w:lineRule="exact"/>
        <w:rPr>
          <w:sz w:val="20"/>
          <w:szCs w:val="20"/>
          <w:color w:val="auto"/>
        </w:rPr>
      </w:pPr>
    </w:p>
    <w:p>
      <w:pPr>
        <w:ind w:left="380" w:right="380" w:hanging="372"/>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changes in regulatory requirements or guidance, or receive feedback from regulatory authorities, that require us to modify the design of our clinical trials;</w:t>
      </w:r>
    </w:p>
    <w:p>
      <w:pPr>
        <w:spacing w:after="0" w:line="121" w:lineRule="exact"/>
        <w:rPr>
          <w:rFonts w:ascii="Times New Roman" w:cs="Times New Roman" w:eastAsia="Times New Roman" w:hAnsi="Times New Roman"/>
          <w:sz w:val="18"/>
          <w:szCs w:val="18"/>
          <w:color w:val="auto"/>
        </w:rPr>
      </w:pPr>
    </w:p>
    <w:p>
      <w:pPr>
        <w:ind w:left="380" w:right="320" w:hanging="372"/>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halt development programs;</w:t>
      </w:r>
    </w:p>
    <w:p>
      <w:pPr>
        <w:spacing w:after="0" w:line="134"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184" w:lineRule="exact"/>
        <w:rPr>
          <w:rFonts w:ascii="Times New Roman" w:cs="Times New Roman" w:eastAsia="Times New Roman" w:hAnsi="Times New Roman"/>
          <w:sz w:val="18"/>
          <w:szCs w:val="18"/>
          <w:color w:val="auto"/>
        </w:rPr>
      </w:pPr>
    </w:p>
    <w:p>
      <w:pPr>
        <w:ind w:left="380" w:right="120" w:hanging="372"/>
        <w:spacing w:after="0" w:line="266"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investigators or regulators may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spacing w:after="0" w:line="14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and we may not have funds to cover the costs;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3" w:name="page44"/>
    <w:bookmarkEnd w:id="43"/>
    <w:p>
      <w:pPr>
        <w:ind w:left="380" w:right="14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13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 and</w:t>
      </w:r>
    </w:p>
    <w:p>
      <w:pPr>
        <w:spacing w:after="0" w:line="184" w:lineRule="exact"/>
        <w:rPr>
          <w:rFonts w:ascii="Times New Roman" w:cs="Times New Roman" w:eastAsia="Times New Roman" w:hAnsi="Times New Roman"/>
          <w:sz w:val="18"/>
          <w:szCs w:val="18"/>
          <w:color w:val="auto"/>
        </w:rPr>
      </w:pPr>
    </w:p>
    <w:p>
      <w:pPr>
        <w:ind w:left="380" w:right="100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that conduct clinical trials may face any of the above issues and may conduct clinical trials in ways they view as advantageous to them but that are suboptimal for us.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initiate or complete clinical trials of our product candidates or other testing, if the results of these trials or tests are not positive or are only modestly positive or if there are safety concerns, we may:</w:t>
      </w:r>
    </w:p>
    <w:p>
      <w:pPr>
        <w:spacing w:after="0" w:line="149" w:lineRule="exact"/>
        <w:rPr>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unplanned costs;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 or not obtain marketing approval at all;</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for diseases or patient populations that are not as broad as intended or desired;</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with labeling that includes significant use or distribution restrictions or safety warnings, including boxed warnings REMS;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18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the Data Safety Monitoring Board for such trial or by the FDA,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All of our product candidates will require extensive clinical testing before we are prepared to submit a BLA, or marketing authorization application, or MAA, for regulatory approval. We cannot predict with any certainty if or when we might complete the clinical development for our product candidates and submit a BLA or MAA for regulatory approval of any of our product candidates or whether any such BLA or MAA will be approved. We may also seek feedback from the FDA, EMA or other regulatory authorities on our clinical development program, and the FDA, EMA or such regulatory authorities may not provide such feedback on a timely basis, or such feedback may not be favorable, which could further delay our development programs.</w:t>
      </w:r>
    </w:p>
    <w:p>
      <w:pPr>
        <w:spacing w:after="0" w:line="1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cannot predict with any certainty whether or when we might complete a given clinical trial. 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or lost.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approval of our product candidates.</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44" w:name="page45"/>
    <w:bookmarkEnd w:id="44"/>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EMA and comparable foreign authorities are lengthy, time-consuming and inherently unpredictable. If we are not able to obtain required regulatory approval for our product candidates, our business will be substantially harmed.</w:t>
      </w:r>
    </w:p>
    <w:p>
      <w:pPr>
        <w:spacing w:after="0" w:line="13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time required to obtain approval or other marketing authorizations by the FDA, EMA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 Neither we nor any collaborator is permitted to market any of our biologic product candidates in the United States until we receive regulatory approval of a BLA from the FDA, and we cannot market any of our product candidates in the European Union until we receive approval for an MAA from the EMA, or other required regulatory approval in other countries.</w:t>
      </w:r>
    </w:p>
    <w:p>
      <w:pPr>
        <w:spacing w:after="0" w:line="15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Prior to obtaining approval to commercialize any product candidate in the United States or abroad, we must demonstrate with substantial evidence from well-controlled clinical trials, and to the satisfaction of the FDA or foreign regulatory agencies, that such product candidates are safe, effective and of sufficient purity for their intended uses. Results from preclinical studies and clinical trials can be interpreted in different ways. Even if we believe the preclinical or clinical data for our product candidates meet regulatory standards,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 or require changes to our manufacturing approaches.</w:t>
      </w:r>
    </w:p>
    <w:p>
      <w:pPr>
        <w:spacing w:after="0" w:line="14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Of the large number of products in development, only a small percentage successfully complete the FDA or foreign regulatory approval processes and are commercialized. The lengthy approval and marketing authorization process as well as the unpredictability of future clinical trial results may result in our failing to obtain regulatory approval and marketing authorization to market our product candidates, which would significantly harm our business, financial condition, results of operations and prospects.</w:t>
      </w:r>
    </w:p>
    <w:p>
      <w:pPr>
        <w:spacing w:after="0" w:line="153"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have invested a significant portion of our time and financial resources in the development of our product candidates and technology platforms. Our business is dependent on our ability to successfully complete preclinical and clinical development of, obtain regulatory approval for, and, if approved, successfully commercialize LX2006, LX2020, and our other product candidates in a timely manner.</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Even if we eventually complete clinical testing and receive approval of a BLA or foreign marketing application for any of our product candidates, the FDA, EMA or the applicable foreign regulatory agency may grant approval or other marketing authorization contingent on the performance of costly additional clinical trials, including post-marketing clinical trials. The FDA, EMA or the applicable foreign regulatory agency also may approve or authorize for marketing a product candidate for a more limited disease or patient population than we originally request, and the FDA, EMA or applicable foreign regulatory agency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materially adversely impact our business and prospects.</w:t>
      </w:r>
    </w:p>
    <w:p>
      <w:pPr>
        <w:spacing w:after="0" w:line="14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FDA, EMA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 In June 2024, the Supreme Court overruled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which had given deference to regulatory agencies’ statutory interpretations of ambiguous regulations in litigation against federal government agencies, such as the FDA. The overruling of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may significantly increase the number of challenges brought by companies and other stakeholders against federal agencies such as the FDA and its longstanding decisions and policies, including the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45" w:name="page46"/>
    <w:bookmarkEnd w:id="45"/>
    <w:p>
      <w:pPr>
        <w:ind w:right="20"/>
        <w:spacing w:after="0" w:line="252" w:lineRule="auto"/>
        <w:rPr>
          <w:sz w:val="20"/>
          <w:szCs w:val="20"/>
          <w:color w:val="auto"/>
        </w:rPr>
      </w:pPr>
      <w:r>
        <w:rPr>
          <w:rFonts w:ascii="Times New Roman" w:cs="Times New Roman" w:eastAsia="Times New Roman" w:hAnsi="Times New Roman"/>
          <w:sz w:val="18"/>
          <w:szCs w:val="18"/>
          <w:color w:val="auto"/>
        </w:rPr>
        <w:t>Further, under the current administration, agency reorganization, government shutdown, lapse in government appropriation, voluntary departures at the FDA, and layoffs due to the reduction in force initiative and other measures implemented by the Department of Government Efficiency may impact the normal operations of the FDA as well as other federal agencies. FDA may lack adequate staff and resources to meet current review, approval, and inspection schedules, which could delay our anticipated timelines. In January 2025, an executive order entitled “Unleashing Prosperity Through Deregulation”, was issued which calls for at least 10 existing regulations to be repealed whenever an executive department or agency publicly proposes for notice and comment or otherwise promulgates a new regulation. Recent developments at the FDA include announcement of a plan to phase out animal testing for monoclonal antibodies and certain other drugs and the announcement of a new Commissioner’s National Priority Voucher program for companies supporting certain U.S. national health priorities and interests. To the extent our competitors are selected for this new voucher pilot program and obtain faster approval than us, our competitive position may be harmed. FDA has also increased its scrutiny of foreign drug manufacturing facilities and other contractors based in China, especially with respect to the transfer of biological materials, genetic data, and other sensitive data of American patients to parties located in China. FDA’s “real-time” release of newly issued Complete Response Letters associated with withdrawn or abandoned applications, if received for any of our product candidates, can materially impact our competitive advantage and intellectual property. It is unclear how our industry and our clinical programs will be impacted by the current government shutdown, policies and regulations implemented under the current administration and FDA leadership, or other executive orders. There is significant uncertainty in the industry about how federal agencies like the FDA will change in the coming years under the current administration. To the extent the agency reorganization and other agency changes lead to disruptions in FDA’s operations, our correspondence and regulatory review processes with the FDA may be materially delayed.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 in preclinical studies or earlier clinical trials may not be indicative of results in future clinical trials.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or animal studies and early clinical trials does not ensure that later larger-scale efficacy and safety trials will be successful, nor does it predict final results. For example, we may be unable to identify suitable animal disease models for our product candidates, which could delay or frustrate our ability to proceed into clinical trials or obtain marketing approval. In addition, the preclinical studies conducted by Stelios (an entity that we acquired in 2021) and The Regents of UCSD for our product candidates LX2021 and LX2022 employed an AAV9-based formulation and studies using this vector may not be predictive of future testing we intend to conduct using an AAVrh10-based formulation or other potential capsid serotypes.</w:t>
      </w:r>
    </w:p>
    <w:p>
      <w:pPr>
        <w:spacing w:after="0" w:line="15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Our product candidates may fail to show the desired safety and efficacy in clinical development despite positive results in preclinical studies or having successfully advanced through initial clinical trials. Furthermore, our currently ongoing and most future clinical trials involve or will involve a small patient population. Because of the small sample sizes studied in our trials thus far, the results of these trials may not be indicative of results of future clinical trials.</w:t>
      </w:r>
    </w:p>
    <w:p>
      <w:pPr>
        <w:spacing w:after="0" w:line="15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Additionally, some of our ongoing and planned clinical trials utilize, or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when studied in a controlled environment with a placebo or active control.</w:t>
      </w:r>
    </w:p>
    <w:p>
      <w:pPr>
        <w:spacing w:after="0" w:line="14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6" w:name="page47"/>
    <w:bookmarkEnd w:id="46"/>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results from our clinical trials that we announce, publish or present from time to time may change as more patient data become available and are subject to audit and verification procedures that could result in material changes in the final data.</w:t>
      </w:r>
    </w:p>
    <w:p>
      <w:pPr>
        <w:spacing w:after="0" w:line="13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From time to time, we have and may continue to publish or present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4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 We may also identify safety and efficacy concerns after the approval of a product candidate which can result in negative consequences to our business and results of operations.</w:t>
      </w:r>
    </w:p>
    <w:p>
      <w:pPr>
        <w:spacing w:after="0" w:line="1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our product candidates, we must demonstrate through lengthy, complex and expensive preclinical testing and clinical trials that our product candidates are safe, effective and of sufficient purity for use in each target disease, and failures can occur at any stage of testing. Preclinical studies and clinical trials often fail to demonstrate safety or efficacy of the product candidate studied for the target disease. While we have developed our AAVrh10-mediated gene therapy product candidates to leverage the low seropositivity of AAVrh10, any gene therapy product based on viral vectors carries the risks of immunogenicity, elevated liver enzymes and insertional oncogenesis, which is the process whereby the insertion of a functional gene near a gene that is important in cell growth or division results in uncontrolled cell division, which could potentially enhance the risk of malignant transformation. In one of our preclinical studies of LX2006, we observed four cases of hepatocellular carcinoma, or HCC, in wild-type mice at 10 months post-treatment. Although data reported by the FDA Cellular, Tissue, and Gene Therapies Advisory Committee in September 2021 suggests that HCC observed in mice after AAV treatment is unlikely to translate to risks for humans, any instances of HCC in our clinical trials could result in delays or the abandonment of our trials. Health authorities also ask that sponsors closely monitor the risk of elevated liver enzymes and abnormal liver ultrasound on a routine basis in patients participating in gene therapy clinical trials.</w:t>
      </w:r>
    </w:p>
    <w:p>
      <w:pPr>
        <w:spacing w:after="0" w:line="16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Possible adverse side effects that could occur with treatment with gene therapy products include an immunologic reaction early after administration, which, while not necessarily adverse to the patient’s health, could substantially limit the effectiveness of the treatment. For example, in previous third-party clinical trials involving AAV capsids for gene therapy, some subjects experienced the development of a T-cell antibody response, whereby after the vector is within the target cell types, the cellular immune response system triggers the removal of transduced cell types by activated T-cells. If any of our product candidates demonstrate a similar effect, we may decide or be required to perform additional preclinical studies or to halt or delay further clinical development of our product candidates.</w:t>
      </w:r>
    </w:p>
    <w:p>
      <w:pPr>
        <w:spacing w:after="0" w:line="14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addition to side effects caused by the product candidate, the administration process or related procedures also can cause adverse side effects. If adverse events occur, either as a result of the product candidate or administration process, our clinical trials could be suspended or terminated. If we cannot demonstrate that any adverse events were not caused by the drug or administration process or related procedures, the FDA, EMA or foreign regulatory authorities could order us to cease further development of, or deny approval of, our product candidates for any or all targeted diseases. Even if we are able to demonstrate that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 Furthermore, negative results in our development of LX2006 or LX2020 could be interpreted as a failure to achieve proof of concept for our technology and result in the abandonment of other development programs.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7" w:name="page48"/>
    <w:bookmarkEnd w:id="47"/>
    <w:p>
      <w:pPr>
        <w:spacing w:after="0" w:line="254" w:lineRule="auto"/>
        <w:rPr>
          <w:sz w:val="20"/>
          <w:szCs w:val="20"/>
          <w:color w:val="auto"/>
        </w:rPr>
      </w:pPr>
      <w:r>
        <w:rPr>
          <w:rFonts w:ascii="Times New Roman" w:cs="Times New Roman" w:eastAsia="Times New Roman" w:hAnsi="Times New Roman"/>
          <w:sz w:val="18"/>
          <w:szCs w:val="18"/>
          <w:color w:val="auto"/>
        </w:rPr>
        <w:t>In addition, gene therapy is still a relatively new approach to disease treatment and additional adverse side effects could develop. There also is the potential risk of delayed adverse events following exposure to gene therapy products due to persistent biologic activity of the genetic material or other components of products used to carry the genetic material. If our product candidates are associated with side effects in clinical trials or have characteristics that are unexpected, we may need to abandon their development or limit development to more narrow uses in which the side effects or other characteristics are less prevalent, less severe or more acceptable from a risk-benefit perspective. The FDA or an IRB may also require that we suspend, discontinue, or limit our clinical trials based on safety information, or that we 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early-stage testing have later been found to cause side effects that prevented further development of the product candidate.</w:t>
      </w:r>
    </w:p>
    <w:p>
      <w:pPr>
        <w:spacing w:after="0" w:line="16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identify undesirable side effects caused by such products or the administration procedure, a number of potentially significant negative consequences could result, including:</w:t>
      </w:r>
    </w:p>
    <w:p>
      <w:pPr>
        <w:spacing w:after="0" w:line="121" w:lineRule="exact"/>
        <w:rPr>
          <w:sz w:val="20"/>
          <w:szCs w:val="20"/>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labels;</w:t>
      </w:r>
    </w:p>
    <w:p>
      <w:pPr>
        <w:spacing w:after="0" w:line="198" w:lineRule="exact"/>
        <w:rPr>
          <w:rFonts w:ascii="Times New Roman" w:cs="Times New Roman" w:eastAsia="Times New Roman" w:hAnsi="Times New Roman"/>
          <w:sz w:val="18"/>
          <w:szCs w:val="18"/>
          <w:color w:val="auto"/>
        </w:rPr>
      </w:pPr>
    </w:p>
    <w:p>
      <w:pPr>
        <w:ind w:left="380" w:right="140" w:hanging="372"/>
        <w:spacing w:after="0" w:line="282"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other requirements subject to a REMS;</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or maintain third-party payor coverage and adequate reimbursement; and</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physician or patient acceptance of our products may suffer.</w:t>
      </w:r>
    </w:p>
    <w:p>
      <w:pPr>
        <w:spacing w:after="0" w:line="18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13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the diseases we initially seek to treat have low prevalence and it may be difficult to identify and enroll patients with these diseases. If we experience delays or difficulties in the enrollment and/or maintenance of patients in clinical trials, our receipt of necessary regulatory approvals could be delayed or prevented.</w:t>
      </w:r>
    </w:p>
    <w:p>
      <w:pPr>
        <w:spacing w:after="0" w:line="14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Successful and timely completion of clinical trials will require that we enroll a sufficient number of patients. Patient enrollment, a significant factor in the timing of clinical trials, is affected by many factors, including the size and nature of the patient population and competition for patients with other trials. The rare genetic diseases which some of our product candidates are designed to target have low incidence and prevalence and may be difficult to diagnose. In particular, because we are focused on patients with specific genetic mutations, our ability to enroll eligible patients may be limited or enrollment may be slower than we anticipate. For example, we estimate that approximately 6,600 people in the United States have FA and that approximately 80% of these patients will develop the cardiac manifestation of FA, or FA cardiomyopathy, and accordingly it may be difficult for us to identify and timely recruit a sufficient number of eligible patients to conduct our clinical trials. While the patient population for LX2020, our program targeting PKP2-ACM, is significantly larger than FA, we may face challenges in identifying and recruiting eligible patients to conduct our clinical trial given competing clinical trials. Even for more prevalent conditions such as Alzheimer’s disease, it may be difficult to recruit patients to clinical trials due to the number of approved products, difficulty identifying patients with the specific genotype we are studying, and the number of clinical trials being conducted in this indication.</w:t>
      </w:r>
    </w:p>
    <w:p>
      <w:pPr>
        <w:spacing w:after="0" w:line="13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EMA or other foreign regulatory authorities. We cannot predict how successful we will be at enrolling subjects in future clinical trials. Subject enrollment is affected by other factors including:</w:t>
      </w:r>
    </w:p>
    <w:p>
      <w:pPr>
        <w:spacing w:after="0" w:line="139"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and process for identifying patients;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1" w:right="399" w:bottom="1440" w:gutter="0" w:footer="0" w:header="0"/>
        </w:sectPr>
      </w:pPr>
    </w:p>
    <w:bookmarkStart w:id="48" w:name="page49"/>
    <w:bookmarkEnd w:id="48"/>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98" w:lineRule="exact"/>
        <w:rPr>
          <w:rFonts w:ascii="Times New Roman" w:cs="Times New Roman" w:eastAsia="Times New Roman" w:hAnsi="Times New Roman"/>
          <w:sz w:val="18"/>
          <w:szCs w:val="18"/>
          <w:color w:val="auto"/>
        </w:rPr>
      </w:pPr>
    </w:p>
    <w:p>
      <w:pPr>
        <w:ind w:left="380" w:right="480" w:hanging="372"/>
        <w:spacing w:after="0" w:line="28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new drugs that may be approved for the diseases we are investigating;</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commercially available therapies and other competing therapeutic product candidates’ clinical trials;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clinical trials before completion of their treatment;</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rely on CROs and clinical trial sites to help ensure the proper and timely conduct of our clinical trials and we may have limited influence over their performance. For additional information, see the risk factor in this section under the heading “</w:t>
      </w:r>
      <w:r>
        <w:rPr>
          <w:rFonts w:ascii="Times New Roman" w:cs="Times New Roman" w:eastAsia="Times New Roman" w:hAnsi="Times New Roman"/>
          <w:sz w:val="18"/>
          <w:szCs w:val="18"/>
          <w:i w:val="1"/>
          <w:iCs w:val="1"/>
          <w:color w:val="auto"/>
        </w:rPr>
        <w:t>We intend to continue to rely on third parties to conduct a significant portion of our existing clinical trials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potential future clinical trials for product candidates, and those third parties may not perform satisfactorily, including failing to meet deadlines for the completion of such trials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Furthermore, even if we are able to enroll a sufficient number of patients for our clinical trials, we may have difficulty maintaining enrollment of such patients in our clinical trials.</w:t>
      </w:r>
    </w:p>
    <w:p>
      <w:pPr>
        <w:spacing w:after="0" w:line="131"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or Rare Pediatric Disease designation for some of our product candidates and we may be unsuccessful, or may be unable to maintain the benefits associated with Orphan Drug designation, including the potential for market exclusivity, for product candidates for which we obtain Orphan Drug designation.</w:t>
      </w:r>
    </w:p>
    <w:p>
      <w:pPr>
        <w:spacing w:after="0" w:line="13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may designate drugs or biologics intended to treat relatively small patient populations as orphan drug products. Under the Orphan Drug Act, the FDA may designate a drug or biologic as an orphan drug if it is intended to treat a rare disease or condition, which is generally defined as a patient population of fewer than 200,000 individuals in the United States, or a patient population of 200,000 or more in the United States where there is no reasonable expectation that the cost of developing the drug will be recovered from sales in the United States.</w:t>
      </w:r>
    </w:p>
    <w:p>
      <w:pPr>
        <w:spacing w:after="0" w:line="14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United States, Orphan Drug designation entitles a party to potential financial incentives such as tax advantages and user fee waivers. Opportunities for grant funding toward clinical trial costs may also be available for clinical trials of drugs or biologics for rare diseases, regardless of whether the drugs or biologics are designated for the orphan use. In addition, if a drug or biologic with an Orphan Drug designation subsequently receives the first marketing approval for the disease for which it has such designation, the product is entitled to a seven-year period of marketing exclusivity, which precludes the FDA from approving another marketing application for the same drug and disease for that time period, except in limited circumstances. If our competitors are able to obtain orphan drug exclusivity prior to us, for products that constitute the “same drug” and treat the same diseases as our product candidates, we may not be able to have competing products approved by the applicable regulatory authority for a significant period of time.</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Similarly, in the European Union,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and either the prevalence of the condition is not more than 5 in 10,000 persons in the European Union, or, without incentives, it is unlikely that sales of the drug in the European Union would be sufficient to justify the necessary investment in developing the drug. In each case, there must be no satisfactory method of diagnosis, prevention or treatment of the condition that has been authorized, or, if such a method exists, the product in question must be of significant benefit to those affected by such condition. In the European Union, Orphan Drug designation entitles a party to financial incentives such as reduction of fees or fee waivers.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49" w:name="page50"/>
    <w:bookmarkEnd w:id="49"/>
    <w:p>
      <w:pPr>
        <w:spacing w:after="0" w:line="249" w:lineRule="auto"/>
        <w:rPr>
          <w:sz w:val="20"/>
          <w:szCs w:val="20"/>
          <w:color w:val="auto"/>
        </w:rPr>
      </w:pPr>
      <w:r>
        <w:rPr>
          <w:rFonts w:ascii="Times New Roman" w:cs="Times New Roman" w:eastAsia="Times New Roman" w:hAnsi="Times New Roman"/>
          <w:sz w:val="18"/>
          <w:szCs w:val="18"/>
          <w:color w:val="auto"/>
        </w:rPr>
        <w:t xml:space="preserve">We have obtained from the FDA Orphan Drug designation for LX2006 for the treatment of FA and for LX2020 for the treatment of PKP2-ACM. LX2006 and LX2020 have also received Orphan Medicinal Product designation from the European Commission. We may seek orphan designation for some or all of our product candidates in orphan indications in which there is a medically plausible basis for the use of these product candidates. However, we may be unsuccessful in obtaining Orphan Drug designation and may be unable to maintain the benefits associated with such designations. Even if we obtain orphan drug exclusivity for any of our product candidates, that exclusivity may not effectively protect those product candidates from competition because different drugs can be approved for the same condition, and orphan drug exclusivity does not prevent the FDA from approving the same or a different drug in another indication. Even after an orphan drug is granted orphan exclusivity and approved, the FDA can subsequently approve a later application for the same drug for the same condition before the expiration of the seven-year exclusivity period if the FDA concludes that the later drug is clinically superior in that it is shown to be safer in a substantial portion of the target populations, more effective or makes a major contribution to patient care. On August 3, 2017,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statute supplants prior precedent holding that the Orphan Drug Act unambiguously requires that the FDA recognize the orphan exclusivity period regardless of a showing of clinical superiority. Moreover, in the Consolidated Appropriations Act of 2021, Congress clarified that the interpretation of orphan drug exclusivity codified in FDARA would apply in cases where the FDA issued an orphan designation before the enactment of FDARA but where product approval came after the enactment of FDARA. In addition, a designated Orphan Drug may not receive orphan drug exclusivity if it is approved for a use that is broader than the disease for which it received orphan designation. In </w:t>
      </w:r>
      <w:r>
        <w:rPr>
          <w:rFonts w:ascii="Times New Roman" w:cs="Times New Roman" w:eastAsia="Times New Roman" w:hAnsi="Times New Roman"/>
          <w:sz w:val="18"/>
          <w:szCs w:val="18"/>
          <w:i w:val="1"/>
          <w:iCs w:val="1"/>
          <w:color w:val="auto"/>
        </w:rPr>
        <w:t>Catalyst Pharms., Inc. v. Becerra</w:t>
      </w:r>
      <w:r>
        <w:rPr>
          <w:rFonts w:ascii="Times New Roman" w:cs="Times New Roman" w:eastAsia="Times New Roman" w:hAnsi="Times New Roman"/>
          <w:sz w:val="18"/>
          <w:szCs w:val="18"/>
          <w:color w:val="auto"/>
        </w:rPr>
        <w:t>, 14 F.4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1299 (11th Cir. 2021), the court disagreed with the FDA’s longstanding position that orphan drug exclusivity only applies to the approved use or indication within an eligible disease. However, in January 2023, the FDA published a notice in the Federal Register to clarify that while the agency complies with the court’s order in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the FDA intends to continue to apply its longstanding interpretation of the regulations to matters outside of the scope of the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The Consolidated Appropriations Act of 2026, signed into law in February 2026, codified this longstanding FDA interpretation of the Orphan Drug Act. However, the overturn of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in </w:t>
      </w:r>
      <w:r>
        <w:rPr>
          <w:rFonts w:ascii="Times New Roman" w:cs="Times New Roman" w:eastAsia="Times New Roman" w:hAnsi="Times New Roman"/>
          <w:sz w:val="18"/>
          <w:szCs w:val="18"/>
          <w:i w:val="1"/>
          <w:iCs w:val="1"/>
          <w:color w:val="auto"/>
        </w:rPr>
        <w:t>Loper Bright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Enterprises v. Raimondo </w:t>
      </w:r>
      <w:r>
        <w:rPr>
          <w:rFonts w:ascii="Times New Roman" w:cs="Times New Roman" w:eastAsia="Times New Roman" w:hAnsi="Times New Roman"/>
          <w:sz w:val="18"/>
          <w:szCs w:val="18"/>
          <w:color w:val="auto"/>
        </w:rPr>
        <w:t>may invite various stakeholders to bring lawsuits against the FDA to challenge longstanding decisions and policies,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exclusivities, which could lead to uncertainties in the industry. Further, changes in the leadership of the FDA and other federal agencies under the current administration may lead to new policies and changes in the regulations and operations of the FDA, which may impact our clinical development plans. We do not know if, when, or how the FDA, Congress, or future judicial challenges may change the orphan drug regulations and policies in the future, and it is uncertain how any changes might affect our business. Depending on what changes the FDA may make to its orphan drug regulations and policies, our business could be adversely impacted. Moreover, orphan drug-exclusive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6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Fast Track, Breakthrough Therapy, or Regenerative Medicine Advanced Therapy designation that we may receive from the FDA may not actually lead to a faster development or regulatory review or approval process, and does not assure FDA approval of our product candidates.</w:t>
      </w:r>
    </w:p>
    <w:p>
      <w:pPr>
        <w:spacing w:after="0" w:line="11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may seek Fast Track, Breakthrough Therapy or RMAT designation from the FDA for some or all of our product candidates, but we may be unable to obtain such designations or to maintain the benefits associated with such designations. The FDA’s Fast Track, Breakthrough Therapy, and RMAT designation programs are intended to expedite the development of certain qualifying product candidates intended for the treatment of serious diseases and conditions. If a product candidate is intended for the treatment of a serious or life- threatening condition and preclinical or clinical data demonstrate the product’s potential to address an unmet medical need for this condition, the sponsor may apply for FDA Fast Track designation.</w:t>
      </w:r>
    </w:p>
    <w:p>
      <w:pPr>
        <w:spacing w:after="0" w:line="1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product candidate may be designated as a breakthrough therapy if it is intended, alone or in combination with one or more other drugs or biologics to treat a serious or life-threatening condition and preliminary clinical evidence indicates that the product candidate may demonstrate substantial improvement over existing therapies on one or more clinically significant endpoints.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and biologics designated as breakthrough therapies by the FDA may also be eligible for accelerated approval.</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50" w:name="page51"/>
    <w:bookmarkEnd w:id="50"/>
    <w:p>
      <w:pPr>
        <w:ind w:right="200"/>
        <w:spacing w:after="0" w:line="255" w:lineRule="auto"/>
        <w:rPr>
          <w:sz w:val="20"/>
          <w:szCs w:val="20"/>
          <w:color w:val="auto"/>
        </w:rPr>
      </w:pPr>
      <w:r>
        <w:rPr>
          <w:rFonts w:ascii="Times New Roman" w:cs="Times New Roman" w:eastAsia="Times New Roman" w:hAnsi="Times New Roman"/>
          <w:sz w:val="18"/>
          <w:szCs w:val="18"/>
          <w:color w:val="auto"/>
        </w:rPr>
        <w:t>A product candidate may receive RMAT designation if it is a regenerative medicine therapy that is intended to treat, modify, reverse or cure a serious or life-threatening disease or condition, and preliminary clinical evidence indicates that the product candidate has the potential to address an unmet medical need for such condition. RMAT designation allows companies developing regenerative medicine therapies to work more closely and frequently with the FDA, and RMAT-designated product candidates may be eligible for priority review and accelerated approval. FDA has confirmed that gene therapies, including genetically modified cells, that lead to a sustained effect on cells or tissues may meet the definition of a regenerative medicine therapy. For product candidates that have received an RMAT designation, interaction and communication between the FDA and the sponsor of the trial can help to identify the most efficient path for clinical development while minimizing the number of patients placed in ineffective control regimens.</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received Fast Track designation for LX2006 for the treatment of FA cardiomyopathy, and for LX2020 for the treatment of PKP2-ACM. We have also received Breakthrough Therapy designation for LX2006 for the treatment of FA cardiomyopathy as well as RMAT designation for LX2006 for the treatment of FA cardiomyopathy. LX2006 has also been selected by the FDA to participate in its CDRP program, which is intended to facilitate expedited CMC development of investigational therapies with expedited clinical development timeframes via an increased level of communication with the FDA on CMC development. While we may seek Fast Track, Breakthrough Therapy and/or RMAT designation, or participation in the CDRP program, for some or all of our product candidates, there is no guarantee that we will be successful in obtaining any such designation. Even if we do obtain such designation, we may not experience a faster development process, review or approval compared to conventional FDA procedures. A Fast Track, Breakthrough Therapy, or RMAT designation, or participation in the CDRP program, does not ensure that the product candidate will receive marketing approval or that approval will be granted within any particular time frame. In addition, the FDA may withdraw Fast Track, Breakthrough Therapy, or RMAT designation, or remove a product candidate from the CDRP program, if it believes that the designation is no longer supported by data from our clinical development program. Fast Track, Breakthrough Therapy and/or RMAT designation, or participation in the CDRP program, alone, does not guarantee qualification for the FDA’s priority review procedures.</w:t>
      </w:r>
    </w:p>
    <w:p>
      <w:pPr>
        <w:spacing w:after="0" w:line="14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received Rare Pediatric Disease designation from the FDA for LX2006 for the treatment of FA and we may seek such designation for future product candidates. However, a marketing application for these product candidates, if approved, may not meet the eligibility criteria for a rare pediatric disease priority review voucher.</w:t>
      </w:r>
    </w:p>
    <w:p>
      <w:pPr>
        <w:spacing w:after="0" w:line="134"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We have received Rare Pediatric Disease designation from the FDA for LX2006 for the treatment of FA and LX1004 for the treatment of CLN2 disease and we may seek Rare Pediatric Disease designation for future product candidates. The FDA defines “rare pediatric disease” as a (i) serious or life-threatening disease in which the serious or life-threatening manifestations primarily affect individuals aged from birth to 18 years, including age groups often called neonates, infants, children, and adolescents; and (ii) a rare disease or condition within the meaning of the Orphan Drug Act. Designation of a product candidate as a product for a rare pediatric disease does not guarantee that a marketing application for such product candidate will meet the eligibility criteria for a rare pediatric disease priority review voucher at the time the application is approved. Under the FDCA, we will need to request a rare pediatric disease priority review voucher in our original marketing application for our product candidates for which we have received Rare Pediatric Disease designation. The FDA may determine that a marketing application for any such product candidates, if approved, does not meet the eligibility criteria for a priority review voucher, including for the following reasons:</w:t>
      </w:r>
    </w:p>
    <w:p>
      <w:pPr>
        <w:spacing w:after="0" w:line="161" w:lineRule="exact"/>
        <w:rPr>
          <w:sz w:val="20"/>
          <w:szCs w:val="20"/>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rare pediatric disease that received such designation no longer meets the definition of a “rare pediatric disease”;</w:t>
      </w:r>
    </w:p>
    <w:p>
      <w:pPr>
        <w:spacing w:after="0" w:line="184" w:lineRule="exact"/>
        <w:rPr>
          <w:rFonts w:ascii="Times New Roman" w:cs="Times New Roman" w:eastAsia="Times New Roman" w:hAnsi="Times New Roman"/>
          <w:sz w:val="18"/>
          <w:szCs w:val="18"/>
          <w:color w:val="auto"/>
        </w:rPr>
      </w:pPr>
    </w:p>
    <w:p>
      <w:pPr>
        <w:ind w:left="380" w:right="320" w:hanging="372"/>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application contains an active ingredient (including any ester or salt of the active ingredient) that has been previously approved in a marketing application;</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application is not deemed eligible for priority review;</w:t>
      </w:r>
    </w:p>
    <w:p>
      <w:pPr>
        <w:spacing w:after="0" w:line="198" w:lineRule="exact"/>
        <w:rPr>
          <w:rFonts w:ascii="Times New Roman" w:cs="Times New Roman" w:eastAsia="Times New Roman" w:hAnsi="Times New Roman"/>
          <w:sz w:val="18"/>
          <w:szCs w:val="18"/>
          <w:color w:val="auto"/>
        </w:rPr>
      </w:pPr>
    </w:p>
    <w:p>
      <w:pPr>
        <w:jc w:val="both"/>
        <w:ind w:left="380" w:right="20" w:hanging="372"/>
        <w:spacing w:after="0" w:line="266"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application does not rely on clinical data derived from studies examining a pediatric population and dosages of the product intended for that population (that is, if the marketing application does not contain sufficient clinical data to allow for adequate labeling for use by the full range of affected pediatric patients); or</w:t>
      </w:r>
    </w:p>
    <w:p>
      <w:pPr>
        <w:spacing w:after="0" w:line="13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application is approved for a different adult indication than the rare pediatric disease for which our product candidates are designated.</w:t>
      </w:r>
    </w:p>
    <w:p>
      <w:pPr>
        <w:spacing w:after="0" w:line="185"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The Consolidated Appropriations Act of 2026 extended the rare pediatric disease PRV program to September 30, 2029, which means the FDA may not award any PRVs under this program after September 30, 2029, unless Congress takes further action to extend the rare pediatric disease priority review program. As such, if we do not obtain approval of a marketing application for LX2006 in patients with FA on or before September 30, 2029, and if the PRV program is not extended by Congressional action, we may not receive a PRV.</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51" w:name="page52"/>
    <w:bookmarkEnd w:id="51"/>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Where appropriate, we may seek approval from the FDA, EMA or comparable foreign regulatory authorities through the use of accelerated approval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EMA or comparable regulatory authorities, if our confirmatory trials do not verify clinical benefit, or if we do not comply with rigorous post-marketing requirements, the FDA, EMA or such other regulatory authorities may seek to withdraw accelerated approval.</w:t>
      </w:r>
    </w:p>
    <w:p>
      <w:pPr>
        <w:spacing w:after="0" w:line="15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Where possible, we may pursue accelerated development strategies in areas of high medical need. We may seek an accelerated approval pathway for one or more of our therapeutic product candidates from the FDA, EMA or comparable foreign regulatory authorities. Under the accelerated approval provisions in the FDCA and the FDA’s implementing regulations, the FDA may grant accelerated approval to a therapeutic candidate that is designed to treat a serious or life-threatening condition, generally provides a meaningful therapeutic benefit over available therapies, and demonstrates an effect on a surrogate endpoint that is reasonably likely to predict clinical benefit or on a clinical endpoint that can be measured earlier than IMM that is reasonably likely to predict an effect on IMM or other clinical benefit. The FDA considers a clinical benefit to be a positive therapeutic effect that is clinically meaningful in the context of a given disease, such as IMM.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IMM that is reasonably likely to predict an effect on IMM or other clinical benefit. The accelerated approval pathway may be used in cases in which the advantage of a new product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product’s clinical benefit. If such post-approval studies fail to confirm the product’s clinical benefit, the FDA may withdraw its approval of the product. In addition, the FDA currently requires, unless otherwise informed by the agency, pre-approval of promotional materials for products receiving accelerated approval, which could adversely impact the timing of the commercial launch of the product.</w:t>
      </w:r>
    </w:p>
    <w:p>
      <w:pPr>
        <w:spacing w:after="0" w:line="1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Prior to seeking accelerated approval, we would seek feedback from the FDA, EMA or comparable foreign regulatory authorities and would otherwise evaluate our ability to seek and receive such accelerated approval. However, there can be no assurance that after our evaluation of the feedback and other factors we will decide to pursue or submit a BLA for accelerated approval or any other form of expedited development, review or approval for LX2006 or any other product candidate. Similarly, there can be no assurance that after subsequent feedback from the FDA, EMA or comparable foreign regulatory authorities, we will continue to pursue or apply for accelerated approval or any other form of expedited development, review or approval, even if we initially decide to do so. Furthermore, if we decide to submit an application for accelerated approval, there can be no assurance that such application will be accepted or that any approval will be granted on a timely basis, or at all. The FDA, EMA or other comparable foreign regulatory authorities could also require us to conduct further studies prior to considering our application or granting approval of any type, including, for example, if other products are approved via the accelerated pathway and subsequently converted by FDA to full approval. A failure to obtain accelerated approval or any other form of expedited development, review or approval for our therapeutic candidate would result in a longer time period to commercialization of such therapeutic candidate, could increase the cost of development of such therapeutic candidate and could harm our competitive position in the marketplace.</w:t>
      </w:r>
    </w:p>
    <w:p>
      <w:pPr>
        <w:spacing w:after="0" w:line="14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Priority review designation by the FDA may not lead to a faster regulatory review or approval process and, in any event, does not assure FDA approval of our product candidates.</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the FDA determines that a product candidate is intended to treat a serious disease or condition and, if approved, would provide a significant improvement in the safety or effectiveness of the treatment, prevention, or diagnosis of such disease or condition, the FDA may designate the product candidate for priority review. A priority review designation means that the goal for the FDA to review a marketing application is six months from filing of the application, rather than the standard review period of ten months. We may request priority review for certain of our product candidates. The FDA has broad discretion with respect to whether or not to grant priority review status to a product candidate, so even if we believe a particular product candidate is eligible for such designation or status, the FDA may disagree and decide not to grant it. Moreover, a priority review designation does not necessarily mean a faster regulatory review process or necessarily confer any advantage with respect to approval compared to conventional FDA procedures. Receiving priority review from the FDA does not guarantee approval within the six-month review cycle or thereafter.</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2" w:name="page53"/>
    <w:bookmarkEnd w:id="52"/>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13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must focus on development programs and product candidates that we identify for specific diseases. As such, currently we are primarily focused on the development of our current pipeline of product candidates. As a result, we may forego or delay pursuit of opportunities with other product candidates. Our resource allocation decisions may cause us to fail to capitalize on viable commercial products or profitable market opportunities. Our spending on current and future development programs and product candidates for specific diseases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build a pipeline of additional product candidates.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business model is centered on developing product candidates targeting patient populations that place significant burden on society and are most amenable to our genetic medicine approach. We are targeting diseases that have seen limited penetration of precision medicine and where we believe there is significant opportunity for gene therapy to play a role as a key therapeutic option. We aim to select, develop and advance product candidates that we believe will have a high probability of technical and regulatory success through development into commercialization. We may not be able to continue to identify and develop new product candidates. Even if we are successful in continuing to build our pipeline, the potential product candidates that we identify may not be suitable for clinical development. For example, they may be shown to have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and adversely affect our stock price.</w:t>
      </w:r>
    </w:p>
    <w:p>
      <w:pPr>
        <w:spacing w:after="0" w:line="15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w:t>
      </w:r>
    </w:p>
    <w:p>
      <w:pPr>
        <w:spacing w:after="0" w:line="1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clinical development of our product candidates for certain indications, we intend to work with collaborators to develop or obtain access to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tests to identify patient subsets within a disease category who may derive selective and meaningful benefit from our product candidates. To be successful, we or our collaborators will need to address a number of scientific, technical, regulatory and logistical challenges. The FDA and comparable foreign regulatory authorities regulate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as medical devices and, under that regulatory framework, will likely require the conduct of clinical trials to demonstrate the safety and effectiveness of any diagnostics we may develop, which we expect will require separate regulatory clearance or approval prior to commercialization. The FDA generally will require approval or clearance of the diagnostic at the same time that the FDA approves the therapeutic product if the FDA determines that safe and effective use of a therapeutic product depends on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The clearance or approval of a companion diagnostic as part of the product label will also limit the use of the product candidate to patients who have met the screening criteria tested for by the companion diagnostic.</w:t>
      </w:r>
    </w:p>
    <w:p>
      <w:pPr>
        <w:spacing w:after="0" w:line="14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intend to rely on third parties for the design, development and manufacture of companion diagnostic tests for our therapeutic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therapeutic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product candidates, or experience delays in doing so, the development of these product candidates may be adversely affected, these product candidates may not obtain marketing approval, and we may not realize the full commercial potential of any of these product candidates that obtain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the manufacturing of our product candidates</w:t>
      </w:r>
    </w:p>
    <w:p>
      <w:pPr>
        <w:spacing w:after="0" w:line="19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contract manufacturers are subject to significant regulation with respect to manufacturing our products. The third-party manufacturing facilities on which we rely, and any manufacturing facility that we may have in the future, may have limited capacity or fail to meet the applicable stringent regulatory requirements.</w:t>
      </w:r>
    </w:p>
    <w:p>
      <w:pPr>
        <w:spacing w:after="0" w:line="1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currently have relationships with a limited number of suppliers for the manufacturing of all components of our product candidates. However, if we experience slowdowns or problems with our manufacturing partners and are unable to establish or scale our internal manufacturing capabilities, we will need to continue to contract with manufacturers that can produce the preclinical, clinical and commercial supply of our products. Each supplier may require licenses to manufacture such components if such processes are not owned by the supplier or in the public domain and we may be unable to license such intellectual property rights on reasonable commercial terms or to transfer or sublicense the intellectual property rights we may have with respect to such activities.</w:t>
      </w:r>
    </w:p>
    <w:p>
      <w:pPr>
        <w:spacing w:after="0" w:line="14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entities involved in the preparation of therapeutics for clinical trials or commercial sale, including our existing contract manufacturers for components of our product candidates, are subject to extensive regulation. Components of a finished therapeutic product approved for commercial sale or used in late-stage clinical trials in the United States and European Union must be manufactured in accordance with cGMP. These regulations govern manufacturing processes and procedures (including recordkeeping)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or an MAA on a timely basis. Our potential manufacturing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and they could put a hold on one or more of our clinical trials if the facilities of our contract manufacturing organizations, or CMOs, do not pass such audit or inspections. If these facilities do not pass a pre-approval plant inspection, FDA approval of the products will not be granted.</w:t>
      </w:r>
    </w:p>
    <w:p>
      <w:pPr>
        <w:spacing w:after="0" w:line="16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inspect or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w:t>
      </w:r>
    </w:p>
    <w:p>
      <w:pPr>
        <w:spacing w:after="0" w:line="14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harmed. Additionally, if supply from one approved manufacturer is interrupted, there could be a significant disruption in commercial supply. An alternative manufacturer would need to be qualified through a BLA and/or an MAA supplement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4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if approved. Furthermore, if our suppliers fail to meet contractual requirements, and we are unable to secure one or more replacement suppliers capable of production at a substantially equivalent cost, our clinical trials may be delayed, or we could lose potential revenue.</w:t>
      </w:r>
    </w:p>
    <w:p>
      <w:pPr>
        <w:spacing w:after="0" w:line="14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 therapies are novel, complex and difficult to manufacture. We could experience manufacturing problems that result in delays in the development or commercialization of our product candidates or otherwise harm our business.</w:t>
      </w:r>
    </w:p>
    <w:p>
      <w:pPr>
        <w:spacing w:after="0" w:line="11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manufacture of gene therapy products is technically complex and necessitates substantial expertise and capital investment. Production difficulties caused by unforeseen events may delay the availability of material for our clinical studies.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54" w:name="page55"/>
    <w:bookmarkEnd w:id="54"/>
    <w:p>
      <w:pPr>
        <w:ind w:right="60"/>
        <w:spacing w:after="0" w:line="255" w:lineRule="auto"/>
        <w:rPr>
          <w:sz w:val="20"/>
          <w:szCs w:val="20"/>
          <w:color w:val="auto"/>
        </w:rPr>
      </w:pPr>
      <w:r>
        <w:rPr>
          <w:rFonts w:ascii="Times New Roman" w:cs="Times New Roman" w:eastAsia="Times New Roman" w:hAnsi="Times New Roman"/>
          <w:sz w:val="18"/>
          <w:szCs w:val="18"/>
          <w:color w:val="auto"/>
        </w:rPr>
        <w:t>We rely on third-party manufacturers to manufacture our product candidates for preclinical studies and clinical trials. The manufacturers of pharmaceutical products must comply with strictly enforced cGMP requirements, state and federal regulations, as well as foreign requirements when applicable. Any failure by us or our CMOs to adhere to or document compliance to such regulatory requirements could lead to a delay or interruption in the availability of our product candidate materials for clinical trials or enforcement action from the FDA, EMA or foreign regulatory authorities. If we or our manufacturers fail to comply with the requirements of the FDA, EMA or other regulatory authority, sanctions could be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w:t>
      </w:r>
    </w:p>
    <w:p>
      <w:pPr>
        <w:spacing w:after="0" w:line="16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There can be no assurances that our third-party manufacturers will be able to meet our timetable and requirements. If any third party with whom we contract fails to perform its obligations, we may be forced to either manufacture the materials ourselves, for which we may not have the capabilities or resources, or enter into an agreement with a different third-party manufacturer, which we may not be able to do on reasonable terms, if at all. In either scenario, our clinical trials and future commercial supply could be delayed significantly as we establish alternative supply sources. In some cases, the technical skills required to manufacture our product candidates may be unique or proprietary to the original third-party manufacturer and we may have difficulty, or there may be contractual restrictions prohibiting us from, transferring such skills to a back-up or alternate supplier, or we may be unable to transfer such skills at all. 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candidates according to the specifications previously submitted to the FDA or another regulatory authority. The delays associated with the verification of a new manufacturer could negatively affect our ability to develop product candidates or commercialize our products, if approved, in a timely manner or within budget.</w:t>
      </w:r>
    </w:p>
    <w:p>
      <w:pPr>
        <w:spacing w:after="0" w:line="15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we are unable to arrange for alternative third-party manufacturing sources on commercially reasonable terms or in a timely manner, we may be delayed in the development of our product candidates. Our dependence upon others for the manufacture of our product candidates may also adversely affect our future profit margins and our ability to commercialize any product candidates that receive regulatory approval on a timely and competitive basis.</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product candidates require processing steps that are more complex than those required for most chemical pharmaceuticals. Moreover, unlike chemical pharmaceuticals, the physical and chemical properties of a biologic such as our modified virus generally cannot be fully characterized. As a result, assays of the finished product may not be sufficient to ensure that the product will perform in the intended manner. Although we believe that the manufacture of our product candidates may be simplified due to their shared raw materials and other similarities, we cannot be certain that this will be the case and we may be required to develop manufacturing methods that ultimately differ significantly between product candidates, which would require that we invest substantial time and capital to develop suitable manufacturing methods. Our program materials are manufactured using technically complex processes requiring specialized equipment and facilities, highly specific raw materials, cell types and reagents, and other production constraints. Our production process also requires a number of highly specific raw materials, cell types and reagents with limited suppliers. Even though we aim to have backup supplies of raw materials, cell types and reagents whenever possible, we cannot be certain they will be sufficient if our primary sources are unavailable. A shortage of a critical raw material, cell line, or reagent, or a technical issue during manufacturing may lead to delays in clinical development or commercialization plans. We are particularly susceptible to any shortages, delays or our inability to obtain suitable raw materials for our lead product candidates. Any changes in the manufacturing of components of the raw materials we use could result in unanticipated or unfavorable effects in our manufacturing processes, resulting in delays.</w:t>
      </w:r>
    </w:p>
    <w:p>
      <w:pPr>
        <w:spacing w:after="0" w:line="16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if any of our product candidates obtain approval, the FDA, EMA and other regulatory authorities may require us to submit samples of any lot of any approved product together with the protocols showing the results of applicable tests at any time. Under some circumstances, the FDA, EMA or other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product launches or clinical trials, which could be costly to us and otherwise harm our business, financial condition, results of operations and prospects.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5" w:name="page56"/>
    <w:bookmarkEnd w:id="55"/>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suppliers for materials used in the manufacture of our product candidates, and the loss of these third-party suppliers or their inability to supply us with adequate materials could harm our business.</w:t>
      </w:r>
    </w:p>
    <w:p>
      <w:pPr>
        <w:spacing w:after="0" w:line="1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on third-party suppliers for the materials and components required for the production of our product candidates. Our dependence on these third-party suppliers and the challenges we may face in obtaining adequate supplies of materials involve several risks, including limited control over pricing, availability, and delivery schedules. There is substantial demand and limited supply for certain of the raw materials used to manufacture gene therapy products. As a small company, our negotiation leverage is limited, and we may get lower priority than our competitors that are larger than we are. We cannot be certain that our suppliers will continue to provide us with the quantities of these raw materials within the timelines that we require or satisfy our anticipated specifications and quality requirements. Any supply interruption in limited or sole-sourced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15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contamination or interruption in our manufacturing process, shortages of raw materials or failure of our suppliers of viruses to deliver necessary components could result in delays in our clinical development or marketing schedules.</w:t>
      </w:r>
    </w:p>
    <w:p>
      <w:pPr>
        <w:spacing w:after="0" w:line="11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Given the nature of gene therapy manufacturing, there is a risk of contamination occurring during the manufacturing process. Any contamination could adversely affect our ability to produce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the initiation and completion of clinical trials, require the conduct of bridging clinical trials or the repetition of one or more clinical trials, increase clinical trial costs, delay approval of our product candidates and jeopardize our ability to commence sales and generate revenue. In addition, we may be required to make significant changes to our upstream and downstream processes across our pipeline, which could delay the development of our future product candidates. Regulatory agencies, and in particular the FDA and EMA, have demonstrated increased caution in their regulation of gene therapies, including increased scrutiny related to CMC issues. This increased regulatory scrutiny around gene therapy CMC may result in us being required to conduct additional preclinical studies or clinical trials with respect to any of our product candidates, which may result in delays and increased costs in the development or commercialization of our product candidates and ultimately could lead to the failure to obtain approval for any gene therapy product.</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9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 marketing approval, they may fail to achieve the degree of market acceptance by physicians, patients, third-party payors and others in the medical community necessary for commercial success.</w:t>
      </w:r>
    </w:p>
    <w:p>
      <w:pPr>
        <w:spacing w:after="0" w:line="11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spacing w:after="0" w:line="147"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their efficacy, safety and potential advantages compared to alternative treatments;</w:t>
      </w:r>
    </w:p>
    <w:p>
      <w:pPr>
        <w:spacing w:after="0" w:line="179"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84" w:lineRule="exact"/>
        <w:rPr>
          <w:rFonts w:ascii="Times New Roman" w:cs="Times New Roman" w:eastAsia="Times New Roman" w:hAnsi="Times New Roman"/>
          <w:sz w:val="22"/>
          <w:szCs w:val="22"/>
          <w:color w:val="auto"/>
        </w:rPr>
      </w:pPr>
    </w:p>
    <w:p>
      <w:pPr>
        <w:ind w:left="5540" w:right="4640" w:hanging="5158"/>
        <w:spacing w:after="0" w:line="311" w:lineRule="auto"/>
        <w:tabs>
          <w:tab w:leader="none" w:pos="762"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their convenience and ease of administration compared to alternative treatments;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666115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56" w:name="page57"/>
    <w:bookmarkEnd w:id="56"/>
    <w:p>
      <w:pPr>
        <w:ind w:left="760" w:right="40" w:hanging="378"/>
        <w:spacing w:after="0" w:line="234" w:lineRule="auto"/>
        <w:tabs>
          <w:tab w:leader="none" w:pos="7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product labeling or product insert requirements of the FDA or foreign regulatory authorities, including any limitations or warnings contained in a product’s approved labeling, including any boxed warning or REMS;</w:t>
      </w:r>
    </w:p>
    <w:p>
      <w:pPr>
        <w:spacing w:after="0" w:line="199" w:lineRule="exact"/>
        <w:rPr>
          <w:rFonts w:ascii="Times New Roman" w:cs="Times New Roman" w:eastAsia="Times New Roman" w:hAnsi="Times New Roman"/>
          <w:sz w:val="22"/>
          <w:szCs w:val="22"/>
          <w:color w:val="auto"/>
        </w:rPr>
      </w:pPr>
    </w:p>
    <w:p>
      <w:pPr>
        <w:ind w:left="760" w:right="620" w:hanging="378"/>
        <w:spacing w:after="0" w:line="234" w:lineRule="auto"/>
        <w:tabs>
          <w:tab w:leader="none" w:pos="7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willingness of the target patient population to try new treatments, such as gene therapy as a novel modality for treatment of our target indications and of physicians to prescribe these treatments;</w:t>
      </w:r>
    </w:p>
    <w:p>
      <w:pPr>
        <w:spacing w:after="0" w:line="167"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hire and retain a sales force in the United States;</w:t>
      </w:r>
    </w:p>
    <w:p>
      <w:pPr>
        <w:spacing w:after="0" w:line="165"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strength of marketing and distribution support;</w:t>
      </w:r>
    </w:p>
    <w:p>
      <w:pPr>
        <w:spacing w:after="0" w:line="197" w:lineRule="exact"/>
        <w:rPr>
          <w:rFonts w:ascii="Times New Roman" w:cs="Times New Roman" w:eastAsia="Times New Roman" w:hAnsi="Times New Roman"/>
          <w:sz w:val="22"/>
          <w:szCs w:val="22"/>
          <w:color w:val="auto"/>
        </w:rPr>
      </w:pPr>
    </w:p>
    <w:p>
      <w:pPr>
        <w:ind w:left="760" w:right="340" w:hanging="378"/>
        <w:spacing w:after="0" w:line="234" w:lineRule="auto"/>
        <w:tabs>
          <w:tab w:leader="none" w:pos="7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availability of coverage and adequate reimbursement for our product candidates, once approved, from third-party payors and government authorities;</w:t>
      </w:r>
    </w:p>
    <w:p>
      <w:pPr>
        <w:spacing w:after="0" w:line="167"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prevalence and severity of any side effects; and</w:t>
      </w:r>
    </w:p>
    <w:p>
      <w:pPr>
        <w:spacing w:after="0" w:line="165"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16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public opinion of gene therapy and increased regulatory scrutiny of gene therapy and genetic research may adversely impact the development or commercial success of our current and future product candidates.</w:t>
      </w:r>
    </w:p>
    <w:p>
      <w:pPr>
        <w:spacing w:after="0" w:line="11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product candidates involve introducing genetic material into a patient’s cells via intrathecal and intravenous administration. The clinical and commercial success of our potential products will depend in part on public acceptance of the use of gene therapy and gene regulation for the prevention or treatment of human diseases. Public attitudes may be influenced by claims that gene therapy and gene regulation are unsafe, unethical or immoral, and consequently, our products may not gain the acceptance of the public or the medical community.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14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More restrictive government regulations or negative public opinion would have a negative effect on our business or financial condition and may delay or impair the development and commercialization of our product candidates or demand for any products once approved. In recent years, sponsors of other clinical trials involving gene therapies have announced imposition of clinical holds by the FDA to evaluate safety issues arising during the trials. Among the risks in any gene therapy product based on viral vectors are the risks of immunogenicity, elevated liver enzymes and insertional oncogenesis. If any of our vectors demonstrate a similar effect, we may decide or be required to halt or delay further clinical development of any product candidates that utilize that vector. Adverse events in our or others’ clinical trials, even if not ultimately attributable to our product candidates,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The risk of cancer remains a concern for gene therapy, and we cannot assure that it will not occur in any of our planned or future clinical trials or in any clinical trials conducted by other companies. In addition, there is the potential risk of delayed adverse events following exposure to gene therapy products due to persistent biological activity of the genetic material or other components of products used to carry the genetic material. In addition, for our regulated gene replacement therapy product candidates which require that the expression of a therapeutic transgene be tightly regulated, we may inadvertently cause overexpression, which could lead to numerous issues, including safety and toxicity concerns. Furthermore, one of our regulatory gene replacement therapy candidates, LX1020, requires the insertion of miRNA targets into the viral genome, which is a technology that to our knowledge is not present in any approved gene therapy products. If any such adverse events occur, commercialization of our product candidates or further advancement of our clinical trials could be halted or delayed, which would have a negative impact on our business and operations.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57" w:name="page58"/>
    <w:bookmarkEnd w:id="57"/>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affected populations for our other product candidates may be smaller than we or third parties currently project, which may affect the addressable markets for our product candidates.</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currently focus our research and product development on several indications that are larger-rare diseases. However, our projections of the number of people who have the diseases we are seeking to treat, as well as the subset of people with these diseases who have the potential to benefit from treatment with our product candidates, are estimates based on our knowledge and understanding of these diseases. These estimates may prove to be incorrect and new studies may further reduce the estimated incidence or prevalence of these diseases. The number of patients in the United States, the European Union and elsewhere may turn out to be lower than expected, may not be otherwise amenable to treatment with our product candidate or patients may become increasingly difficult to identify and access, all of which would adversely affect our business, financial condition, results of operations and prospects.</w:t>
      </w:r>
    </w:p>
    <w:p>
      <w:pPr>
        <w:spacing w:after="0" w:line="1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 information and assumptions that are not exact and may not be accurate, and the methodology is forward-looking and potentially speculative. The process we have used in developing an estimated incidence and prevalence range for the indications we are targeting has involved collating limited data from multiple sources. Accordingly, the incidence and prevalence estimates included in this Annual Report should be viewed in that context. Further, the data and statistical information used in this Annual Report, including estimates derived from them, may differ from information and estimates made by our competitors or from current or future studies conducted by independent sources.</w:t>
      </w:r>
    </w:p>
    <w:p>
      <w:pPr>
        <w:spacing w:after="0" w:line="14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3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Drug development, particularly in the gene therapy field, is highly competitive and subject to rapid and significant technological advancements. As a significant unmet medical need exists in the cardiovascular disease area, there are several large and small pharmaceutical companies focused on delivering therapeutics for the treatment of these diseases, including those that we are initially targeting. It is likely that additional drugs will become available in the future for the treatment of our target diseases.</w:t>
      </w:r>
    </w:p>
    <w:p>
      <w:pPr>
        <w:spacing w:after="0" w:line="13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are aware that our competitors are developing product candidates for the treatment of diseases that our product candidates will target. With respect to LX2006, we are aware of clinical stage gene therapy programs in development at Solid Biosciences Inc. and those being developed in collaborations between Voyager Therapeutics, Inc. and Neurocrine Biosciences, Inc. Among other treatment modalities for FA, we are aware that Larimar Therapeutics, Inc. is developing a clinical stage product candidate, CTI-1601, Design Therapeutics is developing a clinical stage product candidate, DT-216P2, and that PTC Therapeutics, Inc. is evaluating next steps for vatiquinone following a Complete Response Letter on their new drug application to the FDA. Reata Pharmaceuticals, Inc.’s omaveloxolone (Skyclarys) was approved by the FDA in 2023, and Biogen Inc. acquired Reata Pharmaceuticals, Inc. for approximately $7.3 billion in the same year and is currently commercializing Skyclarys.</w:t>
      </w:r>
    </w:p>
    <w:p>
      <w:pPr>
        <w:spacing w:after="0" w:line="1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With respect to LX2020, both Rocket Pharmaceuticals Inc., or Rocket, and Tenaya Therapeutics Inc. are developing an AAV-based gene therapy candidate designed to deliver a functional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to patients with PKP2-ACM.</w:t>
      </w:r>
    </w:p>
    <w:p>
      <w:pPr>
        <w:spacing w:after="0" w:line="13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in foreign countries. Our current and potential future competitors may also have significantly more experience commercializing drugs, particularly gene therapy and other biologics, that have been approved for marketing. Mergers and acquisitions in the pharmaceutical and biotechnology industries could result in even more resources being concentrated among a small number of our competitors.</w:t>
      </w:r>
    </w:p>
    <w:p>
      <w:pPr>
        <w:spacing w:after="0" w:line="143"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We will face competition from other drugs or from other non-drug products currently approved or that will be approved in the future in the cardiac and neurology fields, including for the treatment of diseases and diseases in the therapeutic categories we intend to target. Therefore, our ability to compete successfully will depend largely on our ability to:</w:t>
      </w:r>
    </w:p>
    <w:p>
      <w:pPr>
        <w:spacing w:after="0" w:line="144"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develop and commercialize drugs that are advantageous as compared to other products in the market;</w:t>
      </w:r>
    </w:p>
    <w:p>
      <w:pPr>
        <w:spacing w:after="0" w:line="179"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demonstrate through our clinical trials that our product candidates are differentiated from existing and future therapies;</w:t>
      </w:r>
    </w:p>
    <w:p>
      <w:pPr>
        <w:spacing w:after="0" w:line="165"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attract qualified scientific, product development and commercial personnel;</w:t>
      </w:r>
    </w:p>
    <w:p>
      <w:pPr>
        <w:spacing w:after="0" w:line="165"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obtain patent or other proprietary protection for our product candidates;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58" w:name="page59"/>
    <w:bookmarkEnd w:id="58"/>
    <w:p>
      <w:pPr>
        <w:ind w:left="760" w:hanging="378"/>
        <w:spacing w:after="0"/>
        <w:tabs>
          <w:tab w:leader="none" w:pos="7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obtain required regulatory approvals;</w:t>
      </w:r>
    </w:p>
    <w:p>
      <w:pPr>
        <w:spacing w:after="0" w:line="179"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obtain coverage and adequate reimbursement from, and negotiate competitive pricing with, third-party payors; and</w:t>
      </w:r>
    </w:p>
    <w:p>
      <w:pPr>
        <w:spacing w:after="0" w:line="165"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successfully collaborate with other pharmaceutical companies in the discovery, development and commercialization of new medicines.</w:t>
      </w:r>
    </w:p>
    <w:p>
      <w:pPr>
        <w:spacing w:after="0" w:line="15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availability of our competitors’ products could limit the demand, and the price we are able to charge, for any product candidate we develop. The inability to compete with existing or subsequently introduced drugs would have an adverse impact on our business, financial condition and prospects. In addition, the reimbursement structure of approved gene therapies by other companies could impact the anticipated reimbursement structure of our gene therapies, if approved, and our business, financial condition, results of operations and prospects.</w:t>
      </w:r>
    </w:p>
    <w:p>
      <w:pPr>
        <w:spacing w:after="0" w:line="15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regulatory and marketing approval for, or commercializing, drugs before we do, which would have an adverse impact on our business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product candidates for which we intend to seek approval as biologic products may face competition sooner than anticipated.</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includes a subtitle called the Biologics Price Competition and Innovation Act of 2009, or BPCIA, which created an abbreviated approval pathway for biologics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biologics.</w:t>
      </w:r>
    </w:p>
    <w:p>
      <w:pPr>
        <w:spacing w:after="0" w:line="1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There is a risk that any of our product candidates approved as a biological product under a BLA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non-biologics is not yet clear, and will depend on a number of marketplace and regulatory factors that are still developing. If competitors are able to obtain marketing approval for biosimilars referencing our product candidates, if approved, our products may become subject to competition from such biosimilars, with the attendant competitive pressure and potential adverse consequences.</w:t>
      </w:r>
    </w:p>
    <w:p>
      <w:pPr>
        <w:spacing w:after="0" w:line="14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 candidates will depend significantly on coverage and adequate reimbursement or the willingness of patients, commercial and government payors to pay for these procedures.</w:t>
      </w:r>
    </w:p>
    <w:p>
      <w:pPr>
        <w:spacing w:after="0" w:line="11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believe our success depends on obtaining and maintaining coverage and adequate reimbursement for our product candidates, including LX2006 and LX2020,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assure that other payors will also provide coverage, and adequate reimbursement.</w:t>
      </w:r>
    </w:p>
    <w:p>
      <w:pPr>
        <w:spacing w:after="0" w:line="1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9" w:right="379" w:bottom="1440" w:gutter="0" w:footer="0" w:header="0"/>
        </w:sectPr>
      </w:pPr>
    </w:p>
    <w:bookmarkStart w:id="59" w:name="page60"/>
    <w:bookmarkEnd w:id="59"/>
    <w:p>
      <w:pPr>
        <w:ind w:right="20"/>
        <w:spacing w:after="0" w:line="251" w:lineRule="auto"/>
        <w:rPr>
          <w:sz w:val="20"/>
          <w:szCs w:val="20"/>
          <w:color w:val="auto"/>
        </w:rPr>
      </w:pPr>
      <w:r>
        <w:rPr>
          <w:rFonts w:ascii="Times New Roman" w:cs="Times New Roman" w:eastAsia="Times New Roman" w:hAnsi="Times New Roman"/>
          <w:sz w:val="18"/>
          <w:szCs w:val="18"/>
          <w:color w:val="auto"/>
        </w:rPr>
        <w:t>The principal decisions about reimbursement for new medicines are typically made by CMS, an agency within the HHS. CMS decides whether and to what extent products will be covered and reimbursed under Medicare and private payors tend to follow CMS to a substantial degree. Most significantly, in August 2022, the Inflation Reduction Act of 2022, or IRA, was signed into law. Among other things, the IRA requires manufacturers of certain drugs to engage in price negotiations with Medicare, with prices that can be negotiated subject to a cap (with resulting prices for the initial ten drugs first effective in 2026); imposes rebates under Medicare Part B and Medicare Part D to penalize price increases that outpace inflation (first due in 2023); redesigns the Medicare Part D benefit (beginning in 2024); and replaces the Part D coverage gap discount program with a new discounting program (beginning in 2025). The IRA permits the Secretary of the HHS to implement many of these provisions through guidance, as opposed to regulation, for the initial years. On August 29, 2023, HHS announced the list of the first ten drugs that will be subject to price negotiations. HHS has issued and will continue to issue and update guidance implementing the IRA, although the Medicare drug price negotiation program is currently subject to legal challenges. While the impact of the IRA on the pharmaceutical industry cannot yet be fully determined, it is likely to be significant. Only high-expenditure single-source drugs that have been approved for at least 7 years (11 years for single-source biologics) can qualify for negotiation, with the negotiated price taking effect two years after the selection year. For 2026, the first year in which negotiated prices become effective, CMS selected 10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Further, the current administration has issued executive orders focused on decreasing prescription drug prices, including directing the Secretary of HHS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Government agreements with pharmaceutical companies and other government measures that use most-favored-nation pricing targets for prescription drugs, including the use of international pricing reference to set drug prices in the United States, or that increase generic and biosimilar drug entry sooner than expected, can have a material adverse effect on our industry, ability to set adequate pricing for new drugs to recover research and development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Such cost containment policies and executive orders could substantially and negatively impact the prices we may charge for any approved products, which could harm our valuation, ability to generate revenue and achieve and sustain profitability. In addition, the One Big Beautiful Bill Act, or OBBBA, which was signed into law in July 2025, includes provisions that will impact the United States healthcare system in various ways, including by cuts to Medicaid and introducing new participant work and eligibility requirements for Medicaid coverage, which are expected to significantly change the administration and applicability of Medicaid coverage. Although the full impact of the OBBBA on the healthcare system and our business is uncertain, the resulting changes may increase the cost and complexity of completing clinical development of and launching any product candidates for which we may receive regulatory approval, which could adversely affect our business and prospects.</w:t>
      </w:r>
    </w:p>
    <w:p>
      <w:pPr>
        <w:spacing w:after="0" w:line="1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may be unlikely to offer procedures for such treatment if they are not covered by insurance and may be unlikely to purchase and use our product candidates, if approved, for our stated diseases unless coverage is provided and reimbursement is adequate. In addition, for products administered under the supervision of a physician, obtaining coverage and adequate reimbursement may be particularly difficult because of the higher prices often associated with such drugs. Further, coverage policies and third-party reimbursement rates may change at any time. Therefore, even if favorable coverage and reimbursement status is attained, less favorable coverage policies and reimbursement rates may be implemented in the future.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60" w:name="page61"/>
    <w:bookmarkEnd w:id="60"/>
    <w:p>
      <w:pPr>
        <w:spacing w:after="0" w:line="253" w:lineRule="auto"/>
        <w:rPr>
          <w:sz w:val="20"/>
          <w:szCs w:val="20"/>
          <w:color w:val="auto"/>
        </w:rPr>
      </w:pPr>
      <w:r>
        <w:rPr>
          <w:rFonts w:ascii="Times New Roman" w:cs="Times New Roman" w:eastAsia="Times New Roman" w:hAnsi="Times New Roman"/>
          <w:sz w:val="18"/>
          <w:szCs w:val="18"/>
          <w:color w:val="auto"/>
        </w:rPr>
        <w:t>Reimbursement by a third-party payor may depend upon a number of factors, including the third-party payor’s determination that a procedure is a covered benefit under its health plan; safe, effective and medically necessary; appropriate for the specific patient; cost-effective; supported by peer-reviewed medical journals; included in clinical practice guidelines; and neither cosmetic, experimental, nor investigational. 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16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There can be no assurance that LX2006, LX2020 or any other product candidates, if approved for sale in the United States or in other countries, will be considered medically reasonable and necessary, that it will be considered cost-effective by third-party payors, that coverage or an adequate level of reimbursement will be available or that reimbursement policies and practices in the United States and in foreign countries where our products are sold will not adversely affect our ability to sell our product candidates profitably, if they are approved for sale.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20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drugs caused injuries, we will incur substantial liabilities. Regardless of merit or eventual outcome, liability claims may result in:</w:t>
      </w:r>
    </w:p>
    <w:p>
      <w:pPr>
        <w:spacing w:after="0" w:line="144"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decreased demand for any product candidates or drugs that we may develop;</w:t>
      </w:r>
    </w:p>
    <w:p>
      <w:pPr>
        <w:spacing w:after="0" w:line="165"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79"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withdrawal of clinical trial participants;</w:t>
      </w:r>
    </w:p>
    <w:p>
      <w:pPr>
        <w:spacing w:after="0" w:line="165"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significant costs to defend the related litigation;</w:t>
      </w:r>
    </w:p>
    <w:p>
      <w:pPr>
        <w:spacing w:after="0" w:line="165"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substantial monetary awards paid to trial participants or patients;</w:t>
      </w:r>
    </w:p>
    <w:p>
      <w:pPr>
        <w:spacing w:after="0" w:line="179"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loss of revenue;</w:t>
      </w:r>
    </w:p>
    <w:p>
      <w:pPr>
        <w:spacing w:after="0" w:line="165"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65"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Although we maintain product liability insurance coverage, such insurance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98"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Currently, we rely on our collaborations with Cornell University and The Regents of UCSD to conduct research and development for many of our pipeline programs, including conducting preclinical and IND-enabling studies for portions of our near-term future pipeline. Failure or delay of Cornell University or The Regents of UCSD to fulfill all or part of their respective obligations to us under our agreements, a breakdown in collaboration between the parties or a complete or partial loss of either of these relationships could materially harm our business.</w:t>
      </w:r>
    </w:p>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collaboration with Cornell University is critical to our business and in May 2020, we entered into two separate license agreements with Cornell University pursuant to which we obtained rights under certain patents, know-how and data to exploit products and technologies covered by such intellectual property. As part of our first license agreement, as amended, we assumed oversight for the conduct of the Phase 1/2 clinical trial of LX1001 that was initiated by Cornell University at the end of 2019. As part of our second license agreement with Cornell University, as amended, we obtained certain rights to portfolios for infantile neuronal ceroid lipofuscinosis type 2 (also called CLN2 Batten disease) and FA cardiomyopathy, as well as an assignment of Cornell University’s IND to support the development of our LX1004 program. We entered into a third license agreement with Cornell University, or Third Cornell License Agreement, in April 2024 pursuant to which we obtained certain rights for FA cardiomyopathy, including rights to current and future clinical data from an ongoing Cornell University investigator-initiated Phase 1A trial of a gene therapy candidate AAVrh10.hFXN, known as LX2006 at Lexeo. Pursuant to our license agreements with Cornell University, we are obligated to diligently proceed with the development, manufacture, and sale of licensed products. If Cornell University delays or fails to perform its obligations under the license agreements, terminates any of the license agreements in accordance with its terms, or a dispute otherwise arises between the parties concerning the terms of the agreements or our respective rights to licensed technology, our pipeline of product candidates would be significantly adversely affected and our prospects may be materially harmed.</w:t>
      </w:r>
    </w:p>
    <w:p>
      <w:pPr>
        <w:spacing w:after="0" w:line="14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collaboration with UCSD is also highly important to our business, as we have licensed from UCSD intellectual property rights related to our LX2020, LX2021 and LX2022 programs under three separate license agreements, and we have entered into sponsored research agreements with UCSD for preclinical research and development for these programs. If The Regents of UCSD delays or fails to perform its obligations under either of the sponsored research agreements or any of the license agreements, disagrees with our interpretation of the terms of the sponsored research agreements, license agreements or our discovery plans, or terminates any of our existing license agreements, our pipeline of product candidates would be significantly adversely affected and our prospects may be materially harmed.</w:t>
      </w:r>
    </w:p>
    <w:p>
      <w:pPr>
        <w:spacing w:after="0" w:line="156" w:lineRule="exact"/>
        <w:rPr>
          <w:sz w:val="20"/>
          <w:szCs w:val="20"/>
          <w:color w:val="auto"/>
        </w:rPr>
      </w:pPr>
    </w:p>
    <w:p>
      <w:pPr>
        <w:ind w:right="5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intend to continue to rely on third parties to conduct a significant portion of our existing clinical trials and potential future clinical trials for product candidates, and those third parties may not perform satisfactorily, including failing to meet deadlines for the completion of such trials.</w:t>
      </w:r>
    </w:p>
    <w:p>
      <w:pPr>
        <w:spacing w:after="0" w:line="95"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We engage CROs to help conduct our ongoing clinical trials. We expect to continue to rely on third parties, including clinical data management organizations, medical institutions and clinical investigators, to conduct those clinical trials and any future clinical trials.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a CRO involves substantial cost and requires management's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1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2" w:name="page63"/>
    <w:bookmarkEnd w:id="62"/>
    <w:p>
      <w:pPr>
        <w:spacing w:after="0" w:line="252" w:lineRule="auto"/>
        <w:rPr>
          <w:sz w:val="20"/>
          <w:szCs w:val="20"/>
          <w:color w:val="auto"/>
        </w:rPr>
      </w:pPr>
      <w:r>
        <w:rPr>
          <w:rFonts w:ascii="Times New Roman" w:cs="Times New Roman" w:eastAsia="Times New Roman" w:hAnsi="Times New Roman"/>
          <w:sz w:val="18"/>
          <w:szCs w:val="18"/>
          <w:color w:val="auto"/>
        </w:rPr>
        <w:t xml:space="preserve">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cGCP regulations,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w:t>
      </w:r>
      <w:r>
        <w:rPr>
          <w:rFonts w:ascii="Times New Roman" w:cs="Times New Roman" w:eastAsia="Times New Roman" w:hAnsi="Times New Roman"/>
          <w:sz w:val="18"/>
          <w:szCs w:val="18"/>
          <w:i w:val="1"/>
          <w:iCs w:val="1"/>
          <w:color w:val="auto"/>
        </w:rPr>
        <w:t>www.clinicaltrials.gov</w:t>
      </w:r>
      <w:r>
        <w:rPr>
          <w:rFonts w:ascii="Times New Roman" w:cs="Times New Roman" w:eastAsia="Times New Roman" w:hAnsi="Times New Roman"/>
          <w:sz w:val="18"/>
          <w:szCs w:val="18"/>
          <w:color w:val="auto"/>
        </w:rPr>
        <w:t>, within specified time frames. Failure to do so can result in fines, adverse publicity and civil and criminal sanctions. If we or any of our CROs or other third parties, including trial sites, fail to comply with applicable cGCPs, or experience material protocol deviations, the clinical data generated in our clinical trials may be deemed unreliable and the FDA, EMA or comparable foreign regulatory authorities may require us to perform additional clinical trials before approving our marketing applications. If the FDA or any regulatory authority determines that our clinical data are not reliable for any reason, or if we encounter any data integrity issues, the FDA or other regulatory authorities may require us to exclude such data, which may cause the trial to be underpowered and fail to meet the trial endpoints. We cannot assure you that upon inspection by a given regulatory authority, such regulatory authority will determine that any of our clinical trials complies with cGCP regulations. In addition, our clinical trials must be conducted with product produced under cGMP conditions. Our failure to comply with these regulations may require us to repeat clinical trials, which would delay the regulatory approval process.</w:t>
      </w:r>
    </w:p>
    <w:p>
      <w:pPr>
        <w:spacing w:after="0" w:line="17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LX2006, LX2020 or any other product candidates.</w:t>
      </w:r>
    </w:p>
    <w:p>
      <w:pPr>
        <w:spacing w:after="0" w:line="14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spacing w:after="0" w:line="131" w:lineRule="exact"/>
        <w:rPr>
          <w:sz w:val="20"/>
          <w:szCs w:val="20"/>
          <w:color w:val="auto"/>
        </w:rPr>
      </w:pPr>
    </w:p>
    <w:p>
      <w:pPr>
        <w:ind w:right="10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collaborations with non-academic third parties for the development or commercialization of our product candidates. If those collaborations are not successful, we may not be able to capitalize on the market potential of these product candidates.</w:t>
      </w:r>
    </w:p>
    <w:p>
      <w:pPr>
        <w:spacing w:after="0" w:line="13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may seek third-party collaborators for the development and commercialization of our product candidates, including for the commercialization of any of our product candidates that are approved for marketing outside the United States.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 Collaborations involving our product candidates pose the following risks to us:</w:t>
      </w:r>
    </w:p>
    <w:p>
      <w:pPr>
        <w:spacing w:after="0" w:line="155"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65"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collaborators may not perform their obligations as expected;</w:t>
      </w:r>
    </w:p>
    <w:p>
      <w:pPr>
        <w:spacing w:after="0" w:line="197" w:lineRule="exact"/>
        <w:rPr>
          <w:rFonts w:ascii="Times New Roman" w:cs="Times New Roman" w:eastAsia="Times New Roman" w:hAnsi="Times New Roman"/>
          <w:sz w:val="22"/>
          <w:szCs w:val="22"/>
          <w:color w:val="auto"/>
        </w:rPr>
      </w:pPr>
    </w:p>
    <w:p>
      <w:pPr>
        <w:ind w:left="760" w:right="60" w:hanging="378"/>
        <w:spacing w:after="0" w:line="239" w:lineRule="auto"/>
        <w:tabs>
          <w:tab w:leader="none" w:pos="7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86" w:lineRule="exact"/>
        <w:rPr>
          <w:rFonts w:ascii="Times New Roman" w:cs="Times New Roman" w:eastAsia="Times New Roman" w:hAnsi="Times New Roman"/>
          <w:sz w:val="22"/>
          <w:szCs w:val="22"/>
          <w:color w:val="auto"/>
        </w:rPr>
      </w:pPr>
    </w:p>
    <w:p>
      <w:pPr>
        <w:ind w:left="760" w:right="740" w:hanging="378"/>
        <w:spacing w:after="0" w:line="234" w:lineRule="auto"/>
        <w:tabs>
          <w:tab w:leader="none" w:pos="7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86" w:lineRule="exact"/>
        <w:rPr>
          <w:rFonts w:ascii="Times New Roman" w:cs="Times New Roman" w:eastAsia="Times New Roman" w:hAnsi="Times New Roman"/>
          <w:sz w:val="22"/>
          <w:szCs w:val="22"/>
          <w:color w:val="auto"/>
        </w:rPr>
      </w:pPr>
    </w:p>
    <w:p>
      <w:pPr>
        <w:jc w:val="both"/>
        <w:ind w:left="760" w:right="40" w:hanging="378"/>
        <w:spacing w:after="0" w:line="239" w:lineRule="auto"/>
        <w:tabs>
          <w:tab w:leader="none" w:pos="7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81"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3" w:name="page64"/>
    <w:bookmarkEnd w:id="63"/>
    <w:p>
      <w:pPr>
        <w:ind w:left="760" w:right="140" w:hanging="378"/>
        <w:spacing w:after="0" w:line="234" w:lineRule="auto"/>
        <w:tabs>
          <w:tab w:leader="none" w:pos="7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199" w:lineRule="exact"/>
        <w:rPr>
          <w:rFonts w:ascii="Times New Roman" w:cs="Times New Roman" w:eastAsia="Times New Roman" w:hAnsi="Times New Roman"/>
          <w:sz w:val="22"/>
          <w:szCs w:val="22"/>
          <w:color w:val="auto"/>
        </w:rPr>
      </w:pPr>
    </w:p>
    <w:p>
      <w:pPr>
        <w:ind w:left="760" w:right="120" w:hanging="378"/>
        <w:spacing w:after="0" w:line="234" w:lineRule="auto"/>
        <w:tabs>
          <w:tab w:leader="none" w:pos="7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186" w:lineRule="exact"/>
        <w:rPr>
          <w:rFonts w:ascii="Times New Roman" w:cs="Times New Roman" w:eastAsia="Times New Roman" w:hAnsi="Times New Roman"/>
          <w:sz w:val="22"/>
          <w:szCs w:val="22"/>
          <w:color w:val="auto"/>
        </w:rPr>
      </w:pPr>
    </w:p>
    <w:p>
      <w:pPr>
        <w:ind w:left="760" w:hanging="378"/>
        <w:spacing w:after="0" w:line="243" w:lineRule="auto"/>
        <w:tabs>
          <w:tab w:leader="none" w:pos="7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81" w:lineRule="exact"/>
        <w:rPr>
          <w:rFonts w:ascii="Times New Roman" w:cs="Times New Roman" w:eastAsia="Times New Roman" w:hAnsi="Times New Roman"/>
          <w:sz w:val="22"/>
          <w:szCs w:val="22"/>
          <w:color w:val="auto"/>
        </w:rPr>
      </w:pPr>
    </w:p>
    <w:p>
      <w:pPr>
        <w:ind w:left="760" w:right="40" w:hanging="378"/>
        <w:spacing w:after="0" w:line="239" w:lineRule="auto"/>
        <w:tabs>
          <w:tab w:leader="none" w:pos="7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181"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and</w:t>
      </w:r>
    </w:p>
    <w:p>
      <w:pPr>
        <w:spacing w:after="0" w:line="184" w:lineRule="exact"/>
        <w:rPr>
          <w:rFonts w:ascii="Times New Roman" w:cs="Times New Roman" w:eastAsia="Times New Roman" w:hAnsi="Times New Roman"/>
          <w:sz w:val="22"/>
          <w:szCs w:val="22"/>
          <w:color w:val="auto"/>
        </w:rPr>
      </w:pPr>
    </w:p>
    <w:p>
      <w:pPr>
        <w:ind w:left="760" w:right="260" w:hanging="378"/>
        <w:spacing w:after="0" w:line="234" w:lineRule="auto"/>
        <w:tabs>
          <w:tab w:leader="none" w:pos="7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5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14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diseases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9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protect intellectual property rights related to any of our product candidates, we may not be able to compete effectively in our market.</w:t>
      </w:r>
    </w:p>
    <w:p>
      <w:pPr>
        <w:spacing w:after="0" w:line="11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product candidates, including LX2006, LX2020, LX2021, LX2022, LX1001, LX1020, LX1021, and other programs, their respective components, formulations, therapies, methods used to manufacture them and methods of treatment.</w:t>
      </w:r>
    </w:p>
    <w:p>
      <w:pPr>
        <w:spacing w:after="0" w:line="13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and other intellectual property protection in the United States and in other countries with respect to our proprietary technology and product candidates.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sectPr>
      </w:pPr>
    </w:p>
    <w:bookmarkStart w:id="64" w:name="page65"/>
    <w:bookmarkEnd w:id="64"/>
    <w:p>
      <w:pPr>
        <w:spacing w:after="0" w:line="256" w:lineRule="auto"/>
        <w:rPr>
          <w:sz w:val="20"/>
          <w:szCs w:val="20"/>
          <w:color w:val="auto"/>
        </w:rPr>
      </w:pPr>
      <w:r>
        <w:rPr>
          <w:rFonts w:ascii="Times New Roman" w:cs="Times New Roman" w:eastAsia="Times New Roman" w:hAnsi="Times New Roman"/>
          <w:sz w:val="18"/>
          <w:szCs w:val="18"/>
          <w:color w:val="auto"/>
        </w:rPr>
        <w:t>We cannot offer any assurances about which of our patent applications will issue, the breadth of any resulting patent or whether any of the issued patents will be found invalid and unenforceable or will be threatened by third parties. We cannot offer any assurances that the breadth of our granted patents will be sufficient to stop a competitor from developing and commercializing a product, including a biosimilar product that would be competitive with one or more of our product candidates. Furthermore, any successful challenge to these patents or any other patents owned by or licensed to us after patent issuance could deprive us of rights necessary for the successful commercialization of any of our product candidates. Further, if we encounter delays in regulatory approvals, the period of time during which we could market a product candidate under patent protection could be reduced.</w:t>
      </w:r>
    </w:p>
    <w:p>
      <w:pPr>
        <w:spacing w:after="0" w:line="16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The patent prosecution process is expensive and time-consuming. We may not be able to prepare, file and prosecute all necessary or desirable patent applications at a commercially reasonable cost or in a timely manner or in all jurisdictions. It is also possible that we may fail to identify patentable aspects of inventions made in the course of development and commercialization activities before it is too late to obtain patent protection on them. We may not be able to obtain or maintain patent applications and patents due to the subject matter claimed in such patent applications and patents being in the public domain. In some cases, the work of certain academic researchers in the gene therapy field has entered the public domain, which may preclude our ability to obtain patent protection for certain inventions relating to such work.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Consequently, we would not be able to prevent any third party from using any technology that is in the public domain to compete with our product candidates. In addition, as the licensee of patents from Cornell University and UCSD, we have less control over the prosecution and enforcement of those patents than we would if we owned the patents. While we do have typical rights with respect to those patents under university license agreements, our ability to enforce those patents to maintain exclusivity in our markets may be limited by the terms of our agreements with Cornell University and UCSD. In addition, to the extent the federal government provided research funding to the licensor university for any technology licensed under the license agreements, then if the federal government elects to exercise any of its overriding rights which may apply as a result of provision of such funding, we may be subject to changes in market exclusivity or other material business requirements or constraints.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w:t>
      </w:r>
    </w:p>
    <w:p>
      <w:pPr>
        <w:spacing w:after="0" w:line="14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any patent rights are highly uncertain. Our owned and licensed pending and future patent applications may not result in issued patents which protect our technology or product candidates, effectively prevent others from commercializing competitive technologies and product candidates or otherwise provide any competitive advantage. In fact, patent applications may not issue as patents at all.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circumvented, or invalidated by third parties. Consequently, we do not know whether any of our technologies and product candidates will be protectable or remain protected by valid and enforceable patents. In addition, our existing patents and any future patents we obtain may not be sufficiently broad to prevent others from using our technology or from developing competing technologies and products, and the coverage claimed in a patent application can be significantly reduced before the patent is issued, and its scope can be reinterpreted after issuance. Any failure to obtain, maintain or defend our patents and other intellectual property could have a material adverse effect on our business, financial condition, results of operations and prospects.</w:t>
      </w:r>
    </w:p>
    <w:p>
      <w:pPr>
        <w:spacing w:after="0" w:line="14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cannot be certain that we are the first to invent the inventions covered by pending patent applications and, if we are not, we may be subject to priority or entitlement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Since patent applications in the United States and other countries are confidential for a period of time after filing, at any moment in time, we cannot be certain that we were in the past or will be in the future the first to file any patent application related to our product candidates. For example, some patent applications in the United States may be maintained in secrecy until the patents are issued. Further, publications in the scientific literature often lag behind actual discoveries. Consequently, we cannot be certain that others have not filed patent applications for technology covered by our owned and in-licensed issued patents or our pending applications, or that we or, if applicable, a licensor, were the first to invent or first to file an application for the technology.</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65" w:name="page66"/>
    <w:bookmarkEnd w:id="65"/>
    <w:p>
      <w:pPr>
        <w:ind w:right="40"/>
        <w:spacing w:after="0" w:line="258" w:lineRule="auto"/>
        <w:rPr>
          <w:sz w:val="20"/>
          <w:szCs w:val="20"/>
          <w:color w:val="auto"/>
        </w:rPr>
      </w:pPr>
      <w:r>
        <w:rPr>
          <w:rFonts w:ascii="Times New Roman" w:cs="Times New Roman" w:eastAsia="Times New Roman" w:hAnsi="Times New Roman"/>
          <w:sz w:val="18"/>
          <w:szCs w:val="18"/>
          <w:color w:val="auto"/>
        </w:rPr>
        <w:t>It is possible that defects of form in the preparation or filing of our patents or patent applications may exist, or may arise in the future, for example, with respect to proper priority claims, inventorship, claim scope, or requests for patent term adjustments.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5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to the protection provided by our patent estate, we rely on trade secret protection and confidentiality agreements to protect proprietary know-how that is not amenable to patent protection. Although we generally require all of our employees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In addition, while we have undertaken reasonable efforts to ensure such agreements are enforceable and that employees and third parties comply with their obligations thereunder, these agreements may be found insufficient by a court of law or may be breached, or we may not enter into sufficient agreements with such individuals in the first instance, in either case potentially resulting in the unauthorized use or disclosure of our trade secrets and other intellectual property, including to our competitors, which could cause us to lose any competitive advantage resulting from this intellectual property. Individuals not subject to invention assignment agreements may make adverse ownership claims to our current and future intellectual property. Moreover, our competitors may independently develop knowledge, methods and know-how equivalent to our trade secrets. Competitors could purchase our products, if approved,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5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Enforcing a claim that a third-party entity illegally obtained and is using any of our trade secrets is expensive and time-consuming, and the outcome is unpredictable, and we may not be able to obtain adequate remedies for such breaches.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working to maintain the physical security of our premises and physical and electronic security of our information technology systems. Our confidentiality agreements may, however, be breached, and we may not have adequate remedies for any breach. Our and other applicable security measures may also not be able to prevent security breaches and other compromises of the security of our trade secrets or other data. Also, if the steps taken to maintain our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16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for an adequate amount of time, and if we do not obtain protection under the Hatch-Waxman Amendments and similar non-United States legislation for extending the term of patents covering each of our product candidates, our business may be materially harmed.</w:t>
      </w:r>
    </w:p>
    <w:p>
      <w:pPr>
        <w:spacing w:after="0" w:line="13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shortly after such product candidates are commercialized. 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and could have a material adverse effect on our business.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6" w:name="page67"/>
    <w:bookmarkEnd w:id="66"/>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in-license key intellectual property necessary for the development of each of our current product candidates. If we fail to comply with our obligations in our current and future intellectual property licenses with third parties, resulting in the termination of such licenses, we could lose rights that are important to our business.</w:t>
      </w:r>
    </w:p>
    <w:p>
      <w:pPr>
        <w:spacing w:after="0" w:line="148"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We are heavily reliant upon licenses to certain patent rights and proprietary technology for the development of each of our current product candidates. In particular, we in-license key patents and patent applications from Adverum related to LX2006, we in-license patent applications and know-how from Cornell University related to our LX2006, LX1001, LX1020 and LX1021 product candidates, and we in-license patent applications and know-how from UCSD related to our LX2020, LX2021 and LX2022 product candidates. Our license agreements impose diligence and milestone and royalty payment obligations on us, and also contain certain development requirements. If we fail to comply with our obligations, our licensors may have the right to terminate our licenses, in which event we will not be able to develop, manufacture or market any product using the intellectual property under any such terminated agreement and may face other penalties. Such an occurrence would materially adversely affect our business prospects.</w:t>
      </w:r>
    </w:p>
    <w:p>
      <w:pPr>
        <w:spacing w:after="0" w:line="1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of our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technology and product candidates in the future. In addition, the intellectual property rights licensed to us by our licensors, including certain intellectual property licensed by Cornell University UCSD, and Adverum, at least in some respects, may be used by such licensors or licensed to third parties, and such third parties may have certain enforcement rights with respect to such intellectual property. Thus,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1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Licenses to additional third-party technology and materials that may be required for our development programs may not be available in the future or may not be available on commercially reasonable terms, or at all, which could have a material adverse effect on our business and financial condition. In such events,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or product candidates. Even if we are able to obtain such additional licenses, they may be non-exclusive thereby giving our competitors and other third parties access to the same technology licensed to us.</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we or our licensors fail to adequately protect our licensed intellectual property, our ability to commercialize our product candidates and technology could suffer. For example, although we have oversight rights, Cornell University generally controls the prosecution, maintenance and enforcement of our in-licensed patents and patent applications. Therefore, we cannot be certain that the prosecution, maintenance and enforcement of these patent rights will be in a manner consistent with the best interests of our business, or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 If we or our licensors fail to maintain such patents or patent applications, or if we or our licensor lose rights to those patents or patent applications, the rights we have licensed may be reduced or eliminated and our right to develop and commercialize any of our product candidates that are the subject of such licensed rights could be adversely affected. In addition to the foregoing, the risks associated with patent rights that we license from third parties will also apply to patent rights we may own in the future.</w:t>
      </w:r>
    </w:p>
    <w:p>
      <w:pPr>
        <w:spacing w:after="0" w:line="1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Further, if we fail to comply with our development obligations under our license agreements, we may lose our patent rights with respect to such agreement on a territory-by-territory basis, which would affect our patent rights worldwide. In spite of our efforts, our current and future licensors might conclude that we have materially breached our obligations under our license agreements and might therefore terminate such license agreements, thereby removing or limiting our ability to develop and commercialize products and technology covered by these license agreements. Disputes may also arise between us and our licensors regarding intellectual property subject to a license agreement, including:</w:t>
      </w:r>
    </w:p>
    <w:p>
      <w:pPr>
        <w:spacing w:after="0" w:line="151"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79"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financial and other obligations under the license agreement;</w:t>
      </w:r>
    </w:p>
    <w:p>
      <w:pPr>
        <w:spacing w:after="0" w:line="184" w:lineRule="exact"/>
        <w:rPr>
          <w:rFonts w:ascii="Times New Roman" w:cs="Times New Roman" w:eastAsia="Times New Roman" w:hAnsi="Times New Roman"/>
          <w:sz w:val="22"/>
          <w:szCs w:val="22"/>
          <w:color w:val="auto"/>
        </w:rPr>
      </w:pPr>
    </w:p>
    <w:p>
      <w:pPr>
        <w:ind w:left="760" w:right="120" w:hanging="378"/>
        <w:spacing w:after="0" w:line="234" w:lineRule="auto"/>
        <w:tabs>
          <w:tab w:leader="none" w:pos="7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167"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67" w:name="page68"/>
    <w:bookmarkEnd w:id="67"/>
    <w:p>
      <w:pPr>
        <w:ind w:left="760" w:right="120" w:hanging="378"/>
        <w:spacing w:after="0" w:line="234" w:lineRule="auto"/>
        <w:tabs>
          <w:tab w:leader="none" w:pos="7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199"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inventorship or ownership of inventions and know-how resulting from the joint creation or use of intellectual property by our licensors and us and our partners; and</w:t>
      </w:r>
    </w:p>
    <w:p>
      <w:pPr>
        <w:spacing w:after="0" w:line="167"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priority of invention of patented technology.</w:t>
      </w:r>
    </w:p>
    <w:p>
      <w:pPr>
        <w:spacing w:after="0" w:line="15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technology or product candidates. In addition, if any such disputes result in the termination of our intellectual property licenses, this could result in the loss of our ability to develop and commercialize our lead product candidates, or we could lose other significant rights, experience significant delays in the development and commercialization of our other product candidates,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 candidates.</w:t>
      </w:r>
    </w:p>
    <w:p>
      <w:pPr>
        <w:spacing w:after="0" w:line="16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Some of our future agreements with certain of our third-party research partners may provide that improvements developed in the course of our relationship may be owned solely by either us or our third-party research partner. If we determine that rights to such improvements owned solely by a third-party research partner or other third party with whom we collaborate are necessary to commercialize our therapeutic product candidates or maintain our competitive advantage, we may need to obtain a license from such third party in order to use the improvements and continue developing, manufacturing or marketing our drug candidates. We may not be able to obtain such a license on an exclusive basis, on commercially reasonable terms, or at all, which could prevent us from commercializing our product candidates or allow our competitors or others the chance to access technology that is important to our business.</w:t>
      </w:r>
    </w:p>
    <w:p>
      <w:pPr>
        <w:spacing w:after="0" w:line="14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Termination of our current or any future license agreements would reduce or eliminate our rights under these agreements and may result in our having to negotiate new or reinstated agreements with less favorable terms or cause us to lose our rights under these agreements, including our rights to important intellectual property or technology. Any of the foregoing could prevent us from commercializing our other product candidates, which could have a material adverse effect on our operating results and overall financial condition.</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intellectual property rights that we in-license in the future may be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1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a third party may in the future bring claims that our performance under our license agreements, including our sponsoring of clinical trials, interferes with such third party’s rights under its agreement with one of our licensors. If any such claim were successful, it may adversely affect our rights and ability to advance our product candidates as clinical candidates or subject us to liability for monetary damages, any of which would have an adverse effect on our business, financial condition, results of operations and prospects.</w:t>
      </w:r>
    </w:p>
    <w:p>
      <w:pPr>
        <w:spacing w:after="0" w:line="13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generally also subject to all of the same risks with respect to protection of intellectual property that we license as we are for intellectual property that we own, which are described above and below. If we or our licensors fail to adequately protect this intellectual property, our ability to commercialize products could suffer. We may not be successful in obtaining or maintaining necessary rights to product components and processes for our development pipeline through acquisitions and in-licenses.</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Presently, we have obtained rights to certain intellectual property rights through licenses from third parties to develop, manufacture and commercialize our lead product candidates and other potential product candidates in our pipeline. Because the commercialization of our product candidates may require the use of additional intellectual property rights held by third parties, the growth of our business likely will depend, in part, on our ability to acquire or license these intellectual property rights. Our product candidates also require specific formulations and manufacturing processes to work effectively and efficiently, and some of these rights are held by others.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68" w:name="page69"/>
    <w:bookmarkEnd w:id="68"/>
    <w:p>
      <w:pPr>
        <w:spacing w:after="0" w:line="252" w:lineRule="auto"/>
        <w:rPr>
          <w:sz w:val="20"/>
          <w:szCs w:val="20"/>
          <w:color w:val="auto"/>
        </w:rPr>
      </w:pPr>
      <w:r>
        <w:rPr>
          <w:rFonts w:ascii="Times New Roman" w:cs="Times New Roman" w:eastAsia="Times New Roman" w:hAnsi="Times New Roman"/>
          <w:sz w:val="18"/>
          <w:szCs w:val="18"/>
          <w:color w:val="auto"/>
        </w:rPr>
        <w:t>We may be unable to acquire or in-license any compositions, methods of use, processes or other third-party intellectual property rights from third parties that we identify as necessary, important or more expedient to further our business operations. In addition, even if we are able to obtain such licenses, we may fail to obtain any of these licenses at a reasonable cost or on reasonable terms, which would harm our business. Were that to happen, we may need to cease use of the product candidates and technologies covered by those third-party intellectual property rights and may need to seek to develop alternative approaches that do not infringe, misappropriate or violate those intellectual property rights, which may entail additional costs and development delays if we are able to develop such alternatives, or which may not be feasible. Even if we are able to obtain a license, it may be non-exclusive, which means that our competitors may also receive access to the same technologies licensed to us. 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In addition, companies that perceive us to be a competitor may be unwilling to assign or license rights to us. There can be no assurance that we will be able to successfully complete such negotiations and ultimately acquire the rights to the intellectual property surrounding the additional product candidates that we may seek to acquire. We also may be unable to license or acquire third-party intellectual property rights on terms that would allow us to make an appropriate return on our investment.</w:t>
      </w:r>
    </w:p>
    <w:p>
      <w:pPr>
        <w:spacing w:after="0" w:line="17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we are unable to successfully obtain rights to required third-party intellectual property or maintain the existing intellectual property rights we have licensed, we may be required to expend significant time and resources to redesign our product candidates, or to develop or license replacement technology, all of which may not be feasible on a technical or commercial basis, and we may have to abandon development of our product candidates, any of which could have a material adverse effect on our business, financial condition, results of operations and prospects.</w:t>
      </w:r>
    </w:p>
    <w:p>
      <w:pPr>
        <w:spacing w:after="0" w:line="13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licenses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currently depend, and will continue to depend, on our license agreements, including the license agreements with Cornell University and Adverum related to LX2006, with Cornell University related to our LX1001, LX1020 and LX1021 product candidates, and with UCSD related to LX2020, LX2021 and LX2022 product candidates.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our licenses or material relationships or any in-licenses upon which our licenses are based are terminated or breached, we may:</w:t>
      </w:r>
    </w:p>
    <w:p>
      <w:pPr>
        <w:spacing w:after="0" w:line="193"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lose our rights to develop and market our products;</w:t>
      </w:r>
    </w:p>
    <w:p>
      <w:pPr>
        <w:spacing w:after="0" w:line="165"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lose patent protection for our products;</w:t>
      </w:r>
    </w:p>
    <w:p>
      <w:pPr>
        <w:spacing w:after="0" w:line="179"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experience significant delays in the development or commercialization of our products;</w:t>
      </w:r>
    </w:p>
    <w:p>
      <w:pPr>
        <w:spacing w:after="0" w:line="165"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not be able to obtain any other licenses on acceptable terms, if at all; or</w:t>
      </w:r>
    </w:p>
    <w:p>
      <w:pPr>
        <w:spacing w:after="0" w:line="165"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incur liability for damages.</w:t>
      </w:r>
    </w:p>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These risks apply to any agreements that we may enter into in the future for our products or for any future product candidates. If we experience any of the foregoing, it could have a material adverse effect on our business, financial condition, results of operations and prospects.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cannot be certain that any of our or licensed pending patent applications or our future owned or licensed patent applications will result in issued patent claims covering such aspects of our product candidates.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69" w:name="page70"/>
    <w:bookmarkEnd w:id="69"/>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Composition-of-matter patents on the active pharmaceutical ingredient, or API, in prescription drug products are generally considered to be the strongest form of intellectual property protection for drug products because those types of patents provide protection without regard to any particular method of use or manufacture or formulation of the API used. Although we intend to file patent applications in the future that cover these product candidates, we cannot be certain that our future owned or licensed patent applications will cover our current or future product candidates.</w:t>
      </w:r>
    </w:p>
    <w:p>
      <w:pPr>
        <w:spacing w:after="0" w:line="15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Method-of-use patents protect the use of a product for the specified method and formulation patents cover formulations of the API. These types of patents do not prevent a competitor or other third party from developing or marketing an identical product for an indication that is outside the scope of the patented method or from developing a different formulation that is outside the scope of the patented formulation. Moreover, with respect to method-of-use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method-of-use patents, the practice is common, and this type of infringement is difficult to prevent or prosecute. In addition, there are numerous publications and other prior art that may be relevant to our owned or in-licensed method-of-use patents and patent applications and may be used to challenge the validity of these owned or in-licensed patents and patent applications in litigation or other intellectual property-related proceedings. If these types of challenges are successful, our owned or in-licensed patents and patent applications may be narrowed or found to be invalid, and we may lose valuable intellectual property rights. Any of the foregoing could have a material adverse effect on our business, financial condition, prospects and results of operations.</w:t>
      </w:r>
    </w:p>
    <w:p>
      <w:pPr>
        <w:spacing w:after="0" w:line="1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countries. Even if patents do successfully issue, the issuance of a patent is not conclusive as to its inventorship, scope, validity or enforceability and third parties may challenge the validity, enforceability or scope of our owned and licensed patents in courts or patent offices in the United States and abroad, which may result in those patents being narrowed, invalidated or held unenforceable. Furthermore, even if they are unchallenged, our owned and licensed patents and pending patent applications, if issued, may not adequately protect our intellectual property or prevent competitors or others from designing around our patent claims to circumvent our owned or licensed patents by developing similar or alternative technologies or therapeutics in a non-infringing manner. If the breadth or strength of protection provided by the patents and patent applications we own or license with respect to our product candidates is not sufficient to impede such competition or is otherwise threatened, it could dissuade companies from collaborating with us to develop, and threaten our ability to commercialize, our product candidates. Any of the foregoing could have a material adverse effect on our business, financial condition, results of operations and prospects.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which could be expensive, time-consuming and unsuccessful.</w:t>
      </w:r>
    </w:p>
    <w:p>
      <w:pPr>
        <w:spacing w:after="0" w:line="2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Competitors may infringe the patents for which we have applied. To counter infringement or unauthorized use, we may be required to file infringement claims, which can be expensive and time-consuming. If we initiate legal proceedings against a third party to enforce a patent covering one of our product candidates, the defendant could counterclaim that the patent covering our product or product candidate is invalid and/or unenforceable.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post-grant review, inter partes review and equivalent proceedings in foreign jurisdictions (for example, opposition proceedings). Such proceedings could result in revocation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An adverse result in any litigation or defense proceedings could put one or more of our patents at risk of being invalidated or interpreted narrowly, could put our patent applications at risk of not issuing and could have a material adverse impact on our business.</w:t>
      </w:r>
    </w:p>
    <w:p>
      <w:pPr>
        <w:spacing w:after="0" w:line="15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may be necessary to determine the priority of inventions with respect to our patent applications. An unfavorable outcome could require us to cease using the related technology or force us to take a license under the patent rights of the prevailing party, if available. Furthermore,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misappropriation of our intellectual property rights, particularly in countries where the laws may not protect those rights as fully as in the United States.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70" w:name="page71"/>
    <w:bookmarkEnd w:id="70"/>
    <w:p>
      <w:pPr>
        <w:spacing w:after="0" w:line="258" w:lineRule="auto"/>
        <w:rPr>
          <w:sz w:val="20"/>
          <w:szCs w:val="20"/>
          <w:color w:val="auto"/>
        </w:rPr>
      </w:pPr>
      <w:r>
        <w:rPr>
          <w:rFonts w:ascii="Times New Roman" w:cs="Times New Roman" w:eastAsia="Times New Roman" w:hAnsi="Times New Roman"/>
          <w:sz w:val="18"/>
          <w:szCs w:val="18"/>
          <w:color w:val="auto"/>
        </w:rPr>
        <w:t>Even if we establish infringement of any of our patents by a competitive product, a court may decide not to grant an injunction against further infringing activity, thus allowing the competitive product to continue to be marketed by the competitor. It is difficult to obtain an injunction in U.S. litigation and a court could decide that the competitor should instead pay us a “reasonable royalty” as determined by the court, and/or other monetary damages. A reasonable royalty or other monetary damages may or may not be an adequate remedy. Loss of exclusivity and/or competition from a related product would have a material adverse impact on our business.</w:t>
      </w:r>
    </w:p>
    <w:p>
      <w:pPr>
        <w:spacing w:after="0" w:line="1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certain of our in-licensed patent rights, such as patent rights in-licensed from Cornell University and Adverum, we may not have the right to file a lawsuit for infringement and may have to rely on a licensor to enforce these rights for us. If we are not able to directly assert our licensed patent rights against infringers or if a licensor does not vigorously prosecute any infringement claims on our behalf, we may have difficulty competing in certain markets where such potential infringers conduct their business, and our commercialization efforts may suffer as a result.</w:t>
      </w:r>
    </w:p>
    <w:p>
      <w:pPr>
        <w:spacing w:after="0" w:line="13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we or our licensors, as the case may be, may not be able to detect infringement against our owned or in-licensed patents,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that otherwise would not be available but for the delay between when the infringement was first detected and when the suit was brought. These legal defenses may make it impossible for us or our licensors to enforce our owned or in-licensed patents, as the case may be, against that third party.</w:t>
      </w:r>
    </w:p>
    <w:p>
      <w:pPr>
        <w:spacing w:after="0" w:line="147"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our current and future product candidates progress toward commercialization, the possibility of a patent infringement claim against us increases. We cannot provide any assurance that our current and future product candidates do not infringe other parties’ patents or other proprietary rights, and competitors or other parties may assert that we infringe their proprietary rights in any event. We may become party to, or threatened with, adversarial proceedings or litigation regarding intellectual property rights with respect to our current and future product candidates, including interference or derivation proceedings before the USPTO, or oppositions and other proceedings in foreign jurisdictions. We may be exposed to, or threatened with, future litigation by third parties having patent or other intellectual property rights alleging that our product candidates, manufacturing methods, formulations, administration methods and/or proprietary technologies infringe, misappropriate or otherwise violate their intellectual property rights.</w:t>
      </w:r>
    </w:p>
    <w:p>
      <w:pPr>
        <w:spacing w:after="0" w:line="1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Numerous issued patents and pending patent applications that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the claim scope that may issue from pending patent applications owned by third parties or which patents cover various types of drugs, products or their methods of use or manufacture. Thus, because of the large number of patents issued and patent applications filed in our fields, there may be a risk that third parties, including our competitors, may allege they have patent rights encompassing our product candidates, technologies or methods and that we are employing their proprietary technology without authorization.</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we were sued for patent infringement, we would need to demonstrate that the relevant product or methods of using the product either do not infringe the patent claims of the relevant patent or that the patent claims are invalid or unenforceable, and we may not be able to do this. In order to successfully challenge the validity of any such United States patent in federal court, we would need to overcome a presumption of validity. As this burden is high and requires us to present clear and convincing evidence as to the invalidity of any such United States patent claim, there is no assurance that a court of competent jurisdiction would agree with us and invalidate the claims of any such United States patent. Moreover, given the vast number of patents in our field of technology, we cannot be certain that we do not infringe existing patents or that we will not infringe patents that may be granted in the future.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1" w:name="page72"/>
    <w:bookmarkEnd w:id="71"/>
    <w:p>
      <w:pPr>
        <w:ind w:right="40"/>
        <w:spacing w:after="0" w:line="253" w:lineRule="auto"/>
        <w:rPr>
          <w:sz w:val="20"/>
          <w:szCs w:val="20"/>
          <w:color w:val="auto"/>
        </w:rPr>
      </w:pPr>
      <w:r>
        <w:rPr>
          <w:rFonts w:ascii="Times New Roman" w:cs="Times New Roman" w:eastAsia="Times New Roman" w:hAnsi="Times New Roman"/>
          <w:sz w:val="18"/>
          <w:szCs w:val="18"/>
          <w:color w:val="auto"/>
        </w:rPr>
        <w:t>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one of our product candidates infringes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1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any third-party patents are held by a court of competent jurisdiction to be valid and enforceable and to cover any of our technology or product candidates, including the manufacturing process of our product candidates, constructs or molecules used in or formed during the manufacturing process, or any final product itself, we could be forced, including by court order, to cease developing, manufacturing or commercializing the infringing product. Alternatively, we may be required to obtain a license from such third party in order to use the infringing technology and continue developing, manufacturing or marketing the infringing product. If we were required to obtain a license to continue to manufacture or market the affected product, we may be required to pay substantial royalties or grant cross-licenses to our patents. We cannot, however, assure that any such license will be available on acceptable terms, if at all. Ultimately, we could be prevented from commercializing a product, or be forced to cease some aspect of our business operations as a result of claims of patent infringement or violation of other intellectual property rights. Further, the outcome of intellectual property litigation is subject to uncertainties that cannot be adequately quantified in advance, including the demeanor and credibility of witnesses and the identity of any adverse party. This is especially true in intellectual property cases that may turn on the testimony of experts as to technical facts upon which experts may reasonably disagree. Furthermore,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significant monetary damages, including treble damages and attorneys’ fees if we are found to have willfully infringed a patent. A finding of infringement could prevent us from commercializing a product or force us to cease some of our business operations, which could harm our business. Claims that we have misappropriated the confidential information or trade secrets of third parties could have a similar negative impact on our business.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14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3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that we and our employees, consultants, or independent contractors have wrongfully used or disclosed confidential information or trade secrets of third parties.</w:t>
      </w:r>
    </w:p>
    <w:p>
      <w:pPr>
        <w:spacing w:after="0" w:line="13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biotechnology or biopharmaceutical companies. Although we require, evidenced by written agreements, that all of our employees, consultants and advisors not use the proprietary information or know-how of others in their work for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future patents. Litigation may be necessary to defend against these claims, and there is no guarantee of success in defending these claims.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2" w:name="page73"/>
    <w:bookmarkEnd w:id="72"/>
    <w:p>
      <w:pPr>
        <w:ind w:right="100"/>
        <w:spacing w:after="0" w:line="254" w:lineRule="auto"/>
        <w:rPr>
          <w:sz w:val="20"/>
          <w:szCs w:val="20"/>
          <w:color w:val="auto"/>
        </w:rPr>
      </w:pPr>
      <w:r>
        <w:rPr>
          <w:rFonts w:ascii="Times New Roman" w:cs="Times New Roman" w:eastAsia="Times New Roman" w:hAnsi="Times New Roman"/>
          <w:sz w:val="18"/>
          <w:szCs w:val="18"/>
          <w:color w:val="auto"/>
        </w:rPr>
        <w:t>Even if we are successful in defending against these types of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 Uncertainties resulting from the initiation and continuation of intellectual property litigation or other intellectual property related proceedings could adversely affect our ability to compete in the marketplace.</w:t>
      </w:r>
    </w:p>
    <w:p>
      <w:pPr>
        <w:spacing w:after="0" w:line="16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legal proceedings, see Note 11 to the unaudited condensed financial statements included in Part I, Item 1 of this Quarterly Report on Form 10-Q.</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future patents and other intellectual property.</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ownership interest in our patent applications, our future patents, or other intellectual property. We may be subject to ownership disputes in the future arising, for example, from conflicting obligations of consultants or others who are involved in developing our product candidates and platform discovery.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6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11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we rely on third parties to manufacture or commercialize our product candidates, or if we collaborate with additional third parties for the development of such product candidates, we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15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 consuming, and the outcome is unpredictable. In addition, courts outside the United States are sometimes less willing to protect trade secrets.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0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48" w:lineRule="exact"/>
        <w:rPr>
          <w:sz w:val="20"/>
          <w:szCs w:val="20"/>
          <w:color w:val="auto"/>
        </w:rPr>
      </w:pPr>
    </w:p>
    <w:p>
      <w:pPr>
        <w:ind w:left="380" w:right="180" w:hanging="372"/>
        <w:spacing w:after="0" w:line="234" w:lineRule="auto"/>
        <w:tabs>
          <w:tab w:leader="none" w:pos="3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others may be able to make or use capsids, nucleic acids and vectors that are similar to the biological compositions of our products that are the same as or similar to our product candidates but that are not covered by the claims of owned or in-licensed patents;</w:t>
      </w:r>
    </w:p>
    <w:p>
      <w:pPr>
        <w:spacing w:after="0" w:line="167"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17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it is possible that others may circumvent our owned or in-licensed patents;</w:t>
      </w:r>
    </w:p>
    <w:p>
      <w:pPr>
        <w:spacing w:after="0" w:line="184" w:lineRule="exact"/>
        <w:rPr>
          <w:rFonts w:ascii="Times New Roman" w:cs="Times New Roman" w:eastAsia="Times New Roman" w:hAnsi="Times New Roman"/>
          <w:sz w:val="22"/>
          <w:szCs w:val="22"/>
          <w:color w:val="auto"/>
        </w:rPr>
      </w:pPr>
    </w:p>
    <w:p>
      <w:pPr>
        <w:ind w:left="380" w:hanging="372"/>
        <w:spacing w:after="0" w:line="239" w:lineRule="auto"/>
        <w:tabs>
          <w:tab w:leader="none" w:pos="3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others, including inventors or developers of our owned or in-licensed patented technologies who may become involved with competitors, may independently develop similar technologies that function as alternatives or replacements for any of our technologies without infringing our intellectual property rights;</w:t>
      </w:r>
    </w:p>
    <w:p>
      <w:pPr>
        <w:spacing w:after="0" w:line="186" w:lineRule="exact"/>
        <w:rPr>
          <w:rFonts w:ascii="Times New Roman" w:cs="Times New Roman" w:eastAsia="Times New Roman" w:hAnsi="Times New Roman"/>
          <w:sz w:val="22"/>
          <w:szCs w:val="22"/>
          <w:color w:val="auto"/>
        </w:rPr>
      </w:pPr>
    </w:p>
    <w:p>
      <w:pPr>
        <w:ind w:left="380" w:hanging="372"/>
        <w:spacing w:after="0" w:line="239" w:lineRule="auto"/>
        <w:tabs>
          <w:tab w:leader="none" w:pos="3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it is possible that our owned or in-licensed patents or patent applications omit individual(s) who should be listed as inventor(s) or include individual(s) who should not be listed as inventor(s), which may cause these patents or patents issuing from these patent applications to be held invalid or unenforceable;</w:t>
      </w:r>
    </w:p>
    <w:p>
      <w:pPr>
        <w:spacing w:after="0" w:line="199" w:lineRule="exact"/>
        <w:rPr>
          <w:rFonts w:ascii="Times New Roman" w:cs="Times New Roman" w:eastAsia="Times New Roman" w:hAnsi="Times New Roman"/>
          <w:sz w:val="22"/>
          <w:szCs w:val="22"/>
          <w:color w:val="auto"/>
        </w:rPr>
      </w:pPr>
    </w:p>
    <w:p>
      <w:pPr>
        <w:ind w:left="380" w:right="180" w:hanging="372"/>
        <w:spacing w:after="0" w:line="234" w:lineRule="auto"/>
        <w:tabs>
          <w:tab w:leader="none" w:pos="3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or our licensors or our other collaboration partners might not have been the first to conceive and reduce to practice the inventions covered by the patents or patent applications that we own, license or will own or license;</w:t>
      </w:r>
    </w:p>
    <w:p>
      <w:pPr>
        <w:spacing w:after="0" w:line="186" w:lineRule="exact"/>
        <w:rPr>
          <w:rFonts w:ascii="Times New Roman" w:cs="Times New Roman" w:eastAsia="Times New Roman" w:hAnsi="Times New Roman"/>
          <w:sz w:val="22"/>
          <w:szCs w:val="22"/>
          <w:color w:val="auto"/>
        </w:rPr>
      </w:pPr>
    </w:p>
    <w:p>
      <w:pPr>
        <w:ind w:left="380" w:right="80" w:hanging="372"/>
        <w:spacing w:after="0" w:line="234" w:lineRule="auto"/>
        <w:tabs>
          <w:tab w:leader="none" w:pos="3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or our licensors or our other collaboration partners might not have been the first to file patent applications covering certain of the patents or patent applications that we or they own or have obtained a license to, or will own or will have obtained a license;</w:t>
      </w:r>
    </w:p>
    <w:p>
      <w:pPr>
        <w:spacing w:after="0" w:line="186" w:lineRule="exact"/>
        <w:rPr>
          <w:rFonts w:ascii="Times New Roman" w:cs="Times New Roman" w:eastAsia="Times New Roman" w:hAnsi="Times New Roman"/>
          <w:sz w:val="22"/>
          <w:szCs w:val="22"/>
          <w:color w:val="auto"/>
        </w:rPr>
      </w:pPr>
    </w:p>
    <w:p>
      <w:pPr>
        <w:ind w:left="380" w:right="340" w:hanging="372"/>
        <w:spacing w:after="0" w:line="234" w:lineRule="auto"/>
        <w:tabs>
          <w:tab w:leader="none" w:pos="3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or our licensors may fail to meet obligations to the U.S. government with respect to in-licensed patents and patent applications funded by U.S. government grants, leading to the loss of patent rights;</w:t>
      </w:r>
    </w:p>
    <w:p>
      <w:pPr>
        <w:spacing w:after="0" w:line="180"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184" w:lineRule="exact"/>
        <w:rPr>
          <w:rFonts w:ascii="Times New Roman" w:cs="Times New Roman" w:eastAsia="Times New Roman" w:hAnsi="Times New Roman"/>
          <w:sz w:val="22"/>
          <w:szCs w:val="22"/>
          <w:color w:val="auto"/>
        </w:rPr>
      </w:pPr>
    </w:p>
    <w:p>
      <w:pPr>
        <w:ind w:left="380" w:right="80" w:hanging="372"/>
        <w:spacing w:after="0" w:line="234" w:lineRule="auto"/>
        <w:tabs>
          <w:tab w:leader="none" w:pos="3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may not be able to generate sufficient data to support full patent applications that protect the entire breadth of developments in one or more of our programs;</w:t>
      </w:r>
    </w:p>
    <w:p>
      <w:pPr>
        <w:spacing w:after="0" w:line="167"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 patent protection may be available with regard to formulation or method of use;</w:t>
      </w:r>
    </w:p>
    <w:p>
      <w:pPr>
        <w:spacing w:after="0" w:line="17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cover our product candidates;</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it is possible that there are prior public disclosures that could invalidate our or our licensors’ patents;</w:t>
      </w:r>
    </w:p>
    <w:p>
      <w:pPr>
        <w:spacing w:after="0" w:line="184" w:lineRule="exact"/>
        <w:rPr>
          <w:rFonts w:ascii="Times New Roman" w:cs="Times New Roman" w:eastAsia="Times New Roman" w:hAnsi="Times New Roman"/>
          <w:sz w:val="22"/>
          <w:szCs w:val="22"/>
          <w:color w:val="auto"/>
        </w:rPr>
      </w:pPr>
    </w:p>
    <w:p>
      <w:pPr>
        <w:ind w:left="380" w:right="620" w:hanging="372"/>
        <w:spacing w:after="0" w:line="234" w:lineRule="auto"/>
        <w:tabs>
          <w:tab w:leader="none" w:pos="3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products or technology similar to ours;</w:t>
      </w:r>
    </w:p>
    <w:p>
      <w:pPr>
        <w:spacing w:after="0" w:line="199" w:lineRule="exact"/>
        <w:rPr>
          <w:rFonts w:ascii="Times New Roman" w:cs="Times New Roman" w:eastAsia="Times New Roman" w:hAnsi="Times New Roman"/>
          <w:sz w:val="22"/>
          <w:szCs w:val="22"/>
          <w:color w:val="auto"/>
        </w:rPr>
      </w:pPr>
    </w:p>
    <w:p>
      <w:pPr>
        <w:ind w:left="380" w:right="200" w:hanging="372"/>
        <w:spacing w:after="0" w:line="234" w:lineRule="auto"/>
        <w:tabs>
          <w:tab w:leader="none" w:pos="3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issued patents that we own or exclusively license may not provide us with any competitive advantage, or may be held invalid or unenforceable, as a result of legal challenges by our competitors;</w:t>
      </w:r>
    </w:p>
    <w:p>
      <w:pPr>
        <w:spacing w:after="0" w:line="167"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may not exclusively license our patents and, therefore, may not have a competitive advantage if such patents are licensed to others;</w:t>
      </w:r>
    </w:p>
    <w:p>
      <w:pPr>
        <w:spacing w:after="0" w:line="184" w:lineRule="exact"/>
        <w:rPr>
          <w:rFonts w:ascii="Times New Roman" w:cs="Times New Roman" w:eastAsia="Times New Roman" w:hAnsi="Times New Roman"/>
          <w:sz w:val="22"/>
          <w:szCs w:val="22"/>
          <w:color w:val="auto"/>
        </w:rPr>
      </w:pPr>
    </w:p>
    <w:p>
      <w:pPr>
        <w:ind w:left="380" w:hanging="372"/>
        <w:spacing w:after="0" w:line="239" w:lineRule="auto"/>
        <w:tabs>
          <w:tab w:leader="none" w:pos="3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74" w:name="page75"/>
    <w:bookmarkEnd w:id="74"/>
    <w:p>
      <w:pPr>
        <w:ind w:left="380" w:right="300" w:hanging="372"/>
        <w:spacing w:after="0" w:line="234" w:lineRule="auto"/>
        <w:tabs>
          <w:tab w:leader="none" w:pos="3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laws of other countries may not protect our or our licensors’, as the case may be, proprietary rights to the same extent as the laws of the United States;</w:t>
      </w:r>
    </w:p>
    <w:p>
      <w:pPr>
        <w:spacing w:after="0" w:line="199" w:lineRule="exact"/>
        <w:rPr>
          <w:rFonts w:ascii="Times New Roman" w:cs="Times New Roman" w:eastAsia="Times New Roman" w:hAnsi="Times New Roman"/>
          <w:sz w:val="22"/>
          <w:szCs w:val="22"/>
          <w:color w:val="auto"/>
        </w:rPr>
      </w:pPr>
    </w:p>
    <w:p>
      <w:pPr>
        <w:ind w:left="380" w:hanging="372"/>
        <w:spacing w:after="0" w:line="234" w:lineRule="auto"/>
        <w:tabs>
          <w:tab w:leader="none" w:pos="3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186" w:lineRule="exact"/>
        <w:rPr>
          <w:rFonts w:ascii="Times New Roman" w:cs="Times New Roman" w:eastAsia="Times New Roman" w:hAnsi="Times New Roman"/>
          <w:sz w:val="22"/>
          <w:szCs w:val="22"/>
          <w:color w:val="auto"/>
        </w:rPr>
      </w:pPr>
    </w:p>
    <w:p>
      <w:pPr>
        <w:ind w:left="380" w:right="120" w:hanging="372"/>
        <w:spacing w:after="0" w:line="234" w:lineRule="auto"/>
        <w:tabs>
          <w:tab w:leader="none" w:pos="3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countries other than the United States may, under certain circumstances, force us or our licensors to grant a license under our patents to a competitor, thus allowing the competitor to compete with us in that jurisdiction or forcing us to lower the price of our drug in that jurisdiction;</w:t>
      </w:r>
    </w:p>
    <w:p>
      <w:pPr>
        <w:spacing w:after="0" w:line="186" w:lineRule="exact"/>
        <w:rPr>
          <w:rFonts w:ascii="Times New Roman" w:cs="Times New Roman" w:eastAsia="Times New Roman" w:hAnsi="Times New Roman"/>
          <w:sz w:val="22"/>
          <w:szCs w:val="22"/>
          <w:color w:val="auto"/>
        </w:rPr>
      </w:pPr>
    </w:p>
    <w:p>
      <w:pPr>
        <w:ind w:left="380" w:right="640" w:hanging="372"/>
        <w:spacing w:after="0" w:line="234" w:lineRule="auto"/>
        <w:tabs>
          <w:tab w:leader="none" w:pos="3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have engaged in scientific collaborations in the past and will continue to do so in the future and our collaborators may develop adjacent or competing products that are outside the scope of our patents;</w:t>
      </w:r>
    </w:p>
    <w:p>
      <w:pPr>
        <w:spacing w:after="0" w:line="180"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may not successfully commercialize the product candidates, if approved, before our relevant patents expire;</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may not develop additional proprietary technologies for which we can obtain patent protection;</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it is possible that product candidates or technologies we develop may be covered by third parties’ patents or other exclusive rights;</w:t>
      </w:r>
    </w:p>
    <w:p>
      <w:pPr>
        <w:spacing w:after="0" w:line="17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ownership, validity or enforceability of our or our licensors’ patents or patent applications may be challenged by third parties; and</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patents of third parties or pending or future applications of third parties, if issued, may have an adverse effect on our business.</w:t>
      </w:r>
    </w:p>
    <w:p>
      <w:pPr>
        <w:spacing w:after="0" w:line="153"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limited geographical protection with respect to certain patents and we may not be able to protect our intellectual property rights throughout the world.</w:t>
      </w:r>
    </w:p>
    <w:p>
      <w:pPr>
        <w:spacing w:after="0" w:line="1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Filing and prosecuting patent applications and defending patents covering our product candidates in all countries throughout the world would be prohibitively expensive. Competitors may use our technologies in jurisdictions where we have not obtained patent protection to develop their own products and, further, may export otherwise infringing products to territories where we have patent protection, but enforcement rights are not as strong as those in the United States or Europe. These products may compete with our product candidates, and our future patents or other intellectual property rights may not be effective or sufficient to prevent them from competing.</w:t>
      </w:r>
    </w:p>
    <w:p>
      <w:pPr>
        <w:spacing w:after="0" w:line="14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13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6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which could make it difficult for us to stop the infringement of our future patents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our future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sectPr>
      </w:pPr>
    </w:p>
    <w:bookmarkStart w:id="75" w:name="page76"/>
    <w:bookmarkEnd w:id="75"/>
    <w:p>
      <w:pPr>
        <w:ind w:right="100"/>
        <w:spacing w:after="0" w:line="261" w:lineRule="auto"/>
        <w:rPr>
          <w:sz w:val="20"/>
          <w:szCs w:val="20"/>
          <w:color w:val="auto"/>
        </w:rPr>
      </w:pPr>
      <w:r>
        <w:rPr>
          <w:rFonts w:ascii="Times New Roman" w:cs="Times New Roman" w:eastAsia="Times New Roman" w:hAnsi="Times New Roman"/>
          <w:sz w:val="18"/>
          <w:szCs w:val="18"/>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are forced to grant a license to third parties with respect to any patents relevant to our business, our competitive position may be impaired.</w:t>
      </w:r>
    </w:p>
    <w:p>
      <w:pPr>
        <w:spacing w:after="0" w:line="149"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3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and/or applications will be due to be paid to the USPTO and various government patent agencies outside of the United States over the lifetime of our patents and/or applications and any patent rights we may obtain in the future. Furthermore, the USPTO and various non-United States government patent agencies require compliance with several procedural, documentary, fee payment and other similar provisions during the patent application process.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In such an event, potential competitors might be able to enter the market, which could have a material adverse effect on our business.</w:t>
      </w:r>
    </w:p>
    <w:p>
      <w:pPr>
        <w:spacing w:after="0" w:line="14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laws or patent jurisprudence could diminish the value of patents in general, thereby impairing our ability to protect our product candidates.</w:t>
      </w:r>
    </w:p>
    <w:p>
      <w:pPr>
        <w:spacing w:after="0" w:line="13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intellectual property, particularly patents. Obtaining and enforcing patents in the biotechnology and genetic medicine industries involve both technological and legal complexity. Therefore, obtaining and enforcing biotechnology and genetic medicine patents is costly, time-consuming and inherently uncertain. In addition, the Leahy-Smith America Invents Act, or the AIA, which was passed in September 2011, resulted in significant changes to the U.S. patent system.</w:t>
      </w:r>
    </w:p>
    <w:p>
      <w:pPr>
        <w:spacing w:after="0" w:line="13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 important change introduced by the AIA is that, as of March 16, 2013, the United States transitioned from a “first-to-invent” to a “first-to-file” system for deciding which party should be granted a patent when two or more patent applications are filed by different parties claiming the same invention. Under a “first-to-file” system, assuming the other requirements for patentability are met, the first inventor to file a patent application generally will be entitled to a patent on the invention regardless of whether another inventor had made the invention earlier. A third party that files a patent application in the USPTO after that date but before us could therefore be awarded a patent covering an invention of ours even if we made the invention before it was made by the third party. This will require us to be cognizant going forward of the time from invention to filing of a patent application and be diligent in filing patent applications, but circumstances could prevent us from promptly filing patent applications on our inventions.</w:t>
      </w:r>
    </w:p>
    <w:p>
      <w:pPr>
        <w:spacing w:after="0" w:line="14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Among some of the other changes introduced by the AIA are changes that limit where a patentee may file a patent infringement suit and provide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1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Accordingly, a third party may attempt to use the USPTO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patent applications and the enforcement or defense of our or our licensors’ issued patents.</w:t>
      </w:r>
    </w:p>
    <w:p>
      <w:pPr>
        <w:spacing w:after="0" w:line="13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may become involved in opposition, interference, derivation, inter partes review or other proceedings challenging our or our licensors’ patent rights, and the outcome of any proceedings are highly uncertain. An adverse determination in any such proceeding could reduce the scope of, or invalidate, our owned or in-licensed patent rights, allow third parties to commercialize our technology or products and compete directly with us, without payment to us, or result in our inability to manufacture or commercialize products without infringing third-party patent rights.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6" w:name="page77"/>
    <w:bookmarkEnd w:id="76"/>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the United States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Some of our licensed patents are subject to the provisions of the Bayh-Dole Act. If our licensors fail to comply with the regulations of the Bayh-Dole Act, they could lose title to any patents subject to such regulations, which could affect our license rights under the patents and our ability to stop others from using or commercializing similar or identical technology and products, or limit patent protection for our technology and products.</w:t>
      </w:r>
    </w:p>
    <w:p>
      <w:pPr>
        <w:spacing w:after="0" w:line="16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Additionally, the U.S.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and could weaken our ability to obtain new patents or to enforce our existing patents and patents that we might obtain in the future. In addition, the European patent system is relatively stringent in the type of amendments that are allowed during prosecution, but the complexity and uncertainty of European patent laws has also increased in recent years. Complying with these laws and regulations could limit our ability to obtain new patents in the future that may be important for our business.</w:t>
      </w:r>
    </w:p>
    <w:p>
      <w:pPr>
        <w:spacing w:after="0" w:line="14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current or future trademarks or trade names may be challenged, infringed, circumvented or declared generic or descriptive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6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matters</w:t>
      </w:r>
    </w:p>
    <w:p>
      <w:pPr>
        <w:spacing w:after="0" w:line="19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customers, healthcare providers, including physicians, and third- party payors may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13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currently or will in the future be subject to healthcare regulation and enforcement by the U.S. federal government and the states in which we will conduct our business once our product candidates are approved by the FDA and commercialized in the United States. In addition to the FDA’s restrictions on marketing of pharmaceutical products, the U.S. healthcare laws and regulations that may affect our ability to operate include: the federal fraud and abuse laws, including the federal anti-kickback and false claims laws; federal data privacy and security laws; and federal transparency laws related to payments and/or other transfers of value made to physicians and other healthcare professionals and teaching hospitals. Many states have similar laws and regulations that may differ from each other and federal law in significant ways, thus complicating compliance efforts. For example, states have anti-kickback and false claims laws that may be broader in scope than analogous federal laws and may apply regardless of payor. In addition, state laws regarding the privacy and security of health information may differ from each other and may not be preempted by federal law. Moreover, several states have enacted legislation requiring pharmaceutical manufacturers to, among other things, establish marketing compliance programs, file periodic reports with the state, make periodic public disclosures on sales and marketing activities, report information related to drug pricing, require the registration of sales representatives, and prohibit certain other sales and marketing practices. These laws may adversely affect our sales, marketing and other activities with respect to any product candidate for which we receive approval to market in the United States by imposing administrative and compliance burdens on us. It is possible that governmental authorities will conclude that our current or future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individual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15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risk of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5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FDA or EMA approval for any of our product candidates in the United States or European Union, we may never obtain approval for or commercialize any of them in any other jurisdiction, which would limit our ability to realize their full market potential.</w:t>
      </w:r>
    </w:p>
    <w:p>
      <w:pPr>
        <w:spacing w:after="0" w:line="11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Approval by the FDA in the United States or the EMA in the European Union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5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Regulatory requirements can vary widely from country to country and could delay or prevent the introduction of our products in those countries. We do not have any product candidates approved for sale in any jurisdiction, including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78" w:name="page79"/>
    <w:bookmarkEnd w:id="78"/>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will be subject to ongoing regulatory requirements for, among other things, manufacturing processes, submission of post-approval clinical data and safety information, labeling, packaging, distribution, adverse event reporting, storage, recordkeeping, export, import, advertising, promotional activities and product tracking and tracing. These requirements include submissions of safety and other post-marketing information and reports, establishment registration and drug listing requirements, applicable tracking and tracing requirements, continued compliance with cGMP requirements relating to manufacturing, quality control, quality assurance and corresponding maintenance of records and documents, requirements regarding the distribution of samples to physicians and recordkeeping and cGCP requirements for any clinical trials that we conduct post-approval.</w:t>
      </w:r>
    </w:p>
    <w:p>
      <w:pPr>
        <w:spacing w:after="0" w:line="14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or any future product candidates may also be subject to a REMS, limitations on the approved indicated uses for which the product may be marketed or to the conditions of approval, or requirements that we conduct potentially costly post-marketing testing, including Phase 4 trials and surveillance to monitor the quality, safety and efficacy of the product. An unsuccessful post- marketing study or failure to complete such a study could result in the withdrawal of marketing approval. We will further be required to immediately report any serious and unexpected adverse events and certain quality or production problems with our products to regulatory authorities along with other periodic reports.</w:t>
      </w:r>
    </w:p>
    <w:p>
      <w:pPr>
        <w:spacing w:after="0" w:line="14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FDA and EMA closely regulate the post-approval marketing and promotion of genetic therapy medicines to ensure they are marketed only for the approved indications and in accordance with the provisions of the approved labeling. However, companies may share truthful and not misleading information that is otherwise consistent with a product’s FDA approved labeling. The FDA imposes stringent restrictions on manufacturers’ communications regarding off-label use and if we market our products for uses beyond their approved diseases, we may be subject to enforcement action for off-label marketing. Violations of the FDCA, relating to the promotion of prescription drugs for unapproved uses may lead to enforcement actions and investigations alleging violations of federal and state health care fraud and abuse laws, as well as state consumer protection laws. The holder of an approved BLA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16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including adverse events of unanticipated severity or frequency, or with our third-party manufacturers or manufacturing processes, or failure to comply with regulatory requirements, may yield various results, including:</w:t>
      </w:r>
    </w:p>
    <w:p>
      <w:pPr>
        <w:spacing w:after="0" w:line="144" w:lineRule="exact"/>
        <w:rPr>
          <w:sz w:val="20"/>
          <w:szCs w:val="20"/>
          <w:color w:val="auto"/>
        </w:rPr>
      </w:pPr>
    </w:p>
    <w:p>
      <w:pPr>
        <w:ind w:left="380" w:hanging="372"/>
        <w:spacing w:after="0"/>
        <w:tabs>
          <w:tab w:leader="none" w:pos="3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restrictions on manufacturing such products;</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restrictions on the labeling or marketing of a product;</w:t>
      </w:r>
    </w:p>
    <w:p>
      <w:pPr>
        <w:spacing w:after="0" w:line="17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restrictions on product distribution or use;</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refusal to allow entry into supply contracts, including government contracts;</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7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warning or untitled letters, or holds on clinical trials;</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withdrawal of the products from the market;</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7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recall of products;</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fines, restitution or disgorgement of profits or revenues;</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suspension or withdrawal of marketing approvals;</w:t>
      </w:r>
    </w:p>
    <w:p>
      <w:pPr>
        <w:spacing w:after="0" w:line="17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refusal to permit the import or export of our products;</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79" w:name="page80"/>
    <w:bookmarkEnd w:id="79"/>
    <w:p>
      <w:pPr>
        <w:ind w:left="380" w:hanging="372"/>
        <w:spacing w:after="0"/>
        <w:tabs>
          <w:tab w:leader="none" w:pos="3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product seizure or detention; or</w:t>
      </w:r>
    </w:p>
    <w:p>
      <w:pPr>
        <w:spacing w:after="0" w:line="17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injunctions or the imposition of administrative, civil or criminal penalties or monetary fines.</w:t>
      </w:r>
    </w:p>
    <w:p>
      <w:pPr>
        <w:spacing w:after="0" w:line="15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FDA’s policies, and the policies of foreign regulatory agencies, may change and additional government regulations may be enacted that could prevent, limit or delay regulatory approval of our product candidates.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 For example, executive orders or other actions could impose significant burdens on, or otherwise materially delay, the FDA’s ability to engage in routine oversight activities such as implementing statutes through rulemaking, issuance of guidance, and review and approval of marketing applications. If such executive actions were to impose restrictions on the FDA’s ability to engage in oversight and implementation activities in the normal course, our business could be negatively impacted.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current product candidates or any future product candidates and harm our business, financial condition, results of operations and prospects.</w:t>
      </w:r>
    </w:p>
    <w:p>
      <w:pPr>
        <w:spacing w:after="0" w:line="13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healthcare legislation may increase the difficulty and cost for us to progress our clinical programs and obtain marketing approval of and commercialize our product candidates and may affect the prices we may set.</w:t>
      </w:r>
    </w:p>
    <w:p>
      <w:pPr>
        <w:spacing w:after="0" w:line="118" w:lineRule="exact"/>
        <w:rPr>
          <w:sz w:val="20"/>
          <w:szCs w:val="20"/>
          <w:color w:val="auto"/>
        </w:rPr>
      </w:pPr>
    </w:p>
    <w:p>
      <w:pPr>
        <w:jc w:val="both"/>
        <w:ind w:right="440"/>
        <w:spacing w:after="0" w:line="289" w:lineRule="auto"/>
        <w:rPr>
          <w:sz w:val="20"/>
          <w:szCs w:val="20"/>
          <w:color w:val="auto"/>
        </w:rPr>
      </w:pPr>
      <w:r>
        <w:rPr>
          <w:rFonts w:ascii="Times New Roman" w:cs="Times New Roman" w:eastAsia="Times New Roman" w:hAnsi="Times New Roman"/>
          <w:sz w:val="17"/>
          <w:szCs w:val="17"/>
          <w:color w:val="auto"/>
        </w:rPr>
        <w:t>In the United States, the European Union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w:t>
      </w:r>
    </w:p>
    <w:p>
      <w:pPr>
        <w:spacing w:after="0" w:line="13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129" w:lineRule="exact"/>
        <w:rPr>
          <w:sz w:val="20"/>
          <w:szCs w:val="20"/>
          <w:color w:val="auto"/>
        </w:rPr>
      </w:pPr>
    </w:p>
    <w:p>
      <w:pPr>
        <w:ind w:left="380" w:hanging="372"/>
        <w:spacing w:after="0"/>
        <w:tabs>
          <w:tab w:leader="none" w:pos="3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demand for any of our product candidates, if approved;</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7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level of taxes that we are required to pay; and</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availability of capital.</w:t>
      </w:r>
    </w:p>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80" w:name="page81"/>
    <w:bookmarkEnd w:id="80"/>
    <w:p>
      <w:pPr>
        <w:spacing w:after="0" w:line="253"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presidential executive orders, Congressional inquiries and proposed and enacted federal legislation designed to, among other things, bring more transparency to drug pricing, reduce the cost of prescription drugs under Medicare, and review the relationship between pricing and manufacturer patient programs. In April 2025, the President issued an executive order and an accompanying fact sheet focused on lowering drug prices, but it is unclear what actions will be implemented by the Department of Health and Human Services, CMS, and FDA under the new leadership, and how those actions will impact our industry and our business.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 and could negatively affect our customers and accordingly, our financial operations.</w:t>
      </w:r>
    </w:p>
    <w:p>
      <w:pPr>
        <w:spacing w:after="0" w:line="16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European Union, similar political, economic and regulatory developments may affect our ability to profitably commercialize our product candidates, if approved. In addition to continuing pressure on prices and cost containment measures, legislative developments at the European Union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 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our product candidates, if approved.</w:t>
      </w:r>
    </w:p>
    <w:p>
      <w:pPr>
        <w:spacing w:after="0" w:line="14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markets outside of the United States and the European Union, reimbursement and healthcare payment systems vary significantly by country, and many countries have instituted price ceilings on specific products and therapies.</w:t>
      </w:r>
    </w:p>
    <w:p>
      <w:pPr>
        <w:spacing w:after="0" w:line="13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3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federal funding, layoffs, government shutdown, staff departures, lapse in government appropriations, and other policies and executive order impacting the normal operations of the FDA and other government agencies could hinder their ability to hire and retain key leadership and other personnel, or otherwise prevent new products and services from being developed or commercialized in a timely manner, any of which could negatively impact our business.</w:t>
      </w:r>
    </w:p>
    <w:p>
      <w:pPr>
        <w:spacing w:after="0" w:line="14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current government shutdown, ability to hire and retain key personnel,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 Changes in the leadership of the FDA and other federal agencies under the current administration, including return-to-office policy, hiring freeze, layoffs, and other policies implemented by the Department of Government Efficiency, may lead to changes in the operations of the FDA, which may have a material impact on the industry and our clinical development plans.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81" w:name="page82"/>
    <w:bookmarkEnd w:id="81"/>
    <w:p>
      <w:pPr>
        <w:ind w:right="20"/>
        <w:spacing w:after="0" w:line="255"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Additionally, changes in the FDA leadership, regulatory actions and other actions under the current administration, may result in delays in regulatory approval. Our business depends upon the ability of the FDA to accept and review our potential regulatory filings. If a prolonged government shutdown occurs or if a significant number of federal employees are laid off or leave federal agencies, it could significantly impact the ability of the FDA to timely review and process our regulatory submissions, which could have a material adverse effect on our ability to advance clinical development of our product candidates, delay our clinical development timelines, and increase the costs of clinical development process.</w:t>
      </w:r>
    </w:p>
    <w:p>
      <w:pPr>
        <w:spacing w:after="0" w:line="158" w:lineRule="exact"/>
        <w:rPr>
          <w:sz w:val="20"/>
          <w:szCs w:val="20"/>
          <w:color w:val="auto"/>
        </w:rPr>
      </w:pPr>
    </w:p>
    <w:p>
      <w:pPr>
        <w:jc w:val="both"/>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either on our own or in collaboration with third parties, we may not be successful in commercializing our product candidates or realizing the synergies in the target diseases of our programs, even if they are approved.</w:t>
      </w:r>
    </w:p>
    <w:p>
      <w:pPr>
        <w:spacing w:after="0" w:line="1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do not have any infrastructure for the sales, marketing or distribution of our products, and the cost of establishing and maintaining such an organization may exceed the cost-effectiveness of doing so. We expect to build a focused sales, distribution and marketing infrastructure to market our product candidates in the United States and European Union, if approved. There are significant expenses and risks involved with establishing our own sales, marketing and distribution capabilities, including our ability to hire, retain and appropriately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could delay any product launch, which would adversely impact the commercialization of our product candidates. Additionally, if the commercial launch of our product candidates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not have the resources in the foreseeable future to allocate to the sales and marketing of our product candidates in certain international markets. Therefore, our future sales in these markets will largely depend on our ability to enter into and maintain collaborative relationships for such capabilities, the collaborator’s strategic interest in the product and such collaborator’s ability to successfully market and sell the product. We may pursue collaborative arrangements regarding the sale and marketing of LX2006 or LX2020, if approved, for certain markets overseas; however, we cannot assure that we will be able to establish or maintain such collaborative arrangements, or if able to do so, that they will have effective sales forces.</w:t>
      </w:r>
    </w:p>
    <w:p>
      <w:pPr>
        <w:spacing w:after="0" w:line="1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we are unable to build our own sales force or negotiate a collaborative relationship for the commercialization of LX2006, LX2020 or LX1001, or any of our other product candidates, if approved, we may be forced to delay the potential commercialization of LX2006, or LX2020 or any of our other product candidates or reduce the scope of our sales or marketing activities for LX2006 or LX2020 or any of our other product candidates. If we elect to increase our expenditures to fund commercialization activities internationally, we will need to obtain additional capital, which may not be available to us on acceptable terms, or at all. We could enter into arrangements with collaborative partners at an earlier stage than otherwise would be ideal and we may be required to relinquish rights to LX2006 or LX2020 or any of our other product candidates or otherwise agree to terms unfavorable to us, any of which may have an adverse effect on our business, operating results and prospects.</w:t>
      </w:r>
    </w:p>
    <w:p>
      <w:pPr>
        <w:spacing w:after="0" w:line="14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we are unable to establish adequate sales, marketing and distribution capabilities, either on our own or in collaboration with third parties, we will not be successful in commercializing LX2006, or LX2020 or any of our other product candidates, if approved, and may not become profitable and may incur significant additional losses.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139"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obtain approval to commercialize any products outside of the United States or the European Union, a variety of risks associated with international operations could adversely affect our business.</w:t>
      </w:r>
    </w:p>
    <w:p>
      <w:pPr>
        <w:spacing w:after="0" w:line="13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LX2006, LX2020 or any of our other product candidates are approved for commercialization, we may seek to enter into agreements with third parties to market them in certain jurisdictions outside the United States and the European Union. We expect that we would be subject to additional risks related to international pharmaceutical operations, including:</w:t>
      </w:r>
    </w:p>
    <w:p>
      <w:pPr>
        <w:spacing w:after="0" w:line="144" w:lineRule="exact"/>
        <w:rPr>
          <w:sz w:val="20"/>
          <w:szCs w:val="20"/>
          <w:color w:val="auto"/>
        </w:rPr>
      </w:pPr>
    </w:p>
    <w:p>
      <w:pPr>
        <w:ind w:left="380" w:hanging="372"/>
        <w:spacing w:after="0"/>
        <w:tabs>
          <w:tab w:leader="none" w:pos="3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different regulatory requirements for drug and biologic approvals and rules governing drug and biologic commercialization in foreign countries;</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reduced protection for intellectual property rights;</w:t>
      </w:r>
    </w:p>
    <w:p>
      <w:pPr>
        <w:spacing w:after="0" w:line="17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foreign reimbursement, pricing and insurance regimes;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82" w:name="page83"/>
    <w:bookmarkEnd w:id="82"/>
    <w:p>
      <w:pPr>
        <w:ind w:left="380" w:hanging="372"/>
        <w:spacing w:after="0"/>
        <w:tabs>
          <w:tab w:leader="none" w:pos="3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7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84" w:lineRule="exact"/>
        <w:rPr>
          <w:rFonts w:ascii="Times New Roman" w:cs="Times New Roman" w:eastAsia="Times New Roman" w:hAnsi="Times New Roman"/>
          <w:sz w:val="22"/>
          <w:szCs w:val="22"/>
          <w:color w:val="auto"/>
        </w:rPr>
      </w:pPr>
    </w:p>
    <w:p>
      <w:pPr>
        <w:ind w:left="380" w:right="520" w:hanging="372"/>
        <w:spacing w:after="0" w:line="234" w:lineRule="auto"/>
        <w:tabs>
          <w:tab w:leader="none" w:pos="3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86" w:lineRule="exact"/>
        <w:rPr>
          <w:rFonts w:ascii="Times New Roman" w:cs="Times New Roman" w:eastAsia="Times New Roman" w:hAnsi="Times New Roman"/>
          <w:sz w:val="22"/>
          <w:szCs w:val="22"/>
          <w:color w:val="auto"/>
        </w:rPr>
      </w:pPr>
    </w:p>
    <w:p>
      <w:pPr>
        <w:ind w:left="380" w:right="20" w:hanging="372"/>
        <w:spacing w:after="0" w:line="234" w:lineRule="auto"/>
        <w:tabs>
          <w:tab w:leader="none" w:pos="3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 or from economic or political instability;</w:t>
      </w:r>
    </w:p>
    <w:p>
      <w:pPr>
        <w:spacing w:after="0" w:line="180"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greater difficulty with enforcing our contracts;</w:t>
      </w:r>
    </w:p>
    <w:p>
      <w:pPr>
        <w:spacing w:after="0" w:line="184" w:lineRule="exact"/>
        <w:rPr>
          <w:rFonts w:ascii="Times New Roman" w:cs="Times New Roman" w:eastAsia="Times New Roman" w:hAnsi="Times New Roman"/>
          <w:sz w:val="22"/>
          <w:szCs w:val="22"/>
          <w:color w:val="auto"/>
        </w:rPr>
      </w:pPr>
    </w:p>
    <w:p>
      <w:pPr>
        <w:ind w:left="380" w:right="800" w:hanging="372"/>
        <w:spacing w:after="0" w:line="234" w:lineRule="auto"/>
        <w:tabs>
          <w:tab w:leader="none" w:pos="3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potential noncompliance with the U.S. Foreign Corrupt Practices Act, or the FCPA, the U.K. Bribery Act 2010 and similar anti-bribery and anticorruption laws in other jurisdictions; and</w:t>
      </w:r>
    </w:p>
    <w:p>
      <w:pPr>
        <w:spacing w:after="0" w:line="167"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7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addition, there are complex regulatory, tax, labor and other legal requirements imposed by individual countries in Europe with which we will need to comply. If we are unable to successfully manage the challenges of international expansion and operations, our business and operating results could be harmed.</w:t>
      </w:r>
    </w:p>
    <w:p>
      <w:pPr>
        <w:spacing w:after="0" w:line="13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1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13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Environmental laws and regulations may impair our research, development or production efforts. In addition, failure to comply with these laws and regulations may result in substantial fines, penalties or other sanctions.</w:t>
      </w:r>
    </w:p>
    <w:p>
      <w:pPr>
        <w:spacing w:after="0" w:line="131"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variety of privacy, data protection, and cybersecurity laws, rules, regulations, policies, industry standards and contractual obligations, and our failure to comply with them could harm our business.</w:t>
      </w:r>
    </w:p>
    <w:p>
      <w:pPr>
        <w:spacing w:after="0" w:line="1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maintain and otherwise process a large quantity of sensitive information, including confidential business and personal information in connection with the conduct of our clinical trials and related to our employees and others, and we are subject to laws and regulations governing the privacy and security of such information. In the United States, numerous federal and state privacy and cybersecurity laws and regulations govern the collection, use, disclosure and protection of personal information, including federal and state health information privacy laws, federal and state security breach notification laws and federal and state consumer protection laws. The legislative and regulatory landscape for privacy, data protection and cybersecurity continues to evolve, and there has been an increasing focus on privacy, data protection and cybersecurity issues, which may affect our business and is expected to increase our compliance costs and exposure to liability. In the United States, numerous federal and state laws and regulations could apply to our operations or the operations of our partners, including state and federal data breach notification laws, federal regulations prohibiting or restricting certain transfers of sensitive personal information, and state health information privacy and cybersecurity laws and federal and state consumer protection laws and regulations that govern the collection, use, disclosure and protection of health-related and other personal information. Among these regulations are: Section 5 of the Federal Trade Commission Act, which prohibits unfair or deceptive commercial practices; rules adopted by the SEC in July 2023, which require public companies to disclose material cybersecurity incidents they experience and to disclose on an annual basis material information regarding their cybersecurity risk management, strategy, and governance; and the HIPAA, as amended by HITECH, and the regulations promulgated thereunder.</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9" w:right="359" w:bottom="1440" w:gutter="0" w:footer="0" w:header="0"/>
        </w:sectPr>
      </w:pPr>
    </w:p>
    <w:bookmarkStart w:id="83" w:name="page84"/>
    <w:bookmarkEnd w:id="83"/>
    <w:p>
      <w:pPr>
        <w:ind w:right="180"/>
        <w:spacing w:after="0" w:line="266" w:lineRule="auto"/>
        <w:rPr>
          <w:sz w:val="20"/>
          <w:szCs w:val="20"/>
          <w:color w:val="auto"/>
        </w:rPr>
      </w:pPr>
      <w:r>
        <w:rPr>
          <w:rFonts w:ascii="Times New Roman" w:cs="Times New Roman" w:eastAsia="Times New Roman" w:hAnsi="Times New Roman"/>
          <w:sz w:val="18"/>
          <w:szCs w:val="18"/>
          <w:color w:val="auto"/>
        </w:rPr>
        <w:t>We may obtain health and other data from third parties, including research institutions from which we obtain clinical trial data, that are subject to privacy and security requirements under HIPAA, and depending on the facts and circumstances, we could be subject to significant penalties if we obtain, use or disclose individually identifiable health information in a manner that is not authorized or permitted by HIPAA.</w:t>
      </w:r>
    </w:p>
    <w:p>
      <w:pPr>
        <w:spacing w:after="0" w:line="14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European Economic Area, or the EEA, and the United Kingdom, or the UK, the collection, use, disclosure, transfer or other processing of personal data, including clinical trial data, of individuals is governed by the General Data Protection Regulation, or European Union GDPR (with regard to the EEA), and UK GDPR (with regard to the UK), as well as applicable national data protection legislation and requirements. In this document, “GDPR” refers to both the European Union GDPR and the UK GDPR, unless specified otherwise. The GDPR is wide 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imposes substantial fines for breaches and violations (up to the greater of €20 million (£17.5 million for the UK) or 4% of our consolidated annual worldwide gross revenue), and confers a private right of action on data subjects and consumer associations to lodge complaints with supervisory authorities, seek judicial remedies and obtain compensation for damages resulting from violations of the GDPR.</w:t>
      </w:r>
    </w:p>
    <w:p>
      <w:pPr>
        <w:spacing w:after="0" w:line="15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GDPR also includes restrictions on cross-border data transfers of personal data to countries outside the EEA and the UK that are not considered by the European Commission or UK government as providing “adequate” protection to personal data, or third countries, including the United States, unless a valid GDPR transfer mechanism (for example, the European Commission approved Standard Contractual Clauses, or SCCs, and the UK International Data Transfer Agreement/Addendum, or UK IDTA) has been put in place. Where relying on the SCCs or UK IDTA for data transfers, we may also be required to carry out transfer impact assessments to assess whether the recipient is subject to local laws which allow public authority access to personal data. The international transfer obligations under the EEA and UK data protection regimes require significant effort and cost, and may result in us needing to make strategic considerations around where EEA and UK personal data is transferred and which service providers we can utilize for processing EEA and UK personal data.</w:t>
      </w:r>
    </w:p>
    <w:p>
      <w:pPr>
        <w:spacing w:after="0" w:line="1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UK government made targeted amendments to its data protection regime in the Data (Use and Access) Act 2025, which entered into force in August 2025. The European Commission renewed its adequacy determination for the UK in 2025, extending to December 2031, but the UK’s adequacy determination remains subject to modification or revocation. The UK’s proposal to modify its data protection regime may impact this adequacy determination. Any loss by the UK of its adequacy determination by the European Commission may lead to additional compliance costs and could increase our overall risk. The respective provisions and enforcement of the European Union GDPR and UK GDPR may further diverge in the future and create additional regulatory challenges and uncertainties.</w:t>
      </w:r>
    </w:p>
    <w:p>
      <w:pPr>
        <w:spacing w:after="0" w:line="16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Compliance with these and any other applicable privacy, data protection and cybersecurity laws and regulations is a rigorous and time-intensive process, and we may be required to put in place additional mechanisms ensuring compliance with new and evolving laws and regulations. Further, many privacy, data protection, and cybersecurity regimes are evolving and are inconsistent across jurisdictions. If we fail, or are alleged to fail, to comply with any such laws or regulations, we may face regulatory inquiries, investigations, and other proceedings, private claims and litigation, and significant fines and penalties that could adversely affect our business, financial condition and results of operations. In addition, states are constantly adopting new laws or amending existing laws, requiring attention to frequently changing regulatory requirements. For example, California enacted the California Consumer Privacy Act, or CCPA, which took effect on January 1, 2020, became enforceable on July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 out of certain sales of personal information. The CCPA provides for civil penalties for violations, as well as a private right of action for data breaches that is expected to increase data breach litigation. Further, the California Privacy Rights Act, or CPRA, which became effective as of January 1, 2023, amended the CCPA and imposes additional privacy obligations on companies doing business in California, including additional consumer rights processes, limitations on data uses, new audit requirements for higher risk data and opt outs for certain uses of sensitive data. The amendments introduced by the CPRA also created a new California Privacy Protection Agency to implement and enforce this legislation, and it is anticipated that this development could result in increased privacy and information security enforcement. Although the CCPA, as amended by the CPRA, currently exempts certain health-related information, including clinical trial data, the CCPA may increase our compliance costs and potential liability if we expand our operations into California. Similar broad consumer privacy laws have been enacted in Colorado, Connecticut, Delaware, Florida, Indiana, Iowa, Kentucky, Maryland, Minnesota, Montana, Nebraska, New Hampshire, New Jersey, Oregon, Rhode Island, Tennessee, Texas, Utah and Virginia and have been proposed in numerous other states and at the federal level. If passed, these bills may provide for various requirements that would make compliance challenging, particularly in light of certain conflicting and otherwise various requirements in the state privacy laws that have been enacted.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84" w:name="page85"/>
    <w:bookmarkEnd w:id="84"/>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to these consumer privacy laws, certain states have enacted health-focused privacy legislation. For example, Washington has enacted the My Health, My Data Act, which became effective in March 2024. This law imposes strict requirements on the collection, use and processing of certain health-related information that is not subject to HIPAA. This law also provides for a private right of action. Other states are considering, and in certain cases have enacted, bills with similar requirements. The Washington law and other state bills that have been, or may be, enacted, have added and, if enacted, would add additional complexity to our compliance obligations.</w:t>
      </w:r>
    </w:p>
    <w:p>
      <w:pPr>
        <w:spacing w:after="0" w:line="1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With the GDPR, CCPA,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do not currently have formal data privacy policies and procedures in place and have not completed formal assessments of whether we are in compliance with all applicable data privacy laws and regulations. It is possible that both existing and new laws, regulations, and other actual or asserted obligations to which we are or may be subject may be interpreted and applied in manners inconsistent with our existing or future privacy, data protection and cybersecurity practices. Any failure or perceived failure by us to comply with our current or future obligations relating to privacy, data protection or cybersecurity, or any actual or perceived failure by any third party with which we work, such as third-party CMOs, CROs, manufacturers, contractors, consultants, collaborators, vendors, or service providers, to comply with our applicable policies or other applicable obligations, may result in governmental investigations, enforcement actions, or other proceedings, litigation, claims, or public statements against us and could result in significant liability, cause harm to our brand and reputation, and otherwise materially and adversely affect our reputation and business.</w:t>
      </w:r>
    </w:p>
    <w:p>
      <w:pPr>
        <w:spacing w:after="0" w:line="14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various governmental export control and trade sanctions laws and regulations that could impair our ability to compete in international markets or subject us to liability if we violate these controls.</w:t>
      </w:r>
    </w:p>
    <w:p>
      <w:pPr>
        <w:spacing w:after="0" w:line="11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product candidates may be subject to export control and import laws and regulations, including the U.S. Export Administration Regulations administered by the U.S. Department of Commerce and U.S. Customs laws and regulations and our product candidates and activities may be subject to various economic and trade sanctions regulations administered by the U.S. Treasury Department’s Office of Foreign Assets Controls, or collectively, Trade Controls. As such, a license may be required to export or re-export our product candidate, or provide related services, to certain countries and end-users, and for certain end-uses. The process for obtaining necessary licenses may be time-consuming or unsuccessful, potentially causing delays in sales or losses of sales opportunities and these licenses may not be issued. Compliance with applicable regulatory requirements regarding the export or import of our product candidates may create delays in the introduction of our product candidates in international markets or, in some cases, prevent the export of our product candidates to some countries altogether. Furthermore, U.S. export control laws and economic sanctions prohibit the shipment of certain product candidates and services to countries, territories, governments and persons targeted by U.S. sanctions.</w:t>
      </w:r>
    </w:p>
    <w:p>
      <w:pPr>
        <w:spacing w:after="0" w:line="16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Trade Controls are complex and dynamic regimes and monitoring and ensuring compliance can be challenging. Although we have procedures in place designed to ensure our compliance with Trade Controls, any failure to comply could subject us to both civil and criminal penalties, including substantial fines, possible incarceration of responsible individuals for willful violations, possible loss of our export or import privileges, and reputational harm. Although we have no knowledge that our activities have resulted in violations of Trade Controls, there is no certainty that all of our employees, agents, suppliers, manufacturers, contractors or collaborators, or those of our affiliates, will comply with all applicable export and import control and sanctions laws and regulations, particularly given the high level of complexity of these laws. Any failure by us or our partners to comply with applicable laws and regulations could have negative consequences for us, including reputational harm, government investigations, penalties, fines, settlements, investigations, criminal sanctions against us, our officers, or our employees, the closing down of facilities, including those of our suppliers and manufacturers, requirements to obtain export licenses, cessation of business activities in sanctioned countries, implementation of additional compliance programs, and prohibitions on the conduct of our business.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anti-corruption laws and regulations. We could face liability and other serious consequences for violations.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subject to anti-corruption laws and regulations, including the FCPA, the U.S. domestic bribery statute contained in 18 U.S.C. § 201, the U.S. Travel Act and will be subject to local and national anti-bribery laws in the countries in which we may conduct activities in the future. Anti-corruption laws are interpreted broadly and generally prohibit companies and their employees, agents, representatives, contractors and other third-party intermediaries from offering, promising, giving, or authorizing others to give anything of value, either directly or indirectly through third parties, to any person in the public or private sector to obtain or retain business. The FCPA also requires public companies to make and keep books and records that accurately and fairly reflect the transactions of the corporation and to devise and maintain an adequate system of internal accounting controls.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85" w:name="page86"/>
    <w:bookmarkEnd w:id="85"/>
    <w:p>
      <w:pPr>
        <w:ind w:right="100"/>
        <w:spacing w:after="0" w:line="256" w:lineRule="auto"/>
        <w:rPr>
          <w:sz w:val="20"/>
          <w:szCs w:val="20"/>
          <w:color w:val="auto"/>
        </w:rPr>
      </w:pPr>
      <w:r>
        <w:rPr>
          <w:rFonts w:ascii="Times New Roman" w:cs="Times New Roman" w:eastAsia="Times New Roman" w:hAnsi="Times New Roman"/>
          <w:sz w:val="18"/>
          <w:szCs w:val="18"/>
          <w:color w:val="auto"/>
        </w:rPr>
        <w:t>Our business is heavily regulated and therefore involves significant interaction with public officials, including officials of non-United States governments. Additionally, in many other countries, the healthcare providers who prescribe pharmaceuticals are employed by their government, and therefore will be considered foreign officials for purposes of the FCPA. We also expect to rely on third parties for research, preclinical studies and clinical trials and/or to obtain necessary permits, licenses, patent registrations and other marketing approvals on our behalf outside of the United States. We can be held liable for the corrupt or other illegal activities of our employees, agents, representatives, CROs, contractors and other third-party intermediaries, even if we do not explicitly authorize or have actual knowledge of such activities.</w:t>
      </w:r>
    </w:p>
    <w:p>
      <w:pPr>
        <w:spacing w:after="0" w:line="16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There is no certainty that all of our employees, agents, representatives, contractors or third-party intermediaries will comply with all applicable anti-corruption laws. Allegations concerning or violations of these laws and regulations could result in whistleblower complaints, fines, settlements, investigations, criminal or civil sanctions, adverse media coverage or suspension or debarment from government contracts, all of which could damage our reputation, our brand, our international expansion efforts, our ability to attract and retain employees, and our business, prospects, operating results and financial condition. Responding to any investigation or action will likely result in a materially significant diversion of management’s attention and resources and significant defense costs and other professional fees.</w:t>
      </w:r>
    </w:p>
    <w:p>
      <w:pPr>
        <w:spacing w:after="0" w:line="14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attract and retain key executives and advisors and to attract, retain and motivate qualified personnel.</w:t>
      </w:r>
    </w:p>
    <w:p>
      <w:pPr>
        <w:spacing w:after="0" w:line="2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highly dependent on the management, development, clinical, financial and business development expertise of our executive officers, particularly R. Nolan Townsend, our Chief Executive Officer and a member of our board of directors, Narinder Bhalla, M.D., our Chief Medical Officer, Jose Manuel Otero, our Chief Operating Officer, Louis Tamayo, our Chief Financial Officer, as well as on the scientific expertise of our founder, Ronald G. Crystal, M.D., Professor and Chairman of Weill Cornell Medicine’s Department of Genetic Medicine. Each of our executive officers may currently terminate their employment with us at any time and we do not have an employment contract with Dr. Crystal. We do not maintain “key person” insurance for any of our executives or employees.</w:t>
      </w:r>
    </w:p>
    <w:p>
      <w:pPr>
        <w:spacing w:after="0" w:line="14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Recruiting and retaining qualified executives, scientists and clinical personnel and, if we progress the development of our product pipeline toward scaling up for commercialization, manufacturing and sales and marketing personnel, will also be critical to our success. The loss of the services of our executive officers or other key employees, or our inability to recruit certain executives, could impede the achievement of our development and commercialization objectives and seriously harm our ability to successfully implement our business strategy. Furthermore, recruiting executive officers, or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gene therapy products.</w:t>
      </w:r>
    </w:p>
    <w:p>
      <w:pPr>
        <w:spacing w:after="0" w:line="14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Competition to hire from this limited pool is intense, and we have experienced and may continue to experience challenges filling certain executive roles. We may be unable to hire, train, retain or motivate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clinical development, manufacturing and regulatory capabilities and potentially implement sales, marketing and distribution capabilities, and as a result, we may encounter difficulties in managing our growth, which could disrupt our operations.</w:t>
      </w:r>
    </w:p>
    <w:p>
      <w:pPr>
        <w:spacing w:after="0" w:line="1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March 31, 2026, we had 59 full-time employees. As our development progresses, we expect to experience significant growth in the number of our employees and the scope of our operations, particularly in the areas of clinical product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Our choice to focus on multiple therapeutic areas may negatively affect our ability to develop adequately the specialized capability and expertise necessary for operations. The expansion of our operations may lead to significant costs and may divert our management and business development resources. Any inability to manage growth could delay the execution of our business plans or disrupt our operations.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86" w:name="page87"/>
    <w:bookmarkEnd w:id="86"/>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principal investigators, CROs, suppliers and vendors may be improperly classified and may engage in misconduct or other improper activities, including non-compliance with regulatory standards and requirements.</w:t>
      </w:r>
    </w:p>
    <w:p>
      <w:pPr>
        <w:spacing w:after="0" w:line="13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endeavor to properly classify our employees as exempt or non-exempt with respect to wage and hour laws (including, but not limited to, for purposes of minimum wage, overtime and applicable meal and rest periods), and we monitor and evaluate such classifications. Although there are no current, pending, or threatened claims or investigations against us asserting that any employees have been incorrectly classified as exempt, the possibility nevertheless exists that certain job roles could be deemed to have been incorrectly classified as exempt. In addition, we endeavor to classify our workforce properly, and we monitor and evaluate such classifications. Although there are no current, pending, or threatened claims or investigations against us asserting that any independent contractors have been incorrectly classified, the possibility nevertheless exists that certain contractors could be deemed to be employees.</w:t>
      </w:r>
    </w:p>
    <w:p>
      <w:pPr>
        <w:spacing w:after="0" w:line="14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Although we have adopted a code of business conduct and ethics,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15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administrator of the 2023 Plan is authorized to exercise its discretion to reprice stock options and stock appreciation rights, and if a repricing occurs, there may be adverse consequences to our business.</w:t>
      </w:r>
    </w:p>
    <w:p>
      <w:pPr>
        <w:spacing w:after="0" w:line="13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administrator of the 2023 Plan, which is our compensation committee, is authorized, subject to the consent of any award holder whose award is materially impaired by such action, to reduce the exercise price of a stock option or stock appreciation right; to cancel a stock option or stock appreciation right in exchange for a different award, cash or other consideration; or to take any other action that is treated as a repricing under generally accepted accounting principles, or each such action, a repricing.</w:t>
      </w:r>
    </w:p>
    <w:p>
      <w:pPr>
        <w:spacing w:after="0" w:line="1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no current expectation that a repricing will occur. However, if the administrator were to implement a repricing without seeking prior stockholder approval, certain proxy advisory firms and/or institutional investors may express a lack of support for the repricing, and proxy advisory firms may recommend an “against” or “withhold” vote for members of our compensation committee or our board of directors. In addition, if we are required to hold an advisory vote on named executive officer compensation (known as a “say on pay” vote) at the time of, or subsequent to, any such repricing, it is likely, based on their current policies, that proxy advisory firms would issue an “against” recommendation on our say on pay proposal. Defending against negative recommendations with respect to our directors and/or say on pay proposal would require management attention, and could be costly and time-consuming.</w:t>
      </w:r>
    </w:p>
    <w:p>
      <w:pPr>
        <w:spacing w:after="0" w:line="1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our stockholders agree with proxy advisory firms’ recommendations, we may need to make changes to our compensation and corporate governance practices, and perhaps the composition of our board of directors and its committees, potentially leading to business disruptions and a negative impact on our stock price. Even absent negative reactions from proxy advisory firms and institutional investors, we may be required to recognize a compensation expense and the repricing will require management’s time and attention and the payment of administrative costs and attorney and accounting firm fees. As such, a repricing could cause a negative impact on our stock price, and adverse consequences to our business.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our status as a public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may be volatile, and purchasers of our common stock could incur substantial losses.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and could be subject to wide fluctuations in response to various factors, some of which are beyond our control, including limited trading volume.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trading price for our common stock may be influenced by many factors, including those discussed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and elsewhere in this Quarterly Report on Form 10-Q and:</w:t>
      </w:r>
    </w:p>
    <w:p>
      <w:pPr>
        <w:spacing w:after="0" w:line="151" w:lineRule="exact"/>
        <w:rPr>
          <w:sz w:val="20"/>
          <w:szCs w:val="20"/>
          <w:color w:val="auto"/>
        </w:rPr>
      </w:pPr>
    </w:p>
    <w:p>
      <w:pPr>
        <w:ind w:left="380" w:hanging="372"/>
        <w:spacing w:after="0"/>
        <w:tabs>
          <w:tab w:leader="none" w:pos="3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reporting of unfavorable preclinical and clinical results;</w:t>
      </w:r>
    </w:p>
    <w:p>
      <w:pPr>
        <w:spacing w:after="0" w:line="197" w:lineRule="exact"/>
        <w:rPr>
          <w:rFonts w:ascii="Times New Roman" w:cs="Times New Roman" w:eastAsia="Times New Roman" w:hAnsi="Times New Roman"/>
          <w:sz w:val="22"/>
          <w:szCs w:val="22"/>
          <w:color w:val="auto"/>
        </w:rPr>
      </w:pPr>
    </w:p>
    <w:p>
      <w:pPr>
        <w:ind w:left="380" w:right="400" w:hanging="372"/>
        <w:spacing w:after="0" w:line="234" w:lineRule="auto"/>
        <w:tabs>
          <w:tab w:leader="none" w:pos="3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commencement, enrollment or results of our clinical trials of LX2006, LX2020 or any future clinical trials we may conduct, or changes in the development status of our product candidates;</w:t>
      </w:r>
    </w:p>
    <w:p>
      <w:pPr>
        <w:spacing w:after="0" w:line="186" w:lineRule="exact"/>
        <w:rPr>
          <w:rFonts w:ascii="Times New Roman" w:cs="Times New Roman" w:eastAsia="Times New Roman" w:hAnsi="Times New Roman"/>
          <w:sz w:val="22"/>
          <w:szCs w:val="22"/>
          <w:color w:val="auto"/>
        </w:rPr>
      </w:pPr>
    </w:p>
    <w:p>
      <w:pPr>
        <w:ind w:left="380" w:right="80" w:hanging="372"/>
        <w:spacing w:after="0" w:line="239" w:lineRule="auto"/>
        <w:tabs>
          <w:tab w:leader="none" w:pos="3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delay in our regulatory filings for LX2006, LX2020 or any other product candidate we may develop,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67"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adverse results from, delays in or termination of clinical trials;</w:t>
      </w:r>
    </w:p>
    <w:p>
      <w:pPr>
        <w:spacing w:after="0" w:line="17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adverse regulatory decisions, including failure to receive regulatory approval of our product candidates;</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unanticipated serious safety concerns related to the use of LX2006, LX2020 or any other product candidates;</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financial estimates by us or by any equity research analysts who might cover our stock;</w:t>
      </w:r>
    </w:p>
    <w:p>
      <w:pPr>
        <w:spacing w:after="0" w:line="17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conditions or trends in our industry;</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the market valuations of similar companies;</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regulatory or legal developments in the U.S. and other countries;</w:t>
      </w:r>
    </w:p>
    <w:p>
      <w:pPr>
        <w:spacing w:after="0" w:line="17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stock trading price and volume fluctuations of comparable companies and, in particular, those that operate in the biopharmaceutical industry;</w:t>
      </w:r>
    </w:p>
    <w:p>
      <w:pPr>
        <w:spacing w:after="0" w:line="184" w:lineRule="exact"/>
        <w:rPr>
          <w:rFonts w:ascii="Times New Roman" w:cs="Times New Roman" w:eastAsia="Times New Roman" w:hAnsi="Times New Roman"/>
          <w:sz w:val="22"/>
          <w:szCs w:val="22"/>
          <w:color w:val="auto"/>
        </w:rPr>
      </w:pPr>
    </w:p>
    <w:p>
      <w:pPr>
        <w:ind w:left="380" w:right="380" w:hanging="372"/>
        <w:spacing w:after="0" w:line="234" w:lineRule="auto"/>
        <w:tabs>
          <w:tab w:leader="none" w:pos="3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167"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17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relationships with our collaborators;</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investors’ general perception of our company and our business;</w:t>
      </w:r>
    </w:p>
    <w:p>
      <w:pPr>
        <w:spacing w:after="0" w:line="17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recruitment or departure of key personnel;</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overall performance of the equity markets;</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trading volume of our common stock;</w:t>
      </w:r>
    </w:p>
    <w:p>
      <w:pPr>
        <w:spacing w:after="0" w:line="197" w:lineRule="exact"/>
        <w:rPr>
          <w:rFonts w:ascii="Times New Roman" w:cs="Times New Roman" w:eastAsia="Times New Roman" w:hAnsi="Times New Roman"/>
          <w:sz w:val="22"/>
          <w:szCs w:val="22"/>
          <w:color w:val="auto"/>
        </w:rPr>
      </w:pPr>
    </w:p>
    <w:p>
      <w:pPr>
        <w:ind w:left="380" w:right="320" w:hanging="372"/>
        <w:spacing w:after="0" w:line="234" w:lineRule="auto"/>
        <w:tabs>
          <w:tab w:leader="none" w:pos="3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88" w:name="page89"/>
    <w:bookmarkEnd w:id="88"/>
    <w:p>
      <w:pPr>
        <w:ind w:left="380" w:hanging="372"/>
        <w:spacing w:after="0"/>
        <w:tabs>
          <w:tab w:leader="none" w:pos="3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significant lawsuits, including patent or stockholder litigation or employee or independent contractor litigation;</w:t>
      </w:r>
    </w:p>
    <w:p>
      <w:pPr>
        <w:spacing w:after="0" w:line="17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the structure of healthcare payment systems;</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unfavorable geopolitical and economic conditions; and</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other events or factors, many of which are beyond our control.</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global economy, including credit and financial markets and the banking sector, has experienced extreme volatility and disruptions, including, among other things, severely diminished liquidity and credit availability, declines in consumer confidence, declines in economic growth, increases in unemployment rates, supply chain shortages, increases in inflation rates, bank failures, higher interest rates, changing foreign trade policies and uncertainty about economic stability. For example, the ongoing wars in Ukraine and the Middle East have created volatility in the global capital markets and may have further global economic consequences, including disruptions of the global supply chain and energy markets. Any such volatility and disruptions may have adverse consequences on us or the third parties on whom we rely. In addition, investor concerns regarding the U.S. or international financial systems and governmental stability, including as a result of recent tariffs announcements and increased volatility in the credit and equity markets, may impair our ability to raise additional capital or enter into opportunistic strategic partnerships or acquisitions in a timely manner or on favorable terms, or at all. The deterioration of the equity and credit markets may also make any necessary debt or equity financings more costly or more dilutive. Increased inflation rates can adversely affect us by increasing our costs, including labor and employee benefit costs. In addition, higher inflation and macro turmoil and uncertainty could also adversely affect our buyers and sellers, which could reduce demand for our products. These factors may negatively affect the trading price of our common stock, regardless of our actual operating performance.</w:t>
      </w:r>
    </w:p>
    <w:p>
      <w:pPr>
        <w:spacing w:after="0" w:line="14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pharmaceutical and biotechnology companies following periods of volatility in the trading prices of these companies’ stock. This risk is especially relevant for us because biopharmaceutical companies have experienced significant stock price volatility in recent years. Such litigation, if instituted against us, could cause us to incur substantial costs and divert management’s attention and resources, which could harm our business.</w:t>
      </w:r>
    </w:p>
    <w:p>
      <w:pPr>
        <w:spacing w:after="0" w:line="13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3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equity research analysts publish about us and our business. As a newly public company, we have only limited research coverage by equity research analysts. Equity research analysts may elect not to provide research coverage of our common stock, and such lack of research coverage may adversely affect the trading price of our common stock. While we currently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 coverage of our company or fail to publish reports on us regularly, demand for our stock could decrease, which in turn could cause our stock price or trading volume to decline.</w:t>
      </w:r>
    </w:p>
    <w:p>
      <w:pPr>
        <w:spacing w:after="0" w:line="14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as a result of the reduced disclosure and governance requirements applicable to emerging growth companies and smaller reporting companies, our common stock may be less attractive to investors.</w:t>
      </w:r>
    </w:p>
    <w:p>
      <w:pPr>
        <w:spacing w:after="0" w:line="118"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intend to take advantage of some of the exemptions from reporting requirements that are applicable to other public companies that are not emerging growth companies, including:</w:t>
      </w:r>
    </w:p>
    <w:p>
      <w:pPr>
        <w:spacing w:after="0" w:line="143" w:lineRule="exact"/>
        <w:rPr>
          <w:sz w:val="20"/>
          <w:szCs w:val="20"/>
          <w:color w:val="auto"/>
        </w:rPr>
      </w:pPr>
    </w:p>
    <w:p>
      <w:pPr>
        <w:ind w:left="380" w:hanging="372"/>
        <w:spacing w:after="0"/>
        <w:tabs>
          <w:tab w:leader="none" w:pos="3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84" w:lineRule="exact"/>
        <w:rPr>
          <w:rFonts w:ascii="Times New Roman" w:cs="Times New Roman" w:eastAsia="Times New Roman" w:hAnsi="Times New Roman"/>
          <w:sz w:val="22"/>
          <w:szCs w:val="22"/>
          <w:color w:val="auto"/>
        </w:rPr>
      </w:pPr>
    </w:p>
    <w:p>
      <w:pPr>
        <w:ind w:left="380" w:right="260" w:hanging="372"/>
        <w:spacing w:after="0" w:line="234" w:lineRule="auto"/>
        <w:tabs>
          <w:tab w:leader="none" w:pos="3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67"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197" w:lineRule="exact"/>
        <w:rPr>
          <w:rFonts w:ascii="Times New Roman" w:cs="Times New Roman" w:eastAsia="Times New Roman" w:hAnsi="Times New Roman"/>
          <w:sz w:val="22"/>
          <w:szCs w:val="22"/>
          <w:color w:val="auto"/>
        </w:rPr>
      </w:pPr>
    </w:p>
    <w:p>
      <w:pPr>
        <w:ind w:left="380" w:right="300" w:hanging="372"/>
        <w:spacing w:after="0" w:line="234" w:lineRule="auto"/>
        <w:tabs>
          <w:tab w:leader="none" w:pos="3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not being required to hold a nonbinding advisory vote on executive compensation and stockholder approval of any golden parachute payments not previously approved.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9" w:right="359" w:bottom="1440" w:gutter="0" w:footer="0" w:header="0"/>
        </w:sectPr>
      </w:pPr>
    </w:p>
    <w:bookmarkStart w:id="89" w:name="page90"/>
    <w:bookmarkEnd w:id="89"/>
    <w:p>
      <w:pPr>
        <w:ind w:right="120"/>
        <w:spacing w:after="0" w:line="255"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last day of the fiscal year ending after the fifth anniversary of our IPO, or, if earlier, (i) the last day of the fiscal year in which we have total annual gross revenue of at least $1.235 billion, (ii) the date on which we are deemed to be a large accelerated filer, which means the market value of our common stock that is held by non-affiliates exceeds $700 million as of the prior June 30, or (iii) the date on which we have issued more than $1.0 billion in non-convertible debt during the prior three-year period.</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As a result of these elections, the information that we provide in this Annual Report may be different than the information investors may receive from other public companies in which they hold equity interests. In addition, it is possible that some investors will find our common stock less attractive as a result of these elections, which may result in a less active trading market for our common stock and higher volatility in our trading price.</w:t>
      </w:r>
    </w:p>
    <w:p>
      <w:pPr>
        <w:spacing w:after="0" w:line="14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under certain circumstances, still qualify as a “smaller reporting company,” which would allow us to take advantage of many of the same exemptions from disclosure requirements, including reduced disclosure obligations regarding executive compensation in our periodic reports and proxy statements.</w:t>
      </w:r>
    </w:p>
    <w:p>
      <w:pPr>
        <w:spacing w:after="0" w:line="13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1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As a result, capital appreciation, if any, of our common stock will be your sole source of gain for the foreseeable future. Investors seeking cash dividends should not purchase our common stock.</w:t>
      </w:r>
    </w:p>
    <w:p>
      <w:pPr>
        <w:spacing w:after="0" w:line="13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3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43" w:lineRule="exact"/>
        <w:rPr>
          <w:sz w:val="20"/>
          <w:szCs w:val="20"/>
          <w:color w:val="auto"/>
        </w:rPr>
      </w:pPr>
    </w:p>
    <w:p>
      <w:pPr>
        <w:ind w:left="380" w:hanging="372"/>
        <w:spacing w:after="0"/>
        <w:tabs>
          <w:tab w:leader="none" w:pos="3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derivative action or proceeding brought on our behalf;</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action asserting a breach of fiduciary duty;</w:t>
      </w:r>
    </w:p>
    <w:p>
      <w:pPr>
        <w:spacing w:after="0" w:line="184" w:lineRule="exact"/>
        <w:rPr>
          <w:rFonts w:ascii="Times New Roman" w:cs="Times New Roman" w:eastAsia="Times New Roman" w:hAnsi="Times New Roman"/>
          <w:sz w:val="22"/>
          <w:szCs w:val="22"/>
          <w:color w:val="auto"/>
        </w:rPr>
      </w:pPr>
    </w:p>
    <w:p>
      <w:pPr>
        <w:ind w:left="380" w:right="560" w:hanging="372"/>
        <w:spacing w:after="0" w:line="234" w:lineRule="auto"/>
        <w:tabs>
          <w:tab w:leader="none" w:pos="3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action asserting a claim against us arising under the Delaware General Corporation Law, or DGCL, our amended and restated certificate of incorporation, or our amended and restated bylaws;</w:t>
      </w:r>
    </w:p>
    <w:p>
      <w:pPr>
        <w:spacing w:after="0" w:line="199" w:lineRule="exact"/>
        <w:rPr>
          <w:rFonts w:ascii="Times New Roman" w:cs="Times New Roman" w:eastAsia="Times New Roman" w:hAnsi="Times New Roman"/>
          <w:sz w:val="22"/>
          <w:szCs w:val="22"/>
          <w:color w:val="auto"/>
        </w:rPr>
      </w:pPr>
    </w:p>
    <w:p>
      <w:pPr>
        <w:ind w:left="380" w:right="540" w:hanging="372"/>
        <w:spacing w:after="0" w:line="234" w:lineRule="auto"/>
        <w:tabs>
          <w:tab w:leader="none" w:pos="3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claim or cause of action seeking to interpret, apply, enforce or determine the validity of our restated certificate or our amended and restated bylaws;</w:t>
      </w:r>
    </w:p>
    <w:p>
      <w:pPr>
        <w:spacing w:after="0" w:line="167"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claim or cause of action as to which the DGCL confers jurisdiction on the Court of Chancery of the State of Delaware; and</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90" w:name="page91"/>
    <w:bookmarkEnd w:id="90"/>
    <w:p>
      <w:pPr>
        <w:ind w:right="60"/>
        <w:spacing w:after="0" w:line="254"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6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exclusive forum provisions may result in increased costs for investors to bring a claim. Further,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3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18"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trading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69" w:lineRule="exact"/>
        <w:rPr>
          <w:sz w:val="20"/>
          <w:szCs w:val="20"/>
          <w:color w:val="auto"/>
        </w:rPr>
      </w:pPr>
    </w:p>
    <w:p>
      <w:pPr>
        <w:ind w:left="380" w:hanging="372"/>
        <w:spacing w:after="0"/>
        <w:tabs>
          <w:tab w:leader="none" w:pos="3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establish a classified board of directors such that only a portion of our directors stand for election at any given annual stockholder meeting;</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allow the authorized number of our directors to be changed from time to time by our stockholders or our board of directors;</w:t>
      </w:r>
    </w:p>
    <w:p>
      <w:pPr>
        <w:spacing w:after="0" w:line="165"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limit the manner in which stockholders can remove directors from our board of directors;</w:t>
      </w:r>
    </w:p>
    <w:p>
      <w:pPr>
        <w:spacing w:after="0" w:line="179"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establish requirements for stockholder proposals that can be acted on at stockholder meetings;</w:t>
      </w:r>
    </w:p>
    <w:p>
      <w:pPr>
        <w:spacing w:after="0" w:line="184" w:lineRule="exact"/>
        <w:rPr>
          <w:rFonts w:ascii="Times New Roman" w:cs="Times New Roman" w:eastAsia="Times New Roman" w:hAnsi="Times New Roman"/>
          <w:sz w:val="22"/>
          <w:szCs w:val="22"/>
          <w:color w:val="auto"/>
        </w:rPr>
      </w:pPr>
    </w:p>
    <w:p>
      <w:pPr>
        <w:ind w:left="380" w:right="160" w:hanging="372"/>
        <w:spacing w:after="0" w:line="234" w:lineRule="auto"/>
        <w:tabs>
          <w:tab w:leader="none" w:pos="3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require that stockholder actions must be effected at a duly called stockholder meeting and allow actions by our stockholders by written consent, with certain requirements;</w:t>
      </w:r>
    </w:p>
    <w:p>
      <w:pPr>
        <w:spacing w:after="0" w:line="167"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limit who may call stockholder meetings; and</w:t>
      </w:r>
    </w:p>
    <w:p>
      <w:pPr>
        <w:spacing w:after="0" w:line="197" w:lineRule="exact"/>
        <w:rPr>
          <w:rFonts w:ascii="Times New Roman" w:cs="Times New Roman" w:eastAsia="Times New Roman" w:hAnsi="Times New Roman"/>
          <w:sz w:val="22"/>
          <w:szCs w:val="22"/>
          <w:color w:val="auto"/>
        </w:rPr>
      </w:pPr>
    </w:p>
    <w:p>
      <w:pPr>
        <w:ind w:left="380" w:right="20" w:hanging="372"/>
        <w:spacing w:after="0" w:line="256" w:lineRule="auto"/>
        <w:tabs>
          <w:tab w:leader="none" w:pos="38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w:t>
      </w:r>
    </w:p>
    <w:p>
      <w:pPr>
        <w:spacing w:after="0" w:line="14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and financial condition.</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recently, including, among other things, recent tariff announcements, diminished liquidity and credit availability, declines in consumer confidence, declines in economic growth, supply chain shortages, increases in inflation rates, higher interest rates, and uncertainty about economic stability. The Federal Reserve has raised interest rates multiple times in response to concerns about inflation and it may raise them again. Higher interest rates, coupled with reduced government spending and volatility in financial markets, may increase economic uncertainty and affect consumer spending. Similarly, the ongoing military conflicts in Ukraine and the Middle East and increasing tensions between China and Taiwan have created extreme volatility in the global capital markets and may have further global economic consequences, including disruptions of the global supply chain. Any such volatility and disruptions may adversely affect our business or the third parties on whom we rely. If the equity and credit markets deteriorate, including as a result of new tariffs, political unrest or war, it may make any necessary debt or equity financing more difficult to complete, more costly, and more dilutive. Failure to secure any necessary financing in a timely manner and on favorable terms could have a material adverse effect on our growth strategy, financial performance and share price and could require us to delay or abandon development or commercialization plans. In addition, there is a risk that one or more of our service providers, manufacturers or other partners would not survive or be able to meet their commitments to us under such circumstances, which could directly affect our ability to attain our operating goals on schedule and on budget. We have experienced and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our results of operations and financial condition.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2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of 2002, or the Sarbanes-Oxley Act, and the rules and regulations of Nasdaq Stock Market. The Sarbanes-Oxley Act requires, among other things, that we maintain effective disclosure controls and procedures and internal control over financial reporting. In addition, Section 404 of the Sarbanes-Oxley Act requires our management and independent registered public accounting firm to report on the effectiveness of our internal control over financial reporting. We are also required to disclose changes made in our internal controls and procedures on a quarterly basis. However, for so long as we remain an emerging growth company as defined in the JOBS Act, we intend to take advantage of certain exemptions from various reporting requirements that are applicable companies that are not emerging growth companies, including, but not limited to, not being required to comply with the auditor attestation requirements of Section 404 of the Sarbanes-Oxley Act. Once we are no longer an emerging growth company or, if prior to such date we opt to no longer take advantage of the applicable exemption, we will be required to include an opinion from our independent registered public accounting firm on the effectiveness of our internal control over financial reporting. An independent assessment of the effectiveness of our internal controls over financial reporting could detect problems that our management’s assessment might not.</w:t>
      </w:r>
    </w:p>
    <w:p>
      <w:pPr>
        <w:spacing w:after="0" w:line="1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requirements of these rules and regulations are difficult, time-consuming and costly, and place significant strain on our personnel, systems and resources. Effective internal control over financial reporting are necessary for us to provide reliable financial reports and, together with adequate disclosure controls and procedures, are designed to prevent fraud. In order to maintain and improve the effectiveness of our disclosure controls and procedures and internal control over financial reporting, we have expended and anticipate we will continue to expend significant resources, including accounting-related costs, and provide significant management oversight. Any failure to implement required new or improved controls, or difficulties encountered in their implementation could cause us to fail to meet our reporting obligations. In addition, if we are unable to continue to meet these requirements, we may not be able to remain listed on the Nasdaq Global Market.</w:t>
      </w:r>
    </w:p>
    <w:p>
      <w:pPr>
        <w:spacing w:after="0" w:line="1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If we fail to identify material weaknesses in our internal control over financial reporting, if we are not able to comply with the requirements of Section 404 of the Sarbanes-Oxley Act in a timely manner, or if we are unable to maintain proper and effective internal controls, we may not be able to produce timely and accurate financial statements. If that were to happen, the trading price of our stock could decline and we could be subject to sanctions or investigations by the stock exchange on which our common stock is listed, the Securities and Exchange Commission, or the SEC, or other regulatory authorities.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92" w:name="page93"/>
    <w:bookmarkEnd w:id="92"/>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research tax credits to offset future taxable income may be subject to additional limitations.</w:t>
      </w:r>
    </w:p>
    <w:p>
      <w:pPr>
        <w:spacing w:after="0" w:line="13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December 31, 2025, we had approximately $182.0 million of U.S. federal net operating loss carryforwards, or NOLs, $362.9 million of U.S. state and local NOLs, and $7.2 million of federal tax credits. U.S. federal NOLs generated in taxable years beginning after December 31, 2017, do not expire and may be carried forward indefinitely, but the deductibility of such NOLs is limited to no more than 80% of current year taxable income. Our U.S. state and local NOLs begin to expire in 2040 and our federal research tax credits begin to expire in 2040.</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or the Code, if a corporation undergoes an “ownership change,” which is generally defined as a greater than 50% change, by value, in its equity ownership by certain stockholders over a rolling three-year period, our ability to use our pre-change NOLs and certain other pre-change tax attributes (such as research tax credits) to offset our post-change taxable income or taxes may be limited. We have determined that we experienced ownership changes on November 7, 2023 and May 28, 2025, each of which has limited our ability to utilize our federal NOLs and federal tax credits. As a result of these ownership changes, we are subject to an annual limitation of approximately $2.4 million on our ability to utilize our federal NOLs and federal tax credits recognized before May 28, 2025, inclusive of the ownership change that occurred on November 7, 2023. Due to the limitations, no federal NOLs are expected to expire unutilized and $10.6 million of federal tax credits that had been available to offset future tax liabilities, prior to the date of the ownership changes, are expected to expire unutilized. If we undergo additional ownership changes, and our ability to use our pre-change NOLs and other pre-change tax attributes (such as tax credits) to offset our post-change income or taxes is further limited, it may harm our future results of operations by effectively increasing our future tax obligations. U.S. state and local NOLs may be similarly limited. In addition, at the U.S. state and local level, there may be periods during which the use of NOLs is suspended or otherwise limited, which could accelerate or permanently increase U.S. state and local taxes owed.</w:t>
      </w:r>
    </w:p>
    <w:p>
      <w:pPr>
        <w:spacing w:after="0" w:line="14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Irrespective of the above, our ability to utilize our NOLs and research tax credits to offset future taxable income or taxes is conditioned on our attaining profitability and generating taxable income. We do not know if and when we will generate sufficient taxable income to utilize our NOLs and research tax credits.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may materially harm our business.</w:t>
      </w:r>
    </w:p>
    <w:p>
      <w:pPr>
        <w:spacing w:after="0" w:line="18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New tax laws, statutes, rules, regulations, or ordinances could be enacted at any time. Further, existing tax laws, statutes, rules, regulations, or ordinances could be interpreted differently, changed, repealed, or modified at any time. Any such enactment, interpretation, change, repeal, or modification could adversely affect us, possibly with retroactive effect. For example, the IRA enacted a 15% minimum tax on the adjusted financial statement income of certain large U.S. corporations for taxable years beginning after December 31, 2022, as well as a 1% excise tax on stock repurchases made by public corporations after December 31, 2022. Further, the Tax Cuts and Jobs Act of 2017, or the Tax Act, enacted many significant changes in U.S. federal tax laws, some of which were further modified by the Coronavirus Aid, Relief, and Economic Security Act, or the CARES Act, and may be modified in the future by the current or a future presidential administration. Among other changes, the Tax Act amended the Code to require that certain research and experimental ("R&amp;E") expenditures be capitalized and amortized over five years if incurred in the United States or fifteen years if incurred in foreign jurisdictions for taxable years beginning after December 31, 2021. For tax years beginning after December 31, 2024, OBBBA was enacted that includes provisions with effective dates in 2025 and beyond, and for some small business taxpayers, certain provisions may have retroactive effects. Among other changes, the OBBBA amended the Code under which domestic R&amp;E expenditures may be immediately deducted. The remaining unamortized domestic R&amp;E expenditures may be deducted in full in the first taxable year, ratably over two taxable years, or can continue being amortized over the remaining life. However, foreign R&amp;E expenditures must continue to be capitalized and amortized over fifteen years. In addition, it is uncertain if and to what extent various states will conform to the IRA, the Tax Act, the CARES Act, OBBBA, or any future U.S. federal tax laws. Changes in corporate tax rates, the realization of net deferred tax assets relating to our operations, the taxation of foreign earnings, and the deductibility of expenses could have a material impact on the value of our deferred tax assets, result in significant one-time charges, and increase our future U.S. tax expenses.</w:t>
      </w:r>
    </w:p>
    <w:p>
      <w:pPr>
        <w:spacing w:after="0" w:line="15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 cyberattacks or a deficiency in our or our CMOs’, CROs’, manufacturers’, contractors’, consultants’ or collaborators’ cybersecurity.</w:t>
      </w:r>
    </w:p>
    <w:p>
      <w:pPr>
        <w:spacing w:after="0" w:line="13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we and third parties with whom we conduct business, including third-party CMOs, CROs, manufacturers, contractors (including sites performing our clinical trials), consultants, and collaborators, collect and store sensitive data, including intellectual property, clinical trial data, proprietary and confidential business information, and personal data and personal information of our clinical trial subjects, employees, and others. The secure maintenance, transmission, and other processing of this information is critical to our operations.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93" w:name="page94"/>
    <w:bookmarkEnd w:id="93"/>
    <w:p>
      <w:pPr>
        <w:ind w:right="20"/>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systems, as well as those of third parties on which we rely, are vulnerable to damage from, among other things, computer viruses, ransomware and other forms of malware, unauthorized access, natural disasters, terrorism, war, telecommunication and electrical failures, system malfunctions, cyberattacks or cyber-intrusions, email attachment compromise, denial of service attacks, phishing attacks, and unauthorized or otherwise improper acts or omissions by persons inside our organization, or persons with access to systems inside our organization. Any such event could lead to the prevention of access to, loss, destruction, alteration, disclosure, or dissemination of, or damage or unauthorized access to or other processing of, our data (including trade secrets or other confidential information, intellectual property, proprietary business information and personal data) or other data that is processed or maintained on our behalf, and cause disruptions to our operations, which could lead to a material disruption of our product candidate development programs. For example, the loss, corruption or unavailability of preclinical study or clinical trial data from completed, ongoing or planned trials could result in delays in our regulatory approval efforts and significantly increase our costs to recover or reproduce the data.</w:t>
      </w:r>
    </w:p>
    <w:p>
      <w:pPr>
        <w:spacing w:after="0" w:line="16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More generally, despite the implementation of security measures in an effort to protect our systems and data, we cannot ensure that our information technology and infrastructure or any of our relevant policies or measures will prevent breakdowns or disruptions of, or breaches or incidents impacting, our systems or those of third parties on which we rely, or other cybersecurity incidents that lead to loss, destruction, unavailability, or unauthorized alteration, dissemination or other processing of, or damage or unauthorized access to, our data, including personal data, our other assets, or other data processed or maintained on our behalf, that could delay clinical development of our product candidates and have a material adverse effect upon our reputation, business, operations or financial condition. To our knowledge, we have not experienced any security breach to date that has had a material impact on our business or operations, but we and the third parties with whom we conduct business have faced, and we anticipate continuing to face, cybersecurity risks, including risks of security breaches and incidents. Risks of security breaches and incidents and other types of system disruptions, particularly through cyberattacks or cyber intrusions, including by hackers, foreign governments, cyber terrorists, and associated actors, have increased generally as the number, intensity, and sophistication of attempted attacks and intrusions from around the world have increased. Geopolitical conflicts and tensions may also increase such risks.</w:t>
      </w:r>
    </w:p>
    <w:p>
      <w:pPr>
        <w:spacing w:after="0" w:line="15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Any security breach or incident resulting in any loss, destruction, unavailability, alteration, disclosure, dissemination, or other processing of, or damage or unauthorized access to, our data, systems or applications, or inappropriate disclosure or other processing of confidential or proprietary information or personal data, or any other event resulting in unauthorized access to, or disclosure or processing of, such information, or for it to be believed or reported that any of the foregoing has occurred, could lead to us facing regulatory inquiries and proceedings, incurring material legal claims and proceedings, and incurring material damage to our reputation. Any such event could also disrupt our operations, lead to delays in the further development of our product candidates, cause a loss of confidence in us and our ability to conduct clinical trials, compel us to comply with federal and state breach notification laws and foreign law equivalents, subject us to mandatory corrective action, and subject us to material liability under applicable laws, rules, regulations and standards, which could result in significant legal and financial exposure and reputational damage that could have a material adverse effect on our business, operations, and financial condition.</w:t>
      </w:r>
    </w:p>
    <w:p>
      <w:pPr>
        <w:spacing w:after="0" w:line="1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Notifications and follow-up actions related to a security breach or other security incident could impact our reputation and cause us to incur significant costs, including significant legal expenses and remediation costs.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remediate any such incidents in an effective or timely manner. Our efforts to improve security and protect data from compromise may also identify previously undiscovered instances of data breaches or other cybersecurity incidents. Any security breach or incident resulting in any loss, destruction, or alteration of, damage or unauthorized access to, or unauthorized or otherwise inappropriate disclosure, dissemination, or other processing of, our data, including personal data, or other information that is processed or maintained on our behalf, any significant damage to or disruption of our systems, or any perception that any of these has occurred, could expose us to litigation and governmental investigations and inquiries, lead to delays in further development and commercialization of our product candidates, and subject us to significant fines, penalties and other liabilities.</w:t>
      </w:r>
    </w:p>
    <w:p>
      <w:pPr>
        <w:spacing w:after="0" w:line="16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any failure or other disruption of, security breach of, or incident impacting, our systems or third-party systems where information important to our business operations is stored or otherwise processed, or any other unauthorized disclosure of information.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and demands upon management as a result of being a public company.</w:t>
      </w:r>
    </w:p>
    <w:p>
      <w:pPr>
        <w:spacing w:after="0" w:line="2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a public company listed in the United States, we incur significant additional legal, accounting and other expenses that we did not incur as a private company, including the cost of director and officer liability insurance. These additional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14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4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issue any unregistered equity securities during the three months ended March 31,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7" w:right="3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report: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73"/>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20" w:type="dxa"/>
            <w:vAlign w:val="bottom"/>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90"/>
        </w:trPr>
        <w:tc>
          <w:tcPr>
            <w:tcW w:w="92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49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Amended and Restated Certificate of Incorporation of the Registrant</w:t>
              </w:r>
            </w:hyperlink>
          </w:p>
        </w:tc>
        <w:tc>
          <w:tcPr>
            <w:tcW w:w="1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001-41855</w:t>
            </w:r>
          </w:p>
        </w:tc>
        <w:tc>
          <w:tcPr>
            <w:tcW w:w="9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3.1</w:t>
            </w:r>
          </w:p>
        </w:tc>
        <w:tc>
          <w:tcPr>
            <w:tcW w:w="1620" w:type="dxa"/>
            <w:vAlign w:val="bottom"/>
          </w:tcPr>
          <w:p>
            <w:pPr>
              <w:jc w:val="center"/>
              <w:ind w:left="196"/>
              <w:spacing w:after="0"/>
              <w:rPr>
                <w:sz w:val="20"/>
                <w:szCs w:val="20"/>
                <w:color w:val="auto"/>
              </w:rPr>
            </w:pPr>
            <w:r>
              <w:rPr>
                <w:rFonts w:ascii="Times New Roman" w:cs="Times New Roman" w:eastAsia="Times New Roman" w:hAnsi="Times New Roman"/>
                <w:sz w:val="18"/>
                <w:szCs w:val="18"/>
                <w:color w:val="auto"/>
                <w:w w:val="99"/>
              </w:rPr>
              <w:t>November 7, 2023</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10">
              <w:r>
                <w:rPr>
                  <w:rFonts w:ascii="Times New Roman" w:cs="Times New Roman" w:eastAsia="Times New Roman" w:hAnsi="Times New Roman"/>
                  <w:sz w:val="18"/>
                  <w:szCs w:val="18"/>
                  <w:color w:val="0000FF"/>
                  <w:w w:val="99"/>
                </w:rPr>
                <w:t>(as amended and currently in effect)</w:t>
              </w:r>
            </w:hyperlink>
          </w:p>
        </w:tc>
        <w:tc>
          <w:tcPr>
            <w:tcW w:w="20" w:type="dxa"/>
            <w:vAlign w:val="bottom"/>
            <w:tcBorders>
              <w:bottom w:val="single" w:sz="8" w:color="0000EE"/>
            </w:tcBorders>
          </w:tcPr>
          <w:p>
            <w:pPr>
              <w:spacing w:after="0"/>
              <w:rPr>
                <w:sz w:val="17"/>
                <w:szCs w:val="17"/>
                <w:color w:val="auto"/>
              </w:rPr>
            </w:pPr>
          </w:p>
        </w:tc>
        <w:tc>
          <w:tcPr>
            <w:tcW w:w="254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18"/>
        </w:trPr>
        <w:tc>
          <w:tcPr>
            <w:tcW w:w="92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48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Amended and Restated Bylaws of the Registrant (as amended and</w:t>
              </w:r>
            </w:hyperlink>
          </w:p>
        </w:tc>
        <w:tc>
          <w:tcPr>
            <w:tcW w:w="34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001-41855</w:t>
            </w:r>
          </w:p>
        </w:tc>
        <w:tc>
          <w:tcPr>
            <w:tcW w:w="9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3.2</w:t>
            </w:r>
          </w:p>
        </w:tc>
        <w:tc>
          <w:tcPr>
            <w:tcW w:w="1620" w:type="dxa"/>
            <w:vAlign w:val="bottom"/>
          </w:tcPr>
          <w:p>
            <w:pPr>
              <w:jc w:val="center"/>
              <w:ind w:left="196"/>
              <w:spacing w:after="0"/>
              <w:rPr>
                <w:sz w:val="20"/>
                <w:szCs w:val="20"/>
                <w:color w:val="auto"/>
              </w:rPr>
            </w:pPr>
            <w:r>
              <w:rPr>
                <w:rFonts w:ascii="Times New Roman" w:cs="Times New Roman" w:eastAsia="Times New Roman" w:hAnsi="Times New Roman"/>
                <w:sz w:val="18"/>
                <w:szCs w:val="18"/>
                <w:color w:val="auto"/>
                <w:w w:val="99"/>
              </w:rPr>
              <w:t>November 7, 2023</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gridSpan w:val="13"/>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currently in effect)</w:t>
              </w:r>
            </w:hyperlink>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18"/>
        </w:trPr>
        <w:tc>
          <w:tcPr>
            <w:tcW w:w="92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w w:val="98"/>
              </w:rPr>
              <w:t>31.1*</w:t>
            </w:r>
          </w:p>
        </w:tc>
        <w:tc>
          <w:tcPr>
            <w:tcW w:w="120" w:type="dxa"/>
            <w:vAlign w:val="bottom"/>
          </w:tcPr>
          <w:p>
            <w:pPr>
              <w:spacing w:after="0"/>
              <w:rPr>
                <w:sz w:val="24"/>
                <w:szCs w:val="24"/>
                <w:color w:val="auto"/>
              </w:rPr>
            </w:pPr>
          </w:p>
        </w:tc>
        <w:tc>
          <w:tcPr>
            <w:tcW w:w="51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72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14(a) and 15d-14(a) under the Securities Exchange Act of 1934, as</w:t>
            </w:r>
          </w:p>
        </w:tc>
        <w:tc>
          <w:tcPr>
            <w:tcW w:w="30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1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18"/>
        </w:trPr>
        <w:tc>
          <w:tcPr>
            <w:tcW w:w="92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w w:val="98"/>
              </w:rPr>
              <w:t>31.2*</w:t>
            </w:r>
          </w:p>
        </w:tc>
        <w:tc>
          <w:tcPr>
            <w:tcW w:w="120" w:type="dxa"/>
            <w:vAlign w:val="bottom"/>
          </w:tcPr>
          <w:p>
            <w:pPr>
              <w:spacing w:after="0"/>
              <w:rPr>
                <w:sz w:val="24"/>
                <w:szCs w:val="24"/>
                <w:color w:val="auto"/>
              </w:rPr>
            </w:pPr>
          </w:p>
        </w:tc>
        <w:tc>
          <w:tcPr>
            <w:tcW w:w="5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and Accounting Officer Pursuant to</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under the Securities Exchange Act of</w:t>
            </w:r>
          </w:p>
        </w:tc>
        <w:tc>
          <w:tcPr>
            <w:tcW w:w="1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2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 Act</w:t>
            </w:r>
          </w:p>
        </w:tc>
        <w:tc>
          <w:tcPr>
            <w:tcW w:w="1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of 2002.</w:t>
            </w:r>
          </w:p>
        </w:tc>
        <w:tc>
          <w:tcPr>
            <w:tcW w:w="20" w:type="dxa"/>
            <w:vAlign w:val="bottom"/>
            <w:tcBorders>
              <w:bottom w:val="single" w:sz="8" w:color="0000EE"/>
            </w:tcBorders>
          </w:tcPr>
          <w:p>
            <w:pPr>
              <w:spacing w:after="0"/>
              <w:rPr>
                <w:sz w:val="17"/>
                <w:szCs w:val="17"/>
                <w:color w:val="auto"/>
              </w:rPr>
            </w:pPr>
          </w:p>
        </w:tc>
        <w:tc>
          <w:tcPr>
            <w:tcW w:w="4540" w:type="dxa"/>
            <w:vAlign w:val="bottom"/>
            <w:gridSpan w:val="11"/>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18"/>
        </w:trPr>
        <w:tc>
          <w:tcPr>
            <w:tcW w:w="92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w w:val="96"/>
              </w:rPr>
              <w:t>32.1*#</w:t>
            </w:r>
          </w:p>
        </w:tc>
        <w:tc>
          <w:tcPr>
            <w:tcW w:w="120" w:type="dxa"/>
            <w:vAlign w:val="bottom"/>
          </w:tcPr>
          <w:p>
            <w:pPr>
              <w:spacing w:after="0"/>
              <w:rPr>
                <w:sz w:val="24"/>
                <w:szCs w:val="24"/>
                <w:color w:val="auto"/>
              </w:rPr>
            </w:pPr>
          </w:p>
        </w:tc>
        <w:tc>
          <w:tcPr>
            <w:tcW w:w="50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Pursuant to 18 U.S.C.</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 of the Sarbanes-</w:t>
            </w:r>
          </w:p>
        </w:tc>
        <w:tc>
          <w:tcPr>
            <w:tcW w:w="34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18"/>
        </w:trPr>
        <w:tc>
          <w:tcPr>
            <w:tcW w:w="92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w w:val="96"/>
              </w:rPr>
              <w:t>32.2*#</w:t>
            </w:r>
          </w:p>
        </w:tc>
        <w:tc>
          <w:tcPr>
            <w:tcW w:w="120" w:type="dxa"/>
            <w:vAlign w:val="bottom"/>
          </w:tcPr>
          <w:p>
            <w:pPr>
              <w:spacing w:after="0"/>
              <w:rPr>
                <w:sz w:val="24"/>
                <w:szCs w:val="24"/>
                <w:color w:val="auto"/>
              </w:rPr>
            </w:pPr>
          </w:p>
        </w:tc>
        <w:tc>
          <w:tcPr>
            <w:tcW w:w="5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and Accounting Officer Pursuant to</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18 U.S.C. Section 1350, as Adopted Pursuant to Section 906 of the</w:t>
            </w:r>
          </w:p>
        </w:tc>
        <w:tc>
          <w:tcPr>
            <w:tcW w:w="30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306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4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51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1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51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Documents</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103" w:lineRule="exact"/>
        <w:rPr>
          <w:sz w:val="20"/>
          <w:szCs w:val="20"/>
          <w:color w:val="auto"/>
        </w:rPr>
      </w:pPr>
    </w:p>
    <w:p>
      <w:pPr>
        <w:ind w:left="1040" w:right="4820" w:hanging="1032"/>
        <w:spacing w:after="0" w:line="282" w:lineRule="auto"/>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for the Company's Quarterly Report on Form 10-Q has been formatted in inline XBRL and contained in Exhibit 101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163" w:lineRule="exact"/>
        <w:rPr>
          <w:sz w:val="20"/>
          <w:szCs w:val="20"/>
          <w:color w:val="auto"/>
        </w:rPr>
      </w:pPr>
    </w:p>
    <w:p>
      <w:pPr>
        <w:jc w:val="both"/>
        <w:ind w:right="160" w:firstLine="8"/>
        <w:spacing w:after="0" w:line="241" w:lineRule="auto"/>
        <w:tabs>
          <w:tab w:leader="none" w:pos="108"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in Exhibits 32.1 and 32.2 shall not be deemed “filed” for purposes of Section 18 of the Exchange Act, or otherwise subject to the liabilities of that section, nor shall it be deemed incorporated by reference in any filing under the Securities Act or the Exchange Act (including this Quarterly Report), unless the Registrant specifically incorporates the foregoing information into those documents by reference.</w:t>
      </w:r>
    </w:p>
    <w:p>
      <w:pPr>
        <w:spacing w:after="0" w:line="15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81" w:right="619" w:bottom="1440" w:gutter="0" w:footer="0" w:header="0"/>
        </w:sectPr>
      </w:pPr>
    </w:p>
    <w:bookmarkStart w:id="96" w:name="page97"/>
    <w:bookmarkEnd w:id="9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LEXEO THERAPEUTICS, INC.</w:t>
      </w:r>
    </w:p>
    <w:p>
      <w:pPr>
        <w:spacing w:after="0" w:line="310"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May 11, 2026</w:t>
      </w:r>
      <w:r>
        <w:rPr>
          <w:sz w:val="20"/>
          <w:szCs w:val="20"/>
          <w:color w:val="auto"/>
        </w:rPr>
        <w:tab/>
      </w:r>
      <w:r>
        <w:rPr>
          <w:rFonts w:ascii="Times New Roman" w:cs="Times New Roman" w:eastAsia="Times New Roman" w:hAnsi="Times New Roman"/>
          <w:sz w:val="18"/>
          <w:szCs w:val="18"/>
          <w:color w:val="auto"/>
        </w:rPr>
        <w:t>By: /s/ R. Nolan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34290</wp:posOffset>
            </wp:positionV>
            <wp:extent cx="299148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5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b w:val="1"/>
          <w:bCs w:val="1"/>
          <w:color w:val="auto"/>
        </w:rPr>
        <w:t>R. Nolan Townsend</w:t>
      </w:r>
    </w:p>
    <w:p>
      <w:pPr>
        <w:spacing w:after="0" w:line="5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3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May 11, 2026</w:t>
      </w:r>
      <w:r>
        <w:rPr>
          <w:sz w:val="20"/>
          <w:szCs w:val="20"/>
          <w:color w:val="auto"/>
        </w:rPr>
        <w:tab/>
      </w:r>
      <w:r>
        <w:rPr>
          <w:rFonts w:ascii="Times New Roman" w:cs="Times New Roman" w:eastAsia="Times New Roman" w:hAnsi="Times New Roman"/>
          <w:sz w:val="18"/>
          <w:szCs w:val="18"/>
          <w:color w:val="auto"/>
        </w:rPr>
        <w:t>By: /s/ Louis Tamayo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34290</wp:posOffset>
            </wp:positionV>
            <wp:extent cx="299148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5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b w:val="1"/>
          <w:bCs w:val="1"/>
          <w:color w:val="auto"/>
        </w:rPr>
        <w:t>Louis Tamayo</w:t>
      </w:r>
    </w:p>
    <w:p>
      <w:pPr>
        <w:spacing w:after="0" w:line="5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Nolan Townsend certify that:</w:t>
      </w:r>
    </w:p>
    <w:p>
      <w:pPr>
        <w:spacing w:after="0" w:line="117" w:lineRule="exact"/>
        <w:rPr>
          <w:sz w:val="20"/>
          <w:szCs w:val="20"/>
          <w:color w:val="auto"/>
        </w:rPr>
      </w:pPr>
    </w:p>
    <w:p>
      <w:pPr>
        <w:ind w:left="760" w:hanging="752"/>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Lexeo Therapeutics, Inc.;</w:t>
      </w:r>
    </w:p>
    <w:p>
      <w:pPr>
        <w:spacing w:after="0" w:line="117"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Dated: May 11, 2026</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R. Nolan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R. Nolan Townsend</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Louis Tamayo certify that:</w:t>
      </w:r>
    </w:p>
    <w:p>
      <w:pPr>
        <w:spacing w:after="0" w:line="117" w:lineRule="exact"/>
        <w:rPr>
          <w:sz w:val="20"/>
          <w:szCs w:val="20"/>
          <w:color w:val="auto"/>
        </w:rPr>
      </w:pPr>
    </w:p>
    <w:p>
      <w:pPr>
        <w:ind w:left="760" w:hanging="752"/>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Lexeo Therapeutics, Inc.;</w:t>
      </w:r>
    </w:p>
    <w:p>
      <w:pPr>
        <w:spacing w:after="0" w:line="117"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00" w:right="20" w:hanging="743"/>
        <w:spacing w:after="0" w:line="282" w:lineRule="auto"/>
        <w:tabs>
          <w:tab w:leader="none" w:pos="15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Dated: May 11, 2026</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Louis Tamayo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Louis Tamayo</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9" w:name="page100"/>
    <w:bookmarkEnd w:id="99"/>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R. Nolan Townsend, Chief Executive Officer and Principal Executive Officer of Lexeo Therapeutics, Inc. (the “Company”), hereby certifies that, to the best of his knowledge:</w:t>
      </w:r>
    </w:p>
    <w:p>
      <w:pPr>
        <w:spacing w:after="0" w:line="68" w:lineRule="exact"/>
        <w:rPr>
          <w:sz w:val="20"/>
          <w:szCs w:val="20"/>
          <w:color w:val="auto"/>
        </w:rPr>
      </w:pPr>
    </w:p>
    <w:p>
      <w:pPr>
        <w:ind w:left="760" w:hanging="752"/>
        <w:spacing w:after="0" w:line="282" w:lineRule="auto"/>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2026, to which this Certification is attached as Exhibit 32.1 (the “Periodic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6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Dated: May 11, 2026</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R. Nolan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 Nolan Townsend</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Lexeo Therapeutics, Inc.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0" w:name="page101"/>
    <w:bookmarkEnd w:id="100"/>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Louis Tamayo, Chief Financial Officer and Principal Financial and Accounting Officer of Lexeo Therapeutics, Inc. (the “Company”), hereby certifies that, to the best of his knowledge:</w:t>
      </w:r>
    </w:p>
    <w:p>
      <w:pPr>
        <w:spacing w:after="0" w:line="68" w:lineRule="exact"/>
        <w:rPr>
          <w:sz w:val="20"/>
          <w:szCs w:val="20"/>
          <w:color w:val="auto"/>
        </w:rPr>
      </w:pPr>
    </w:p>
    <w:p>
      <w:pPr>
        <w:ind w:left="760" w:hanging="752"/>
        <w:spacing w:after="0" w:line="282"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2026, to which this Certification is attached as Exhibit 32.1 (the “Periodic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6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Dated: May 11, 2026</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Louis Tamayo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Louis Tamayo</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Lexeo Therapeutics, Inc.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1" w:name="page102"/>
    <w:bookmarkEnd w:id="10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lowerRoman"/>
      <w:start w:val="2"/>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1"/>
      <w:numFmt w:val="decimal"/>
      <w:start w:val="104"/>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10" Type="http://schemas.openxmlformats.org/officeDocument/2006/relationships/hyperlink" Target="https://www.sec.gov/Archives/edgar/data/1907108/000119312523272430/d576843dex31.htm" TargetMode="External"/><Relationship Id="rId211" Type="http://schemas.openxmlformats.org/officeDocument/2006/relationships/hyperlink" Target="https://www.sec.gov/Archives/edgar/data/1907108/000119312523272430/d576843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2026-05-11T06:08:59Z</dcterms:created>
  <dcterms:modified xsi:type="dcterms:W3CDTF">2026-05-11T06:08:59Z</dcterms:modified>
</cp:coreProperties>
</file>