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82026_050904.xml.htm"/>
      <w:bookmarkStart w:id="1" w:name="ksform409282026_0509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Otero Jose Manuel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LEXEO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 SOUTH, FLOOR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Lexeo Therapeutics, Inc.</w:t>
              </w:r>
            </w:hyperlink>
            <w:r>
              <w:rPr/>
              <w:t xml:space="preserve"> [ </w:t>
            </w:r>
            <w:r>
              <w:rPr>
                <w:rFonts w:ascii="Times;serif" w:hAnsi="Times;serif"/>
                <w:color w:val="0000FF"/>
                <w:sz w:val="24"/>
                <w:shd w:fill="FFFFFF" w:val="clear"/>
              </w:rPr>
              <w:t>LXEO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575"/>
        <w:gridCol w:w="374"/>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2,110</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2.644</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138,288</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54,750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54,750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voluntarily reporting the acquisition of shares of the Issuer's common stock pursuant to the Lexeo Therapeutics, Inc. 2023 Employee Stock Purchase Plan. This transaction is exempt under both Rule 16b-3(c) and Rule 16b-3(d).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97,026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shares underlying the option vest and become exercisable on September 24, 2027, and 1/48th of the shares underlying the option shall vest in monthly installments thereafter, subject to the Reporting Person's continuous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Youjin Choi,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4096" TargetMode="External"/><Relationship Id="rId5" Type="http://schemas.openxmlformats.org/officeDocument/2006/relationships/hyperlink" Target="http://www.sec.gov/cgi-bin/browse-edgar?action=getcompany&amp;CIK=00019071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3651</Characters>
  <CharactersWithSpaces>4237</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