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December 13, 2024</w:t>
      </w:r>
    </w:p>
    <w:p>
      <w:pPr>
        <w:spacing w:after="0" w:line="28" w:lineRule="exact"/>
        <w:rPr>
          <w:sz w:val="24"/>
          <w:szCs w:val="24"/>
          <w:color w:val="auto"/>
        </w:rPr>
      </w:pPr>
    </w:p>
    <w:p>
      <w:pPr>
        <w:ind w:left="9260"/>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4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102870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0"/>
          <w:szCs w:val="30"/>
          <w:b w:val="1"/>
          <w:bCs w:val="1"/>
          <w:color w:val="auto"/>
        </w:rPr>
        <w:t>FORM S-3</w:t>
      </w:r>
    </w:p>
    <w:p>
      <w:pPr>
        <w:spacing w:after="0" w:line="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0"/>
          <w:szCs w:val="30"/>
          <w:b w:val="1"/>
          <w:bCs w:val="1"/>
          <w:color w:val="auto"/>
        </w:rPr>
        <w:t>REGISTRATION STATEMENT</w:t>
      </w:r>
    </w:p>
    <w:p>
      <w:pPr>
        <w:jc w:val="center"/>
        <w:ind w:right="-1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15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6"/>
          <w:szCs w:val="36"/>
          <w:b w:val="1"/>
          <w:bCs w:val="1"/>
          <w:color w:val="auto"/>
        </w:rPr>
        <w:t>Lexeo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-259715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p>
      <w:pPr>
        <w:spacing w:after="0" w:line="282"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85-4012572</w:t>
      </w:r>
    </w:p>
    <w:p>
      <w:pPr>
        <w:spacing w:after="0" w:line="15" w:lineRule="exact"/>
        <w:rPr>
          <w:sz w:val="24"/>
          <w:szCs w:val="24"/>
          <w:color w:val="auto"/>
        </w:rPr>
      </w:pPr>
    </w:p>
    <w:p>
      <w:pPr>
        <w:sectPr>
          <w:pgSz w:w="11900" w:h="16838" w:orient="portrait"/>
          <w:cols w:equalWidth="0" w:num="2">
            <w:col w:w="7340" w:space="720"/>
            <w:col w:w="3060"/>
          </w:cols>
          <w:pgMar w:left="320" w:top="225" w:right="45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32" w:lineRule="exact"/>
        <w:rPr>
          <w:sz w:val="24"/>
          <w:szCs w:val="24"/>
          <w:color w:val="auto"/>
        </w:rPr>
      </w:pPr>
    </w:p>
    <w:p>
      <w:pPr>
        <w:sectPr>
          <w:pgSz w:w="11900" w:h="16838" w:orient="portrait"/>
          <w:cols w:equalWidth="0" w:num="2">
            <w:col w:w="7020" w:space="720"/>
            <w:col w:w="3380"/>
          </w:cols>
          <w:pgMar w:left="320" w:top="22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345 Park Avenue South, Floor 6</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New York, New York, 10010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Tel: (212) 547-9879</w:t>
      </w:r>
    </w:p>
    <w:p>
      <w:pPr>
        <w:sectPr>
          <w:pgSz w:w="11900" w:h="16838" w:orient="portrait"/>
          <w:cols w:equalWidth="0" w:num="1">
            <w:col w:w="11120"/>
          </w:cols>
          <w:pgMar w:left="320" w:top="225" w:right="459" w:bottom="1440" w:gutter="0" w:footer="0" w:header="0"/>
          <w:type w:val="continuous"/>
        </w:sectPr>
      </w:pP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102235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 Nolan Townsend</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Lexeo Therapeutics, Inc.</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345 Park Avenue South, Floor 6</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New York, New York, 10010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(212) 547-9879</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102235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7" w:lineRule="exact"/>
        <w:rPr>
          <w:sz w:val="24"/>
          <w:szCs w:val="24"/>
          <w:color w:val="auto"/>
        </w:rPr>
      </w:pPr>
    </w:p>
    <w:tbl>
      <w:tblPr>
        <w:tblLayout w:type="fixed"/>
        <w:tblInd w:w="1520" w:type="dxa"/>
        <w:tblCellMar>
          <w:top w:w="0" w:type="dxa"/>
          <w:left w:w="0" w:type="dxa"/>
          <w:bottom w:w="0" w:type="dxa"/>
          <w:right w:w="0" w:type="dxa"/>
        </w:tblCellMar>
      </w:tblPr>
      <w:tr>
        <w:trPr>
          <w:trHeight w:val="214"/>
        </w:trPr>
        <w:tc>
          <w:tcPr>
            <w:tcW w:w="3260" w:type="dxa"/>
            <w:vAlign w:val="bottom"/>
          </w:tcPr>
          <w:p>
            <w:pPr>
              <w:spacing w:after="0"/>
              <w:rPr>
                <w:sz w:val="18"/>
                <w:szCs w:val="18"/>
                <w:color w:val="auto"/>
              </w:rPr>
            </w:pPr>
          </w:p>
        </w:tc>
        <w:tc>
          <w:tcPr>
            <w:tcW w:w="4820" w:type="dxa"/>
            <w:vAlign w:val="bottom"/>
          </w:tcPr>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r>
      <w:tr>
        <w:trPr>
          <w:trHeight w:val="233"/>
        </w:trPr>
        <w:tc>
          <w:tcPr>
            <w:tcW w:w="3260" w:type="dxa"/>
            <w:vAlign w:val="bottom"/>
          </w:tcPr>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Megan J. Baier</w:t>
            </w:r>
          </w:p>
        </w:tc>
        <w:tc>
          <w:tcPr>
            <w:tcW w:w="4820" w:type="dxa"/>
            <w:vAlign w:val="bottom"/>
          </w:tcPr>
          <w:p>
            <w:pPr>
              <w:jc w:val="center"/>
              <w:ind w:left="2459"/>
              <w:spacing w:after="0"/>
              <w:rPr>
                <w:sz w:val="20"/>
                <w:szCs w:val="20"/>
                <w:color w:val="auto"/>
              </w:rPr>
            </w:pPr>
            <w:r>
              <w:rPr>
                <w:rFonts w:ascii="Times New Roman" w:cs="Times New Roman" w:eastAsia="Times New Roman" w:hAnsi="Times New Roman"/>
                <w:sz w:val="16"/>
                <w:szCs w:val="16"/>
                <w:b w:val="1"/>
                <w:bCs w:val="1"/>
                <w:color w:val="auto"/>
              </w:rPr>
              <w:t>Jenny R. Robertson</w:t>
            </w:r>
          </w:p>
        </w:tc>
      </w:tr>
      <w:tr>
        <w:trPr>
          <w:trHeight w:val="203"/>
        </w:trPr>
        <w:tc>
          <w:tcPr>
            <w:tcW w:w="3260" w:type="dxa"/>
            <w:vAlign w:val="bottom"/>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David G. Sharon</w:t>
            </w:r>
          </w:p>
        </w:tc>
        <w:tc>
          <w:tcPr>
            <w:tcW w:w="4820" w:type="dxa"/>
            <w:vAlign w:val="bottom"/>
          </w:tcPr>
          <w:p>
            <w:pPr>
              <w:jc w:val="center"/>
              <w:ind w:left="2459"/>
              <w:spacing w:after="0"/>
              <w:rPr>
                <w:sz w:val="20"/>
                <w:szCs w:val="20"/>
                <w:color w:val="auto"/>
              </w:rPr>
            </w:pPr>
            <w:r>
              <w:rPr>
                <w:rFonts w:ascii="Times New Roman" w:cs="Times New Roman" w:eastAsia="Times New Roman" w:hAnsi="Times New Roman"/>
                <w:sz w:val="16"/>
                <w:szCs w:val="16"/>
                <w:b w:val="1"/>
                <w:bCs w:val="1"/>
                <w:color w:val="auto"/>
              </w:rPr>
              <w:t>Chief Business and Legal Officer</w:t>
            </w:r>
          </w:p>
        </w:tc>
      </w:tr>
      <w:tr>
        <w:trPr>
          <w:trHeight w:val="203"/>
        </w:trPr>
        <w:tc>
          <w:tcPr>
            <w:tcW w:w="3260" w:type="dxa"/>
            <w:vAlign w:val="bottom"/>
          </w:tcPr>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Wilson Sonsini Goodrich &amp; Rosati, P.C.</w:t>
            </w:r>
          </w:p>
        </w:tc>
        <w:tc>
          <w:tcPr>
            <w:tcW w:w="4820" w:type="dxa"/>
            <w:vAlign w:val="bottom"/>
          </w:tcPr>
          <w:p>
            <w:pPr>
              <w:jc w:val="center"/>
              <w:ind w:left="2459"/>
              <w:spacing w:after="0"/>
              <w:rPr>
                <w:sz w:val="20"/>
                <w:szCs w:val="20"/>
                <w:color w:val="auto"/>
              </w:rPr>
            </w:pPr>
            <w:r>
              <w:rPr>
                <w:rFonts w:ascii="Times New Roman" w:cs="Times New Roman" w:eastAsia="Times New Roman" w:hAnsi="Times New Roman"/>
                <w:sz w:val="16"/>
                <w:szCs w:val="16"/>
                <w:b w:val="1"/>
                <w:bCs w:val="1"/>
                <w:color w:val="auto"/>
              </w:rPr>
              <w:t>Lexeo Therapeutics, Inc.</w:t>
            </w:r>
          </w:p>
        </w:tc>
      </w:tr>
      <w:tr>
        <w:trPr>
          <w:trHeight w:val="203"/>
        </w:trPr>
        <w:tc>
          <w:tcPr>
            <w:tcW w:w="3260" w:type="dxa"/>
            <w:vAlign w:val="bottom"/>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1301 Avenue of the Americas</w:t>
            </w:r>
          </w:p>
        </w:tc>
        <w:tc>
          <w:tcPr>
            <w:tcW w:w="4820" w:type="dxa"/>
            <w:vAlign w:val="bottom"/>
          </w:tcPr>
          <w:p>
            <w:pPr>
              <w:jc w:val="center"/>
              <w:ind w:left="2459"/>
              <w:spacing w:after="0"/>
              <w:rPr>
                <w:sz w:val="20"/>
                <w:szCs w:val="20"/>
                <w:color w:val="auto"/>
              </w:rPr>
            </w:pPr>
            <w:r>
              <w:rPr>
                <w:rFonts w:ascii="Times New Roman" w:cs="Times New Roman" w:eastAsia="Times New Roman" w:hAnsi="Times New Roman"/>
                <w:sz w:val="16"/>
                <w:szCs w:val="16"/>
                <w:b w:val="1"/>
                <w:bCs w:val="1"/>
                <w:color w:val="auto"/>
              </w:rPr>
              <w:t>345 Park Avenue South, Floor 6</w:t>
            </w:r>
          </w:p>
        </w:tc>
      </w:tr>
      <w:tr>
        <w:trPr>
          <w:trHeight w:val="203"/>
        </w:trPr>
        <w:tc>
          <w:tcPr>
            <w:tcW w:w="3260" w:type="dxa"/>
            <w:vAlign w:val="bottom"/>
          </w:tcPr>
          <w:p>
            <w:pPr>
              <w:jc w:val="center"/>
              <w:ind w:right="439"/>
              <w:spacing w:after="0"/>
              <w:rPr>
                <w:sz w:val="20"/>
                <w:szCs w:val="20"/>
                <w:color w:val="auto"/>
              </w:rPr>
            </w:pPr>
            <w:r>
              <w:rPr>
                <w:rFonts w:ascii="Times New Roman" w:cs="Times New Roman" w:eastAsia="Times New Roman" w:hAnsi="Times New Roman"/>
                <w:sz w:val="16"/>
                <w:szCs w:val="16"/>
                <w:b w:val="1"/>
                <w:bCs w:val="1"/>
                <w:color w:val="auto"/>
                <w:w w:val="99"/>
              </w:rPr>
              <w:t>New York, New York 10019</w:t>
            </w:r>
          </w:p>
        </w:tc>
        <w:tc>
          <w:tcPr>
            <w:tcW w:w="4820" w:type="dxa"/>
            <w:vAlign w:val="bottom"/>
          </w:tcPr>
          <w:p>
            <w:pPr>
              <w:jc w:val="center"/>
              <w:ind w:left="2459"/>
              <w:spacing w:after="0"/>
              <w:rPr>
                <w:sz w:val="20"/>
                <w:szCs w:val="20"/>
                <w:color w:val="auto"/>
              </w:rPr>
            </w:pPr>
            <w:r>
              <w:rPr>
                <w:rFonts w:ascii="Times New Roman" w:cs="Times New Roman" w:eastAsia="Times New Roman" w:hAnsi="Times New Roman"/>
                <w:sz w:val="16"/>
                <w:szCs w:val="16"/>
                <w:b w:val="1"/>
                <w:bCs w:val="1"/>
                <w:color w:val="auto"/>
              </w:rPr>
              <w:t>New York, New York 10010</w:t>
            </w:r>
          </w:p>
        </w:tc>
      </w:tr>
      <w:tr>
        <w:trPr>
          <w:trHeight w:val="212"/>
        </w:trPr>
        <w:tc>
          <w:tcPr>
            <w:tcW w:w="3260" w:type="dxa"/>
            <w:vAlign w:val="bottom"/>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w w:val="99"/>
              </w:rPr>
              <w:t>Telephone: (212) 999-5800</w:t>
            </w:r>
          </w:p>
        </w:tc>
        <w:tc>
          <w:tcPr>
            <w:tcW w:w="4820" w:type="dxa"/>
            <w:vAlign w:val="bottom"/>
          </w:tcPr>
          <w:p>
            <w:pPr>
              <w:jc w:val="center"/>
              <w:ind w:left="2459"/>
              <w:spacing w:after="0"/>
              <w:rPr>
                <w:sz w:val="20"/>
                <w:szCs w:val="20"/>
                <w:color w:val="auto"/>
              </w:rPr>
            </w:pPr>
            <w:r>
              <w:rPr>
                <w:rFonts w:ascii="Times New Roman" w:cs="Times New Roman" w:eastAsia="Times New Roman" w:hAnsi="Times New Roman"/>
                <w:sz w:val="16"/>
                <w:szCs w:val="16"/>
                <w:b w:val="1"/>
                <w:bCs w:val="1"/>
                <w:color w:val="auto"/>
                <w:w w:val="99"/>
              </w:rPr>
              <w:t>(212) 547-9879</w:t>
            </w:r>
          </w:p>
        </w:tc>
      </w:tr>
    </w:tbl>
    <w:p>
      <w:pPr>
        <w:spacing w:after="0" w:line="3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w:t>
      </w:r>
      <w:r>
        <w:rPr>
          <w:rFonts w:ascii="Times New Roman" w:cs="Times New Roman" w:eastAsia="Times New Roman" w:hAnsi="Times New Roman"/>
          <w:sz w:val="16"/>
          <w:szCs w:val="16"/>
          <w:color w:val="auto"/>
        </w:rPr>
        <w:t>: From time to time after the effective date of this Registration Statement.</w:t>
      </w:r>
    </w:p>
    <w:p>
      <w:pPr>
        <w:spacing w:after="0" w:line="28"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92" w:lineRule="exact"/>
        <w:rPr>
          <w:sz w:val="24"/>
          <w:szCs w:val="24"/>
          <w:color w:val="auto"/>
        </w:rPr>
      </w:pPr>
    </w:p>
    <w:p>
      <w:pPr>
        <w:ind w:left="120" w:right="1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as amended, or the Securities Act, other than securities offered only in connection with dividend or interest reinvestment plans, check the following box:  </w:t>
      </w:r>
      <w:r>
        <w:rPr>
          <w:rFonts w:ascii="MS PGothic" w:cs="MS PGothic" w:eastAsia="MS PGothic" w:hAnsi="MS PGothic"/>
          <w:sz w:val="16"/>
          <w:szCs w:val="16"/>
          <w:color w:val="auto"/>
        </w:rPr>
        <w:t>☒</w:t>
      </w:r>
    </w:p>
    <w:p>
      <w:pPr>
        <w:ind w:left="120" w:right="26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 w:lineRule="exact"/>
        <w:rPr>
          <w:sz w:val="24"/>
          <w:szCs w:val="24"/>
          <w:color w:val="auto"/>
        </w:rPr>
      </w:pPr>
    </w:p>
    <w:p>
      <w:pPr>
        <w:ind w:left="120" w:right="48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 w:lineRule="exact"/>
        <w:rPr>
          <w:sz w:val="24"/>
          <w:szCs w:val="24"/>
          <w:color w:val="auto"/>
        </w:rPr>
      </w:pPr>
    </w:p>
    <w:p>
      <w:pPr>
        <w:ind w:left="120" w:right="1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Securities and Exchange Commission, or the Commission, pursuant to Rule 462(e) under the Securities Act, check the following box.  </w:t>
      </w:r>
      <w:r>
        <w:rPr>
          <w:rFonts w:ascii="MS PGothic" w:cs="MS PGothic" w:eastAsia="MS PGothic" w:hAnsi="MS PGothic"/>
          <w:sz w:val="16"/>
          <w:szCs w:val="16"/>
          <w:color w:val="auto"/>
        </w:rPr>
        <w:t>☐</w:t>
      </w:r>
    </w:p>
    <w:p>
      <w:pPr>
        <w:ind w:left="120" w:right="16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8" w:lineRule="exact"/>
        <w:rPr>
          <w:sz w:val="24"/>
          <w:szCs w:val="24"/>
          <w:color w:val="auto"/>
        </w:rPr>
      </w:pPr>
    </w:p>
    <w:p>
      <w:pPr>
        <w:jc w:val="both"/>
        <w:ind w:left="120" w:right="80" w:firstLine="44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9"/>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2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32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 w:lineRule="exact"/>
        <w:rPr>
          <w:sz w:val="24"/>
          <w:szCs w:val="24"/>
          <w:color w:val="auto"/>
        </w:rPr>
      </w:pPr>
    </w:p>
    <w:p>
      <w:pPr>
        <w:ind w:left="120" w:right="42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7" w:lineRule="exact"/>
        <w:rPr>
          <w:sz w:val="24"/>
          <w:szCs w:val="24"/>
          <w:color w:val="auto"/>
        </w:rPr>
      </w:pPr>
    </w:p>
    <w:p>
      <w:pPr>
        <w:ind w:left="120" w:firstLine="44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FF4338"/>
        </w:rPr>
        <w:t>Subject to Completion, dated December 13, 2024</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102235</wp:posOffset>
            </wp:positionV>
            <wp:extent cx="1251585"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158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Lexeo Therapeutics, Inc.</w:t>
      </w:r>
    </w:p>
    <w:p>
      <w:pPr>
        <w:spacing w:after="0" w:line="1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$300,000,000</w:t>
      </w:r>
    </w:p>
    <w:p>
      <w:pPr>
        <w:spacing w:after="0" w:line="2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Subscription Rights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Purchase Contracts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176530</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securities covered by this prospectus may be sold by Lexeo Therapeutics, Inc. from time to time. This prospectus provides you with a general description of these securities.</w:t>
      </w:r>
    </w:p>
    <w:p>
      <w:pPr>
        <w:spacing w:after="0" w:line="123" w:lineRule="exact"/>
        <w:rPr>
          <w:sz w:val="20"/>
          <w:szCs w:val="20"/>
          <w:color w:val="auto"/>
        </w:rPr>
      </w:pPr>
    </w:p>
    <w:p>
      <w:pPr>
        <w:ind w:left="120" w:firstLine="440"/>
        <w:spacing w:after="0" w:line="236" w:lineRule="auto"/>
        <w:rPr>
          <w:sz w:val="20"/>
          <w:szCs w:val="20"/>
          <w:color w:val="auto"/>
        </w:rPr>
      </w:pPr>
      <w:r>
        <w:rPr>
          <w:rFonts w:ascii="Times New Roman" w:cs="Times New Roman" w:eastAsia="Times New Roman" w:hAnsi="Times New Roman"/>
          <w:sz w:val="14"/>
          <w:szCs w:val="14"/>
          <w:color w:val="auto"/>
        </w:rPr>
        <w:t>We may issue securities from time to time in one or more offerings, in amounts, at prices and on terms determined at the time of offering, of up to $300,000,000 in the aggregate.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09" w:lineRule="exact"/>
        <w:rPr>
          <w:sz w:val="20"/>
          <w:szCs w:val="20"/>
          <w:color w:val="auto"/>
        </w:rPr>
      </w:pPr>
    </w:p>
    <w:p>
      <w:pPr>
        <w:ind w:left="120" w:right="80" w:firstLine="440"/>
        <w:spacing w:after="0" w:line="241" w:lineRule="auto"/>
        <w:rPr>
          <w:sz w:val="20"/>
          <w:szCs w:val="20"/>
          <w:color w:val="auto"/>
        </w:rPr>
      </w:pPr>
      <w:r>
        <w:rPr>
          <w:rFonts w:ascii="Times New Roman" w:cs="Times New Roman" w:eastAsia="Times New Roman" w:hAnsi="Times New Roman"/>
          <w:sz w:val="14"/>
          <w:szCs w:val="14"/>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0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4"/>
          <w:szCs w:val="14"/>
          <w:color w:val="auto"/>
        </w:rPr>
        <w:t>Our common stock is listed on the Nasdaq Global Market, or Nasdaq, under the symbol “LXEO.” On December 12, 2024, the last quoted sale price of our common stock as reported on Nasdaq was $7.13 per share. Each prospectus supplement will indicate whether the securities offered thereby will be listed on any securities exchange.</w:t>
      </w:r>
    </w:p>
    <w:p>
      <w:pPr>
        <w:spacing w:after="0" w:line="82" w:lineRule="exact"/>
        <w:rPr>
          <w:sz w:val="20"/>
          <w:szCs w:val="20"/>
          <w:color w:val="auto"/>
        </w:rPr>
      </w:pPr>
    </w:p>
    <w:p>
      <w:pPr>
        <w:ind w:left="120" w:right="100" w:firstLine="440"/>
        <w:spacing w:after="0" w:line="241" w:lineRule="auto"/>
        <w:rPr>
          <w:sz w:val="20"/>
          <w:szCs w:val="20"/>
          <w:color w:val="auto"/>
        </w:rPr>
      </w:pPr>
      <w:r>
        <w:rPr>
          <w:rFonts w:ascii="Times New Roman" w:cs="Times New Roman" w:eastAsia="Times New Roman" w:hAnsi="Times New Roman"/>
          <w:sz w:val="14"/>
          <w:szCs w:val="14"/>
          <w:color w:val="auto"/>
        </w:rPr>
        <w:t>We are an “emerging growth company” and a “smaller reporting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common stock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160655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9" w:lineRule="exact"/>
        <w:rPr>
          <w:sz w:val="20"/>
          <w:szCs w:val="20"/>
          <w:color w:val="auto"/>
        </w:rPr>
      </w:pPr>
    </w:p>
    <w:p>
      <w:pPr>
        <w:ind w:left="12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Before buying any securities, you should carefully read the discussion of the risks and uncertainties of investing in our securities described in the section titled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6 of this prospectus, and under similar headings in any amendments or supplements to this prospectus as well as the documents incorporated by reference in this prospectus.</w:t>
      </w:r>
    </w:p>
    <w:p>
      <w:pPr>
        <w:spacing w:after="0" w:line="83" w:lineRule="exact"/>
        <w:rPr>
          <w:sz w:val="20"/>
          <w:szCs w:val="20"/>
          <w:color w:val="auto"/>
        </w:rPr>
      </w:pPr>
    </w:p>
    <w:p>
      <w:pPr>
        <w:ind w:left="120" w:right="220" w:firstLine="440"/>
        <w:spacing w:after="0" w:line="264"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in this prospectus or any prospectus supplement or amendment hereto. We have not authorized anyone to provide you with different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1" w:lineRule="exact"/>
        <w:rPr>
          <w:sz w:val="20"/>
          <w:szCs w:val="20"/>
          <w:color w:val="auto"/>
        </w:rPr>
      </w:pPr>
    </w:p>
    <w:p>
      <w:pPr>
        <w:ind w:left="120" w:right="12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Prospectus dated             , 2024.</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760" w:type="dxa"/>
            <w:vAlign w:val="bottom"/>
          </w:tcPr>
          <w:p>
            <w:pPr>
              <w:jc w:val="right"/>
              <w:ind w:right="4411"/>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73"/>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580" w:type="dxa"/>
            <w:vAlign w:val="bottom"/>
            <w:tcBorders>
              <w:bottom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2620" w:type="dxa"/>
            <w:vAlign w:val="bottom"/>
            <w:gridSpan w:val="8"/>
          </w:tcPr>
          <w:p>
            <w:pPr>
              <w:spacing w:after="0"/>
              <w:rPr>
                <w:sz w:val="16"/>
                <w:szCs w:val="16"/>
                <w:color w:val="auto"/>
              </w:rPr>
            </w:pPr>
          </w:p>
        </w:tc>
        <w:tc>
          <w:tcPr>
            <w:tcW w:w="6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680" w:type="dxa"/>
            <w:vAlign w:val="bottom"/>
            <w:gridSpan w:val="9"/>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320" w:type="dxa"/>
            <w:vAlign w:val="bottom"/>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196"/>
        </w:trPr>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2020" w:type="dxa"/>
            <w:vAlign w:val="bottom"/>
            <w:gridSpan w:val="5"/>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Subscription Rights</w:t>
            </w:r>
          </w:p>
        </w:tc>
        <w:tc>
          <w:tcPr>
            <w:tcW w:w="1700" w:type="dxa"/>
            <w:vAlign w:val="bottom"/>
            <w:gridSpan w:val="3"/>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24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Purchase Contracts</w:t>
            </w:r>
          </w:p>
        </w:tc>
        <w:tc>
          <w:tcPr>
            <w:tcW w:w="1740" w:type="dxa"/>
            <w:vAlign w:val="bottom"/>
            <w:gridSpan w:val="4"/>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740" w:type="dxa"/>
            <w:vAlign w:val="bottom"/>
            <w:gridSpan w:val="10"/>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780" w:type="dxa"/>
            <w:vAlign w:val="bottom"/>
            <w:gridSpan w:val="11"/>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0" w:type="dxa"/>
            <w:vAlign w:val="bottom"/>
            <w:gridSpan w:val="13"/>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196"/>
        </w:trPr>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20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820" w:type="dxa"/>
            <w:vAlign w:val="bottom"/>
            <w:tcBorders>
              <w:top w:val="single" w:sz="8" w:color="0000EE"/>
            </w:tcBorders>
            <w:gridSpan w:val="4"/>
          </w:tcPr>
          <w:p>
            <w:pPr>
              <w:spacing w:after="0"/>
              <w:rPr>
                <w:sz w:val="17"/>
                <w:szCs w:val="17"/>
                <w:color w:val="auto"/>
              </w:rPr>
            </w:pPr>
          </w:p>
        </w:tc>
        <w:tc>
          <w:tcPr>
            <w:tcW w:w="1340" w:type="dxa"/>
            <w:vAlign w:val="bottom"/>
            <w:gridSpan w:val="2"/>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the SEC, under the Securities Act of 1933, as amended, or the Securities Act, using a “shelf” registration process. By using a shelf registration statement, we may sell securities from time to time and in one or more offerings as described in this prospectus for an aggregate offering amount of up to $300,000,000. Each time that we offer and sell securities pursuant to this prospectus, we will provide a prospectus supplement to this prospectus that contains specific information about the securities being offered and sold and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and any related free writing prospectus, you should rely on the applicable prospectus supplement and any related free writing prospectus. Before purchasing any securities, you should carefully read this prospectus, the applicable prospectus supplement and any related free writing prospectus, together with the additional information described under in the sections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or to make any representations other than those contained or incorporated by reference in this prospectus, the applicable prospectus supplement or in any related free writing prospectus prepared by or on behalf of us to which we have referred you. We take no responsibility for, and can provide no assurance as to the reliability of, any other information that others may give you. You should assume that the information appearing in this prospectus, the applicable prospectus supplement to this prospectus and any related free writing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materially since those dates. This prospectus and the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w:t>
      </w:r>
    </w:p>
    <w:p>
      <w:pPr>
        <w:spacing w:after="0" w:line="3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40"/>
          </w:cols>
          <w:pgMar w:left="320" w:top="455"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in the section of this prospectus titled “Risk Factors” and the financial statements and related notes and other information that we incorporate by reference herein, including our Annual Report on Form 10-K and our Quarterly Reports on Form 10-Q. Unless the context indicates otherwise, references in this prospectus to “Lexeo,” “we,” “our” and “us” refer, collectively, to Lexeo Therapeutics, Inc., a Delaware corporation.</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We are a clinical stage genetic medicine company dedicated to transforming healthcare by applying pioneering science to fundamentally change how disease is treated. By taking aim at the underlying genetic cause of the devastating diseases we target, we seek to create substantial positive impact and reduce the overwhelming burdens placed on people receiving treatment, their caregivers, and healthcare systems. Our current pipeline consists of candidates targeting patient populations that place significant burden on society and are most amenable to our genetic medicine approach.</w:t>
      </w:r>
    </w:p>
    <w:p>
      <w:pPr>
        <w:spacing w:after="0" w:line="183"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Our most advanced cardiovascular product candidate, LX2006 for the treatment of patients with Friedreich ataxia, or FA, cardiomyopathy, is currently being evaluated in SUNRISE-FA, an ongoing Phase 1/2 clinical trial. We have observed an increase in frataxin protein expression in the hearts of four patients that have undergone cardiac biopsies across cohort 1 (n=1) and cohort 2 (n=3). In July 2024, we announced interim clinical data of LX2006 from the ongoing Lexeo-sponsored SUNRISE-FA trial and Cornell investigator-initiated trial, providing baseline characteristics from 11 participants that had been treated and follow-up data from 8 participants that had reached at least 6-months of follow-up, showing improvements in key cardiac biomarkers including left ventricular mass index, lateral wall thickness, and high-sensitivity troponin I. LX2006 has been generally well-tolerated across both SUNRISE-FA and Weill Cornell investigator-initiated trials to date. One possibly treatment-related Grade 2 event of asymptomatic myocarditis was observed one year after dosing; participant with multiple comorbidities and history of flu-like symptoms prior to diagnosis which may have been a contributing factor. A biopsy was performed six weeks after diagnosis and results were negative for myocarditis and participant remains asymptomatic. In November 2024, we announced that we reached alignment with the U.S. Food and Drug Administration, or FDA, on key elements of a registrational development plan for LX2006, including accelerated approval pathway with left ventricular mass index and frataxin protein expression as co-primary registrational endpoints. LX2006 has received Rare Pediatric Disease designation, Orphan Drug designation, Fast Track designation and Regenerative Medicine Advanced Therapy, or RMAT, designation from the FDA, and Orphan Medicinal Product designation from the European Commission. Our second most advanced cardiovascular product candidate, LX2020 for the treatment of arrhythmogenic cardiomyopathy, or ACM, caused by mutations in the PKP2 gene, referred to as PKP2-ACM, is currently being evaluated in HEROIC-PKP2, an ongoing Phase 1/2 clinical trial. We have completed enrollment of cohort 1 and expect to provide an interim data readout from that cohort in the later part of the first quarter or early part of the second quarter of 2025. LX2020 received Fast Track and Orphan Drug designations from the FDA in December 2023.</w:t>
      </w:r>
    </w:p>
    <w:p>
      <w:pPr>
        <w:spacing w:after="0" w:line="192"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Our lead Alzheimer’s disease product candidate, LX1001, for the treatment of APOE4 homozygous patients with Alzheimer’s disease, is in an ongoing Phase 1/2 trial. In October 2024, we reported interim data across all four dose cohorts at the Clinical Trials on Alzheimer’s Disease conference in Madrid, Spain. LX1001 was generally well-tolerated across all dose cohorts with no reports of amyloid-related imaging abnormalities. Four serious adverse events were reported, with three deemed unrelated to treatment and one event of mild-moderate sensorineural hearing loss assessed as possibly related to treatment with repeat audiometry pending. A dose and</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720"/>
        <w:spacing w:after="0" w:line="282" w:lineRule="auto"/>
        <w:rPr>
          <w:sz w:val="20"/>
          <w:szCs w:val="20"/>
          <w:color w:val="auto"/>
        </w:rPr>
      </w:pPr>
      <w:r>
        <w:rPr>
          <w:rFonts w:ascii="Times New Roman" w:cs="Times New Roman" w:eastAsia="Times New Roman" w:hAnsi="Times New Roman"/>
          <w:sz w:val="18"/>
          <w:szCs w:val="18"/>
          <w:color w:val="auto"/>
        </w:rPr>
        <w:t>time-dependent increase in neuroprotective APOE2 expression was observed in all participants with ongoing durability at 12 months, and reductions in cerebrospinal fluid tau biomarkers and tau positron emission tomography were seen in a majority of patients.</w:t>
      </w:r>
    </w:p>
    <w:p>
      <w:pPr>
        <w:spacing w:after="0" w:line="162"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targeting diseases that have seen limited penetration of precision medicine, which we define as medications that treat the underlying molecular mechanism of a disease, and where we believe there is significant opportunity for gene therapy to play a role as a key therapeutic option. We believe the specific indications we are initially targeting, FA cardiomyopathy, PKP2-ACM and APOE4-associated Alzheimer’s disease, are highly amenable to gene therapy, where administration of a single dose has the potential to either restore loss-of-function or minimize gain-of-function mutations by treating the underlying genetic cause of the disease. Although few precision medicines are currently approved for the treatment of cardiovascular conditions or Alzheimer’s disease, recent approvals by the FDA suggest a willingness to approve new precision medicines based on biomarkers and functional endpoints. Together with improved diagnostics and increased testing, these developments may offer one of the most substantial opportunities for the uptake of precision medicines in the global pharmaceutical marketplace.</w:t>
      </w:r>
    </w:p>
    <w:p>
      <w:pPr>
        <w:spacing w:after="0" w:line="192" w:lineRule="exact"/>
        <w:rPr>
          <w:sz w:val="20"/>
          <w:szCs w:val="20"/>
          <w:color w:val="auto"/>
        </w:rPr>
      </w:pPr>
    </w:p>
    <w:p>
      <w:pPr>
        <w:ind w:left="300" w:right="200" w:firstLine="426"/>
        <w:spacing w:after="0" w:line="281" w:lineRule="auto"/>
        <w:rPr>
          <w:sz w:val="20"/>
          <w:szCs w:val="20"/>
          <w:color w:val="auto"/>
        </w:rPr>
      </w:pPr>
      <w:r>
        <w:rPr>
          <w:rFonts w:ascii="Times New Roman" w:cs="Times New Roman" w:eastAsia="Times New Roman" w:hAnsi="Times New Roman"/>
          <w:sz w:val="17"/>
          <w:szCs w:val="17"/>
          <w:color w:val="auto"/>
        </w:rPr>
        <w:t>Each of our gene therapy candidates utilizes the vector construct, dose and route of administration that we believe will result in the most favorable biodistribution and safety profile for our product candidate for each disease. Our most advanced cardiovascular and APOE4-associated Alzheimer’s disease programs use the AAVrh10 vector due to its high transduction efficiency in both myocardial cells and neurons, potential for lower toxicity given the opportunity to utilize lower doses compared to other well-established AAV serotypes, and low pre-existing immunity.</w:t>
      </w:r>
    </w:p>
    <w:p>
      <w:pPr>
        <w:spacing w:after="0" w:line="164"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By specifically tailoring our technological approach to each targeted disease, we believe we can optimize our programs to achieve the highest likelihood of having therapeutic impact. We target genetically defined indications in specific sub-groups of patients that offer the potential to demonstrate therapeutic impact through improvement in functional endpoints or biomarkers, have high unmet need and large market opportunities, have established proof-of-concept in relevant preclinical models, and have organized patient advocacy groups and identifiable patient populations. In addition to targeting cardiovascular diseases and APOE4-associated Alzheimer’s disease that we believe can be addressed by our current approach utilizing AAVrh10, we have ongoing discovery efforts to identify next-generation vector technologies with the best potential therapeutic profile. Finally, we continuously seek to bolster our pipeline through relationships with academic institutions, providing us access to cutting edge genetic medicines research which will include not only AAV gene therapy but also other potential therapeutic payload types and non-viral delivery systems. In August 2023, we announced a strategic investment from Sarepta Therapeutics, Inc. to explore collaboration opportunities within our preclinical cardiovascular pipeline.</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121"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In February 2017, we were formed as a Delaware limited liability company under the name LEXEO Therapeutics, LLC. In November 2020, we converted into a Delaware corporation and were renamed Lexeo Therapeutics, Inc. Our principal executive offices are located at 345 Park Avenue South, Floor 6, New York, New York 10010, and our telephone number is (212) 547-9879. Our website address is www.lexeotx.com. The information contained on, or accessible through, our website is not incorporated by reference in this prospectus. Our Annual Report on Form 10-K, Quarterly Reports on Form 10-Q, Current Reports on Form 8-K and amendments to reports filed pursuant to Sections 13(a) and 15(d) of the Securities Exchange Act of 1934, as amended, or the Exchange Act, are filed with the SEC. Such reports and other information filed by us with the SEC are available free of charge on our website at ir.lexeotx.com when such reports are available on the SEC’s website. The SEC maintains an internet site that contains reports, proxy and information statements and other information regarding issuers that file electronically with the SEC at www.sec.gov. The information contained on</w:t>
      </w: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680"/>
        <w:spacing w:after="0" w:line="282" w:lineRule="auto"/>
        <w:rPr>
          <w:sz w:val="20"/>
          <w:szCs w:val="20"/>
          <w:color w:val="auto"/>
        </w:rPr>
      </w:pPr>
      <w:r>
        <w:rPr>
          <w:rFonts w:ascii="Times New Roman" w:cs="Times New Roman" w:eastAsia="Times New Roman" w:hAnsi="Times New Roman"/>
          <w:sz w:val="18"/>
          <w:szCs w:val="18"/>
          <w:color w:val="auto"/>
        </w:rPr>
        <w:t>the websites referenced in this prospectus and in the documents that are incorporated by reference in this prospectus is not incorporated by reference in this filing. Further, our references to website URLs are intended to be inactive textual references only.</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IPO and PIPE Financing</w:t>
      </w:r>
    </w:p>
    <w:p>
      <w:pPr>
        <w:spacing w:after="0" w:line="121" w:lineRule="exact"/>
        <w:rPr>
          <w:sz w:val="20"/>
          <w:szCs w:val="20"/>
          <w:color w:val="auto"/>
        </w:rPr>
      </w:pPr>
    </w:p>
    <w:p>
      <w:pPr>
        <w:ind w:left="300" w:right="260" w:firstLine="426"/>
        <w:spacing w:after="0" w:line="276" w:lineRule="auto"/>
        <w:rPr>
          <w:sz w:val="20"/>
          <w:szCs w:val="20"/>
          <w:color w:val="auto"/>
        </w:rPr>
      </w:pPr>
      <w:r>
        <w:rPr>
          <w:rFonts w:ascii="Times New Roman" w:cs="Times New Roman" w:eastAsia="Times New Roman" w:hAnsi="Times New Roman"/>
          <w:sz w:val="17"/>
          <w:szCs w:val="17"/>
          <w:color w:val="auto"/>
        </w:rPr>
        <w:t>On November 7, 2023, we completed our initial public offering, or IPO, pursuant to which we issued and sold 9,090,910 shares of our common stock. Subsequently, we issued and sold 1,048,746 additional shares in connection with the partial exercise by the underwriters of their</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30-day option to purchase additional shares of Common Stock at a public offering price of $11.00 per share. The total gross proceeds from the IPO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the subsequent partial exercise of the underwriters’ 30-day option to purchase additional shares of Common Stock were approximately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$111.5 million and the total net proceeds were approximately $100.3 million, after deducting underwriting discounts and commissions and other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offering expenses.</w:t>
      </w:r>
    </w:p>
    <w:p>
      <w:pPr>
        <w:spacing w:after="0" w:line="207" w:lineRule="exact"/>
        <w:rPr>
          <w:sz w:val="20"/>
          <w:szCs w:val="20"/>
          <w:color w:val="auto"/>
        </w:rPr>
      </w:pPr>
    </w:p>
    <w:p>
      <w:pPr>
        <w:jc w:val="both"/>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In addition, on March 13, 2024, we issued and sold 6,278,905 shares of our common stock in a private placement, or the Private Placement, at a price per share of $15.13. The gross proceeds from the Private Placement were approximately $95.0 million, and the total net proceeds were approximately $88.8 million, after deducting commissions and offering expenses.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may offer or sell common stock, preferred stock, debt securities, warrants, subscription rights, purchase contracts and units in one or more offerings and in any combination for an aggregate offering amount of up to $300,000,000.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80" w:lineRule="exact"/>
        <w:rPr>
          <w:sz w:val="20"/>
          <w:szCs w:val="20"/>
          <w:color w:val="auto"/>
        </w:rPr>
      </w:pPr>
    </w:p>
    <w:p>
      <w:pPr>
        <w:ind w:left="300" w:firstLine="426"/>
        <w:spacing w:after="0" w:line="289" w:lineRule="auto"/>
        <w:rPr>
          <w:sz w:val="20"/>
          <w:szCs w:val="20"/>
          <w:color w:val="auto"/>
        </w:rPr>
      </w:pPr>
      <w:r>
        <w:rPr>
          <w:rFonts w:ascii="Times New Roman" w:cs="Times New Roman" w:eastAsia="Times New Roman" w:hAnsi="Times New Roman"/>
          <w:sz w:val="17"/>
          <w:szCs w:val="17"/>
          <w:color w:val="auto"/>
        </w:rPr>
        <w:t>The securities may be sold to or through underwriters, dealers or agents or directly to purchasers or as otherwise set forth in the section of this prospectus titled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may offer shares of our common stock, par value $0.0001 per share, either alone or underlying other registered securities convertible into our common stock. Holders of our common stock are entitled to receive dividends, if any, as may be declared from time to time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300" w:right="140" w:firstLine="426"/>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19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21" w:lineRule="exact"/>
        <w:rPr>
          <w:sz w:val="20"/>
          <w:szCs w:val="20"/>
          <w:color w:val="auto"/>
        </w:rPr>
      </w:pPr>
    </w:p>
    <w:p>
      <w:pPr>
        <w:ind w:left="300" w:right="220" w:firstLine="426"/>
        <w:spacing w:after="0" w:line="277" w:lineRule="auto"/>
        <w:rPr>
          <w:sz w:val="20"/>
          <w:szCs w:val="20"/>
          <w:color w:val="auto"/>
        </w:rPr>
      </w:pPr>
      <w:r>
        <w:rPr>
          <w:rFonts w:ascii="Times New Roman" w:cs="Times New Roman" w:eastAsia="Times New Roman" w:hAnsi="Times New Roman"/>
          <w:sz w:val="17"/>
          <w:szCs w:val="17"/>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any subordinated debt. We may issue debt securities that are convertible into shares of our common stock or other securities.</w:t>
      </w:r>
    </w:p>
    <w:p>
      <w:pPr>
        <w:spacing w:after="0" w:line="168" w:lineRule="exact"/>
        <w:rPr>
          <w:sz w:val="20"/>
          <w:szCs w:val="20"/>
          <w:color w:val="auto"/>
        </w:rPr>
      </w:pPr>
    </w:p>
    <w:p>
      <w:pPr>
        <w:jc w:val="both"/>
        <w:ind w:left="300" w:right="260" w:firstLine="426"/>
        <w:spacing w:after="0" w:line="289"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common stock, preferred stock or debt securities. We may offer warrants independently or together with other securities.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Subscription Rights</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may offer subscription rights to purchase our common stock, preferred stock, debt securities,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Purchase Contracts</w:t>
      </w:r>
    </w:p>
    <w:p>
      <w:pPr>
        <w:spacing w:after="0" w:line="121"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We may offer purchase contracts, including contracts obligating holders or us to purchase from the other a specific or variable number of securities at a future date or dates.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21"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or the JOBS Act. For so long as we remain an emerging growth company, we may take advantage of relief from certain reporting requirements and other burdens that are otherwise applicable generally to public companies. These provisions include:</w:t>
      </w:r>
    </w:p>
    <w:p>
      <w:pPr>
        <w:spacing w:after="0" w:line="81" w:lineRule="exact"/>
        <w:rPr>
          <w:sz w:val="20"/>
          <w:szCs w:val="20"/>
          <w:color w:val="auto"/>
        </w:rPr>
      </w:pPr>
    </w:p>
    <w:p>
      <w:pPr>
        <w:ind w:left="1240" w:right="160" w:hanging="415"/>
        <w:spacing w:after="0" w:line="266"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obligations with respect to financial data, including only being required to present two years of audited financial statements, in addition to any required unaudited interim financial statements with correspondingly reduced “Management’s Discussion and Analysis of Financial Condition and Results of Operations” disclosure;</w:t>
      </w:r>
    </w:p>
    <w:p>
      <w:pPr>
        <w:spacing w:after="0" w:line="81" w:lineRule="exact"/>
        <w:rPr>
          <w:rFonts w:ascii="Times New Roman" w:cs="Times New Roman" w:eastAsia="Times New Roman" w:hAnsi="Times New Roman"/>
          <w:sz w:val="18"/>
          <w:szCs w:val="18"/>
          <w:color w:val="auto"/>
        </w:rPr>
      </w:pPr>
    </w:p>
    <w:p>
      <w:pPr>
        <w:ind w:left="1240" w:right="70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64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4648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7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67" w:lineRule="exact"/>
        <w:rPr>
          <w:rFonts w:ascii="Times New Roman" w:cs="Times New Roman" w:eastAsia="Times New Roman" w:hAnsi="Times New Roman"/>
          <w:sz w:val="18"/>
          <w:szCs w:val="18"/>
          <w:color w:val="auto"/>
        </w:rPr>
      </w:pPr>
    </w:p>
    <w:p>
      <w:pPr>
        <w:ind w:left="1240" w:right="94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spacing w:after="0" w:line="67" w:lineRule="exact"/>
        <w:rPr>
          <w:rFonts w:ascii="Times New Roman" w:cs="Times New Roman" w:eastAsia="Times New Roman" w:hAnsi="Times New Roman"/>
          <w:sz w:val="18"/>
          <w:szCs w:val="18"/>
          <w:color w:val="auto"/>
        </w:rPr>
      </w:pPr>
    </w:p>
    <w:p>
      <w:pPr>
        <w:ind w:left="1240" w:right="10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62"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may take advantage of these provisions until we no longer qualify as an emerging growth company. We will cease to qualify as an emerging growth company on the date that is the earliest of: (i) December 31, 2028, (ii) the last day of the fiscal year in which we have more than $1.235 billion in total annual gross revenues, (iii) the date on which we are deemed to be a “large accelerated filer” under the rules of the U.S. Securities and Exchange Commission, which means the market value of our Common Stock that is held by non-affiliates exceeds $700.0 million as of the prior June 30, or (iv) the date on which we have issued more than $1.0 billion of non-convertible debt over the prior three-year period. We may choose to take advantage of some but not all of these reduced reporting burdens.</w:t>
      </w:r>
    </w:p>
    <w:p>
      <w:pPr>
        <w:spacing w:after="0" w:line="187" w:lineRule="exact"/>
        <w:rPr>
          <w:sz w:val="20"/>
          <w:szCs w:val="20"/>
          <w:color w:val="auto"/>
        </w:rPr>
      </w:pPr>
    </w:p>
    <w:p>
      <w:pPr>
        <w:ind w:left="300" w:right="460" w:firstLine="426"/>
        <w:spacing w:after="0" w:line="266" w:lineRule="auto"/>
        <w:rPr>
          <w:sz w:val="20"/>
          <w:szCs w:val="20"/>
          <w:color w:val="auto"/>
        </w:rPr>
      </w:pPr>
      <w:r>
        <w:rPr>
          <w:rFonts w:ascii="Times New Roman" w:cs="Times New Roman" w:eastAsia="Times New Roman" w:hAnsi="Times New Roman"/>
          <w:sz w:val="18"/>
          <w:szCs w:val="18"/>
          <w:color w:val="auto"/>
        </w:rPr>
        <w:t>We have taken advantage of certain reduced reporting requirements in the documents incorporated by reference into this prospectus. Accordingly, the information contained herein may be different than you might obtain from other public companies in which you hold equity interests.</w:t>
      </w:r>
    </w:p>
    <w:p>
      <w:pPr>
        <w:spacing w:after="0" w:line="176" w:lineRule="exact"/>
        <w:rPr>
          <w:sz w:val="20"/>
          <w:szCs w:val="20"/>
          <w:color w:val="auto"/>
        </w:rPr>
      </w:pPr>
    </w:p>
    <w:p>
      <w:pPr>
        <w:ind w:left="300" w:right="240" w:firstLine="426"/>
        <w:spacing w:after="0" w:line="254"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may be different than the information you may receive from other public companies in which you hold equity interests. In addition, it is possible that some investors will find our Common Stock less attractive as a result of these elections, which may result in a less active trading market for our Common Stock and higher volatility in our share price.</w:t>
      </w:r>
    </w:p>
    <w:p>
      <w:pPr>
        <w:spacing w:after="0" w:line="188"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shares held by non-affiliates plus the proposed aggregate amount of gross proceeds to us as a result of this offering is less than $700.0 million and our annual revenue was less than $100.0 million during the most recently completed fiscal year. We may continue to be a smaller reporting company after this offering if either (i) the market value of our shares held by non-affiliates is less than $250.0 million or (ii) our annual revenue was less than $100.0 million during the most recently completed fiscal year and the market value of our shares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titled “Risk Factors,” together with all of the other information contained or incorporated by reference in the prospectus supplement or appearing or incorporated by reference in this prospectus. You should also consider the risks, uncertainties and assumptions discussed under “</w:t>
      </w:r>
      <w:r>
        <w:rPr>
          <w:rFonts w:ascii="Times New Roman" w:cs="Times New Roman" w:eastAsia="Times New Roman" w:hAnsi="Times New Roman"/>
          <w:sz w:val="18"/>
          <w:szCs w:val="18"/>
          <w:i w:val="1"/>
          <w:iCs w:val="1"/>
          <w:color w:val="auto"/>
        </w:rPr>
        <w:t>Part I—Item 1A—Risk Factors</w:t>
      </w:r>
      <w:r>
        <w:rPr>
          <w:rFonts w:ascii="Times New Roman" w:cs="Times New Roman" w:eastAsia="Times New Roman" w:hAnsi="Times New Roman"/>
          <w:sz w:val="18"/>
          <w:szCs w:val="18"/>
          <w:color w:val="auto"/>
        </w:rPr>
        <w:t>” of our most recent Annual Report on Form 10-K and in “</w:t>
      </w:r>
      <w:r>
        <w:rPr>
          <w:rFonts w:ascii="Times New Roman" w:cs="Times New Roman" w:eastAsia="Times New Roman" w:hAnsi="Times New Roman"/>
          <w:sz w:val="18"/>
          <w:szCs w:val="18"/>
          <w:i w:val="1"/>
          <w:iCs w:val="1"/>
          <w:color w:val="auto"/>
        </w:rPr>
        <w:t>Part II—Item 1A—Risk Factors</w:t>
      </w:r>
      <w:r>
        <w:rPr>
          <w:rFonts w:ascii="Times New Roman" w:cs="Times New Roman" w:eastAsia="Times New Roman" w:hAnsi="Times New Roman"/>
          <w:sz w:val="18"/>
          <w:szCs w:val="18"/>
          <w:color w:val="auto"/>
        </w:rPr>
        <w:t>” in our most recent Quarterly Report on Form 10-Q filed subsequent to such Form 10-K or Current Reports on Form 8-K we file after the date of this prospectus,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Please also carefully read the sections 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and Section 21E of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and include statements regarding the intent, belief or current expectations of our management that are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9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our intended use for the net proceeds received from the sale of any securities. We will retain broad discretion over the use of the net proceeds to us from the sale of our securities under this prospectus. Pending our use of the net proceeds from the sale of our securities, we intend to invest the net proceeds in bank deposits, money market funds, treasury obligations, and investment-grade securities.</w:t>
      </w:r>
    </w:p>
    <w:p>
      <w:pPr>
        <w:spacing w:after="0" w:line="1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320" w:top="455" w:right="6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our securities is incorporated by reference to Exhibit 4.3 to our Annual Report on Form 10-K for the year ended December 31, 2023, filed with the SEC on March 11, 2024.</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320" w:top="455" w:right="5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identified in an accompanying prospectus supplement. We have summarized material provisions of the debt securities and select portions of the indenture below. The indenture will be qualified under the Trust Indenture Act of 1939, as amended, or the Trust Indenture Act. The summary is not complete. The form of the indenture has been filed as an exhibit to the registration statement of which this prospectus forms a part and you should read the indenture for provisions that may be important to you. Supplemental indentures, if applicable, and forms of debt securities containing the terms of the debt securities being offered will be filed as exhibits to the registration statement of which this prospectus is a part or will be incorporated by reference from reports that we file with the SEC, as applicable. Capitalized terms used in the summary and not defined herein have the meanings specified in the indenture. Unless the context requires otherwise, whenever we refer to an indenture, we are also referring to any supplemental indentures or forms of debt securities that specify the terms of a particular series of debt securities.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terms of the debt securities, including, if applicable:</w:t>
      </w:r>
    </w:p>
    <w:p>
      <w:pPr>
        <w:spacing w:after="0" w:line="8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 which may be sold at a discount below their stated principal amount;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7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repurchase the debt securities pursuant to any sinking fund or analogous provisions or at the option of a holder of debt securities and the period or periods within which, the price or prices at which and the terms and conditions upon which securities of the series shall be repurchased,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20" w:hanging="424"/>
        <w:spacing w:after="0" w:line="281"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relating to conversion or exchange of any debt securities of the series into our common stock or other securities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69"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 and, if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or premium or interest, if any,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or Events of Default described in this prospectus or in the indenture with respect to the debt securities and any change in the acceleration provisions described in this prospectus or in the indenture with respect to the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more than one trustee or a different trustee, the identity of the trustee and, if not the trustee, the identity of each security registrar, paying agent or authenticating agent with respect to such debt securities;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in the section 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Global Debt Securities and Book-Entry System</w:t>
      </w:r>
      <w:r>
        <w:rPr>
          <w:rFonts w:ascii="Times New Roman" w:cs="Times New Roman" w:eastAsia="Times New Roman" w:hAnsi="Times New Roman"/>
          <w:sz w:val="18"/>
          <w:szCs w:val="18"/>
          <w:color w:val="auto"/>
        </w:rPr>
        <w:t>,” below, book-entry debt securities will not be issuable in certificated form.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or series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provide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67" w:lineRule="exact"/>
        <w:rPr>
          <w:sz w:val="20"/>
          <w:szCs w:val="20"/>
          <w:color w:val="auto"/>
        </w:rPr>
      </w:pPr>
    </w:p>
    <w:p>
      <w:pPr>
        <w:ind w:left="1080" w:right="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(as defined below), shall have occurred and be continuing.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(except an Event of Default resulting from certain events of bankruptcy, insolvency, or reorganization as described below),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28" w:lineRule="exact"/>
        <w:rPr>
          <w:rFonts w:ascii="Times New Roman" w:cs="Times New Roman" w:eastAsia="Times New Roman" w:hAnsi="Times New Roman"/>
          <w:sz w:val="18"/>
          <w:szCs w:val="18"/>
          <w:color w:val="auto"/>
        </w:rPr>
      </w:pPr>
    </w:p>
    <w:p>
      <w:pPr>
        <w:jc w:val="center"/>
        <w:ind w:left="5540" w:right="1200" w:hanging="4884"/>
        <w:spacing w:after="0" w:line="456" w:lineRule="auto"/>
        <w:tabs>
          <w:tab w:leader="none" w:pos="10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w:t>
      </w:r>
      <w:r>
        <w:rPr>
          <w:rFonts w:ascii="Times New Roman" w:cs="Times New Roman" w:eastAsia="Times New Roman" w:hAnsi="Times New Roman"/>
          <w:sz w:val="18"/>
          <w:szCs w:val="18"/>
          <w:i w:val="1"/>
          <w:iCs w:val="1"/>
          <w:color w:val="auto"/>
        </w:rPr>
        <w:t>Consolidation, Merger and Sale of Assets</w:t>
      </w:r>
      <w:r>
        <w:rPr>
          <w:rFonts w:ascii="Times New Roman" w:cs="Times New Roman" w:eastAsia="Times New Roman" w:hAnsi="Times New Roman"/>
          <w:sz w:val="18"/>
          <w:szCs w:val="18"/>
          <w:color w:val="auto"/>
        </w:rPr>
        <w:t>”; 14</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majority in principal amount of the outstanding debt securities of any series may rescind an acceleration and its consequences, including any related payment default that resulted from the acceleration.</w:t>
      </w:r>
    </w:p>
    <w:p>
      <w:pPr>
        <w:spacing w:after="0" w:line="266" w:lineRule="exact"/>
        <w:rPr>
          <w:sz w:val="20"/>
          <w:szCs w:val="20"/>
          <w:color w:val="auto"/>
        </w:rPr>
      </w:pPr>
    </w:p>
    <w:p>
      <w:pPr>
        <w:ind w:left="120" w:right="49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Defeasance of Debt Securities and Certain Covenants in Certain Circumstances </w:t>
      </w:r>
      <w:r>
        <w:rPr>
          <w:rFonts w:ascii="Times New Roman" w:cs="Times New Roman" w:eastAsia="Times New Roman" w:hAnsi="Times New Roman"/>
          <w:sz w:val="18"/>
          <w:szCs w:val="18"/>
          <w:b w:val="1"/>
          <w:bCs w:val="1"/>
          <w:i w:val="1"/>
          <w:iCs w:val="1"/>
          <w:color w:val="auto"/>
        </w:rPr>
        <w:t>Legal Defeasance</w:t>
      </w: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United States government obligations or, in the case of debt securities denominated in a single currency other than United States dollars, government obligations of the government that issued or caused to be issued such currency, that, through the payment of interest and principal in accordance with their terms, will provide money or United States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9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Certain Covenants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65" w:lineRule="exact"/>
        <w:rPr>
          <w:sz w:val="20"/>
          <w:szCs w:val="20"/>
          <w:color w:val="auto"/>
        </w:rPr>
      </w:pPr>
    </w:p>
    <w:p>
      <w:pPr>
        <w:ind w:left="1080" w:right="200" w:hanging="424"/>
        <w:spacing w:after="0" w:line="267"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w:t>
      </w:r>
      <w:r>
        <w:rPr>
          <w:rFonts w:ascii="Times New Roman" w:cs="Times New Roman" w:eastAsia="Times New Roman" w:hAnsi="Times New Roman"/>
          <w:sz w:val="18"/>
          <w:szCs w:val="18"/>
          <w:i w:val="1"/>
          <w:iCs w:val="1"/>
          <w:color w:val="auto"/>
        </w:rPr>
        <w:t>Consolidation, Merger and Sale of Assets</w:t>
      </w:r>
      <w:r>
        <w:rPr>
          <w:rFonts w:ascii="Times New Roman" w:cs="Times New Roman" w:eastAsia="Times New Roman" w:hAnsi="Times New Roman"/>
          <w:sz w:val="18"/>
          <w:szCs w:val="18"/>
          <w:color w:val="auto"/>
        </w:rPr>
        <w:t>” and certain other covenants set forth in the indenture, as well as any additional covenants which may be set forth in the applicable prospectus supplement; and</w:t>
      </w:r>
    </w:p>
    <w:p>
      <w:pPr>
        <w:spacing w:after="0" w:line="8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refer to this as covenant defeasance. The conditions include:</w:t>
      </w:r>
    </w:p>
    <w:p>
      <w:pPr>
        <w:spacing w:after="0" w:line="131" w:lineRule="exact"/>
        <w:rPr>
          <w:sz w:val="20"/>
          <w:szCs w:val="20"/>
          <w:color w:val="auto"/>
        </w:rPr>
      </w:pPr>
    </w:p>
    <w:p>
      <w:pPr>
        <w:ind w:left="1080" w:hanging="424"/>
        <w:spacing w:after="0" w:line="25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United States. government obligations or, in the case of debt securities denominated in a single currency other than United States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92"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may offer warrants to purchase debt securities, preferred stock or common stock. We may offer warrants separately or together with one or more additional warrants, debt securities, preferred stock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9"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or common stock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or the number of shares of common stock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60"/>
          </w:cols>
          <w:pgMar w:left="320" w:top="455"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offer subscription rights to purchase our common stock, preferred stock, debt securities,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debt securities, warrants or units consisting of some or all of these securities upon the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debt securities, warrants or units consisting of some or all of these securities which may be purchased per each subscription right;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titled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More Information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offer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we offer any purchase contracts, certain terms of that series of purchase contracts will be described in the applicable prospectus supplement, including, without limitation, the following:</w:t>
      </w:r>
    </w:p>
    <w:p>
      <w:pPr>
        <w:spacing w:after="0" w:line="67" w:lineRule="exact"/>
        <w:rPr>
          <w:sz w:val="20"/>
          <w:szCs w:val="20"/>
          <w:color w:val="auto"/>
        </w:rPr>
      </w:pPr>
    </w:p>
    <w:p>
      <w:pPr>
        <w:ind w:left="1080" w:right="1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securities or other property subject to the purchase contracts (which may be determined by reference to a specific formula described in the purchase contracts);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for us to make periodic payments to holders or vice versa, and whether the payments are unsecured or pre-funded;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purchase contracts;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 or not;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applicable to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purchase contracts and any securities subject to such purchase contracts.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may offer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67" w:lineRule="exact"/>
        <w:rPr>
          <w:sz w:val="20"/>
          <w:szCs w:val="20"/>
          <w:color w:val="auto"/>
        </w:rPr>
      </w:pPr>
    </w:p>
    <w:p>
      <w:pPr>
        <w:ind w:left="1080" w:right="4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sell our securities from time to time in one or more transactions. We may sell securities to or through underwriters, dealers, agents, remarketing firms or other third parties to directly to one or more purchasers or through a combination of any of these methods. We may issue the securities as a dividend or distribution or in a subscription rights offering to our existing securityholders, if legally permitted. In some cases, we or dealers acting with us or on behalf of us may also purchase our securities and reoffer them to the public. We may also offer and sell, or agree to deliver, our securities pursuant to, or in connection with, any option agreement or other contractual arrangement.</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of the Securities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securityholders, we may enter into a standby underwriting agreement with dealers, acting as standby underwriters. We may pay the standby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940"/>
        <w:spacing w:after="0" w:line="282" w:lineRule="auto"/>
        <w:rPr>
          <w:sz w:val="20"/>
          <w:szCs w:val="20"/>
          <w:color w:val="auto"/>
        </w:rPr>
      </w:pPr>
      <w:r>
        <w:rPr>
          <w:rFonts w:ascii="Times New Roman" w:cs="Times New Roman" w:eastAsia="Times New Roman" w:hAnsi="Times New Roman"/>
          <w:sz w:val="18"/>
          <w:szCs w:val="18"/>
          <w:color w:val="auto"/>
        </w:rPr>
        <w:t>underwriters a commitment fee for the securities they commit to purchase on a standby basis. If we do not enter into a standby underwriting arrangement, we may retain a dealer-manager to manage a subscription rights offering for us.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62" w:lineRule="exact"/>
        <w:rPr>
          <w:sz w:val="20"/>
          <w:szCs w:val="20"/>
          <w:color w:val="auto"/>
        </w:rPr>
      </w:pPr>
    </w:p>
    <w:p>
      <w:pPr>
        <w:ind w:left="120" w:right="240" w:firstLine="440"/>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8" w:lineRule="exact"/>
        <w:rPr>
          <w:sz w:val="20"/>
          <w:szCs w:val="20"/>
          <w:color w:val="auto"/>
        </w:rPr>
      </w:pPr>
    </w:p>
    <w:p>
      <w:pPr>
        <w:ind w:left="1080" w:right="1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and other persons acting as agents will not have any responsibility in respect of the validity or performance of delayed delivery contracts.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Wilson Sonsini Goodrich &amp; Rosati, Professional Corporation, New York, New York. Additional legal matters may be passed on for us, or any underwriters, dealers or agents by counsel we will name in the applicable prospectus supplement.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Lexeo Therapeutics, Inc. as of December 31, 2023 and 2022, and for the years then ended have been incorporated by reference herein in reliance upon the report of KPMG LLP, independent registered public accounting firm, upon the authority of said firm as experts in accounting and auditing.</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website at www.sec.gov that contains reports, proxy and information statements and other information about issuers, like us, that file electronically with the SEC. We also maintain a website at www.lexeotx.com. We make available, free of charge, on our investor relations website at ir.lexeotx.com, our Annual Reports on Form 10-K, Quarterly Reports on Form 10-Q, Current Reports on Form 8-K and amendments to these reports as soon as reasonably practicable after electronically filing or furnishing those reports to the SEC. Information contained on our website is not a part of or incorporated by reference in this prospectus and the inclusion of our website and investor relations website addresses in this prospectus is an inactive textual reference only.</w:t>
      </w:r>
    </w:p>
    <w:p>
      <w:pPr>
        <w:spacing w:after="0" w:line="189"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3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We incorporate by reference into this prospectus and the registration statement of which this prospectus is a part the information or documents listed below that we have filed with the SEC (File No. 001-41855):</w:t>
      </w:r>
    </w:p>
    <w:p>
      <w:pPr>
        <w:spacing w:after="0" w:line="85"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March 11, 2024;</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55">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26, 2024 (excluding those portions that are not incorporated by reference into our Annual Report on Form 10-K for the fiscal year ended December 31, 2023);</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2024, June 30, 2024 and September 30, 2024, filed with the SEC on </w:t>
      </w:r>
      <w:hyperlink r:id="rId56">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7">
        <w:r>
          <w:rPr>
            <w:rFonts w:ascii="Times New Roman" w:cs="Times New Roman" w:eastAsia="Times New Roman" w:hAnsi="Times New Roman"/>
            <w:sz w:val="18"/>
            <w:szCs w:val="18"/>
            <w:u w:val="single" w:color="auto"/>
            <w:color w:val="0000EE"/>
          </w:rPr>
          <w:t xml:space="preserve">August 12,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8">
        <w:r>
          <w:rPr>
            <w:rFonts w:ascii="Times New Roman" w:cs="Times New Roman" w:eastAsia="Times New Roman" w:hAnsi="Times New Roman"/>
            <w:sz w:val="18"/>
            <w:szCs w:val="18"/>
            <w:u w:val="single" w:color="auto"/>
            <w:color w:val="0000EE"/>
          </w:rPr>
          <w:t>November 13,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 and</w:t>
      </w:r>
    </w:p>
    <w:p>
      <w:pPr>
        <w:spacing w:after="0" w:line="94"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66" w:lineRule="auto"/>
        <w:tabs>
          <w:tab w:leader="none" w:pos="1080" w:val="left"/>
        </w:tabs>
        <w:numPr>
          <w:ilvl w:val="0"/>
          <w:numId w:val="2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60">
        <w:r>
          <w:rPr>
            <w:rFonts w:ascii="Times New Roman" w:cs="Times New Roman" w:eastAsia="Times New Roman" w:hAnsi="Times New Roman"/>
            <w:sz w:val="18"/>
            <w:szCs w:val="18"/>
            <w:u w:val="single" w:color="auto"/>
            <w:color w:val="0000EE"/>
          </w:rPr>
          <w:t>March 11, 2024</w:t>
        </w:r>
      </w:hyperlink>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u w:val="single" w:color="auto"/>
            <w:color w:val="0000EE"/>
          </w:rPr>
          <w:t>April 16, 2024</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April 22, 2024</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April 22, 2024</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June 28, 2024</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July 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6">
        <w:r>
          <w:rPr>
            <w:rFonts w:ascii="Times New Roman" w:cs="Times New Roman" w:eastAsia="Times New Roman" w:hAnsi="Times New Roman"/>
            <w:sz w:val="18"/>
            <w:szCs w:val="18"/>
            <w:u w:val="single" w:color="auto"/>
            <w:color w:val="0000EE"/>
          </w:rPr>
          <w:t>July 15,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7">
        <w:r>
          <w:rPr>
            <w:rFonts w:ascii="Times New Roman" w:cs="Times New Roman" w:eastAsia="Times New Roman" w:hAnsi="Times New Roman"/>
            <w:sz w:val="18"/>
            <w:szCs w:val="18"/>
            <w:u w:val="single" w:color="auto"/>
            <w:color w:val="0000EE"/>
          </w:rPr>
          <w:t>October 9,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8">
        <w:r>
          <w:rPr>
            <w:rFonts w:ascii="Times New Roman" w:cs="Times New Roman" w:eastAsia="Times New Roman" w:hAnsi="Times New Roman"/>
            <w:sz w:val="18"/>
            <w:szCs w:val="18"/>
            <w:u w:val="single" w:color="auto"/>
            <w:color w:val="0000EE"/>
          </w:rPr>
          <w:t xml:space="preserve">October 30,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9">
        <w:r>
          <w:rPr>
            <w:rFonts w:ascii="Times New Roman" w:cs="Times New Roman" w:eastAsia="Times New Roman" w:hAnsi="Times New Roman"/>
            <w:sz w:val="18"/>
            <w:szCs w:val="18"/>
            <w:u w:val="single" w:color="auto"/>
            <w:color w:val="0000EE"/>
          </w:rPr>
          <w:t>November 13,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to the extent the information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included in such reports is filed and not furnished.</w:t>
      </w:r>
    </w:p>
    <w:p>
      <w:pPr>
        <w:spacing w:after="0" w:line="176" w:lineRule="exact"/>
        <w:rPr>
          <w:rFonts w:ascii="Times New Roman" w:cs="Times New Roman" w:eastAsia="Times New Roman" w:hAnsi="Times New Roman"/>
          <w:sz w:val="18"/>
          <w:szCs w:val="18"/>
          <w:color w:val="0000EE"/>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after the date of the initial registration statement of which this prospectus is a part and prior to the effectiveness of such registration statement and all documents that are filed by us with the SEC pursuant to Sections 13(a), 13(c), 14 or 15(d) of the Exchange Act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87" w:lineRule="exact"/>
        <w:rPr>
          <w:rFonts w:ascii="Times New Roman" w:cs="Times New Roman" w:eastAsia="Times New Roman" w:hAnsi="Times New Roman"/>
          <w:sz w:val="18"/>
          <w:szCs w:val="18"/>
          <w:color w:val="0000EE"/>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 this prospectus.</w:t>
      </w:r>
    </w:p>
    <w:p>
      <w:pPr>
        <w:spacing w:after="0" w:line="162" w:lineRule="exact"/>
        <w:rPr>
          <w:rFonts w:ascii="Times New Roman" w:cs="Times New Roman" w:eastAsia="Times New Roman" w:hAnsi="Times New Roman"/>
          <w:sz w:val="18"/>
          <w:szCs w:val="18"/>
          <w:color w:val="0000EE"/>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the documents incorporated by reference in this prospectus, including exhibits to these documents. You should direct any requests for documents to Lexeo Therapeutics, Inc., Attn: Corporate Secretary, 345 Park Avenue South, Floor 6, New York, New York 10010.</w:t>
      </w:r>
    </w:p>
    <w:p>
      <w:pPr>
        <w:spacing w:after="0" w:line="176" w:lineRule="exact"/>
        <w:rPr>
          <w:rFonts w:ascii="Times New Roman" w:cs="Times New Roman" w:eastAsia="Times New Roman" w:hAnsi="Times New Roman"/>
          <w:sz w:val="18"/>
          <w:szCs w:val="18"/>
          <w:color w:val="0000EE"/>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You also may access these filings on our website at ir.lexeotx.com. We do not incorporate the information on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spacing w:after="0" w:line="180" w:lineRule="exact"/>
        <w:rPr>
          <w:rFonts w:ascii="Times New Roman" w:cs="Times New Roman" w:eastAsia="Times New Roman" w:hAnsi="Times New Roman"/>
          <w:sz w:val="18"/>
          <w:szCs w:val="18"/>
          <w:color w:val="0000EE"/>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351"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5"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652780</wp:posOffset>
            </wp:positionV>
            <wp:extent cx="1251585" cy="4883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1251585" cy="48831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32"/>
          <w:szCs w:val="32"/>
          <w:b w:val="1"/>
          <w:bCs w:val="1"/>
          <w:color w:val="auto"/>
        </w:rPr>
        <w:t>Lexeo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9"/>
          <w:szCs w:val="29"/>
          <w:b w:val="1"/>
          <w:bCs w:val="1"/>
          <w:color w:val="auto"/>
        </w:rPr>
        <w:t>Up to $300,000,000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873125</wp:posOffset>
            </wp:positionV>
            <wp:extent cx="1474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14.</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sectPr>
          <w:pgSz w:w="11900" w:h="16838" w:orient="portrait"/>
          <w:cols w:equalWidth="0" w:num="2">
            <w:col w:w="740" w:space="360"/>
            <w:col w:w="10020"/>
          </w:cols>
          <w:pgMar w:left="320" w:top="455" w:right="459" w:bottom="1440" w:gutter="0" w:footer="0" w:header="0"/>
          <w:type w:val="continuous"/>
        </w:sect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estimated fees and expenses to be paid by us in connection with the issuance and distribution of the securities being registered, other than discounts and commissions to be paid to agents or underwriters. All amounts shown are estimates except for the Securities and Exchange Commission, or the SEC, registration fee and the Financial Industry Regulatory Authority, or FINRA, filing fee.</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65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 be Paid</w:t>
            </w: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$ 45,930.00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45,500.00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listing fee</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Sky, qualification fees and expenses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Trustee’s fees and expenses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Warrant agent fees and expenses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00" w:type="dxa"/>
            <w:vAlign w:val="bottom"/>
            <w:vMerge w:val="continue"/>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620" w:hanging="424"/>
        <w:spacing w:after="0" w:line="266"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pacing w:after="0" w:line="320"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Section 145 of the General Corporation Law of the State of Delaware,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or not opposed to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amended and restated certificate of incorporation of the registrant provides for the indemnification of the registrant’s directors and officers to the fullest extent permitted under the DGCL. In addition, the amended and restated bylaws of the registrant require the registrant expected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7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(i) for any breach of the director’s duty of loyalty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corporation or its stockholders, (ii) for acts or omissions not in good faith or which involve intentional misconduct or a knowing violation of law,</w:t>
      </w:r>
    </w:p>
    <w:p>
      <w:pPr>
        <w:spacing w:after="0" w:line="27" w:lineRule="exact"/>
        <w:rPr>
          <w:sz w:val="20"/>
          <w:szCs w:val="20"/>
          <w:color w:val="auto"/>
        </w:rPr>
      </w:pPr>
    </w:p>
    <w:p>
      <w:pPr>
        <w:ind w:left="120" w:right="160" w:hanging="4"/>
        <w:spacing w:after="0" w:line="253" w:lineRule="auto"/>
        <w:tabs>
          <w:tab w:leader="none" w:pos="4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payments of unlawful dividends or unlawful stock repurchases or redemptions or (iv) for any transaction from which the director derived an improper personal benefit. The registrant’s amended and restated certificate of incorporation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permitted by the DGCL, the registrant has entered, and intends to continue to enter, into separate indemnification agreements with each of the registrant’s directors and certain of the registrant’s officers that require the registrant, among other things, to indemnify them against certain liabilities that may arise by reason of their status as directors, officers or certain other employees.</w:t>
      </w:r>
    </w:p>
    <w:p>
      <w:pPr>
        <w:spacing w:after="0" w:line="176"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64"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These indemnification provisions and the indemnification agreements entered, and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also the undertakings set out in response to Item 17 herein.</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44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220" w:type="dxa"/>
            <w:vAlign w:val="bottom"/>
          </w:tcPr>
          <w:p>
            <w:pPr>
              <w:spacing w:after="0"/>
              <w:rPr>
                <w:sz w:val="24"/>
                <w:szCs w:val="2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92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28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40" w:type="dxa"/>
            <w:vAlign w:val="bottom"/>
          </w:tcPr>
          <w:p>
            <w:pPr>
              <w:spacing w:after="0"/>
              <w:rPr>
                <w:sz w:val="15"/>
                <w:szCs w:val="15"/>
                <w:color w:val="auto"/>
              </w:rPr>
            </w:pPr>
          </w:p>
        </w:tc>
        <w:tc>
          <w:tcPr>
            <w:tcW w:w="280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80" w:type="dxa"/>
            <w:vAlign w:val="bottom"/>
            <w:gridSpan w:val="2"/>
            <w:vMerge w:val="continue"/>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44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1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4440" w:type="dxa"/>
            <w:vAlign w:val="bottom"/>
            <w:gridSpan w:val="5"/>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Amended and Restated Certificate of Incorporation of the</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001-41855</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24"/>
                <w:szCs w:val="24"/>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November 7, 2023</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Registrant (as amended and currently in effect)</w:t>
              </w:r>
            </w:hyperlink>
          </w:p>
        </w:tc>
        <w:tc>
          <w:tcPr>
            <w:tcW w:w="7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44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Amended and Restated Bylaws of the Registrant (as amended</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001-41855</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24"/>
                <w:szCs w:val="24"/>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November 7, 2023</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440" w:type="dxa"/>
            <w:vAlign w:val="bottom"/>
            <w:gridSpan w:val="5"/>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and currently in effect)</w:t>
              </w:r>
            </w:hyperlink>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4440" w:type="dxa"/>
            <w:vAlign w:val="bottom"/>
            <w:gridSpan w:val="5"/>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Specimen Common Stock Certificate</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S-1/A</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333-274777</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20" w:type="dxa"/>
            <w:vAlign w:val="bottom"/>
          </w:tcPr>
          <w:p>
            <w:pPr>
              <w:spacing w:after="0"/>
              <w:rPr>
                <w:sz w:val="24"/>
                <w:szCs w:val="24"/>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October 30, 2023</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20" w:type="dxa"/>
            <w:vAlign w:val="bottom"/>
          </w:tcPr>
          <w:p>
            <w:pPr>
              <w:spacing w:after="0"/>
              <w:rPr>
                <w:sz w:val="24"/>
                <w:szCs w:val="24"/>
                <w:color w:val="auto"/>
              </w:rPr>
            </w:pPr>
          </w:p>
        </w:tc>
        <w:tc>
          <w:tcPr>
            <w:tcW w:w="164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II-2</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36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40" w:type="dxa"/>
            <w:vAlign w:val="bottom"/>
            <w:gridSpan w:val="7"/>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40" w:type="dxa"/>
            <w:vAlign w:val="bottom"/>
            <w:vMerge w:val="restart"/>
          </w:tcPr>
          <w:p>
            <w:pPr>
              <w:spacing w:after="0"/>
              <w:rPr>
                <w:sz w:val="10"/>
                <w:szCs w:val="10"/>
                <w:color w:val="auto"/>
              </w:rPr>
            </w:pPr>
          </w:p>
        </w:tc>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700" w:type="dxa"/>
            <w:vAlign w:val="bottom"/>
          </w:tcPr>
          <w:p>
            <w:pPr>
              <w:spacing w:after="0"/>
              <w:rPr>
                <w:sz w:val="10"/>
                <w:szCs w:val="10"/>
                <w:color w:val="auto"/>
              </w:rPr>
            </w:pPr>
          </w:p>
        </w:tc>
        <w:tc>
          <w:tcPr>
            <w:tcW w:w="9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1200" w:type="dxa"/>
            <w:vAlign w:val="bottom"/>
            <w:gridSpan w:val="2"/>
          </w:tcPr>
          <w:p>
            <w:pPr>
              <w:jc w:val="center"/>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3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7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7"/>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680" w:type="dxa"/>
            <w:vAlign w:val="bottom"/>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Pr>
          <w:p>
            <w:pPr>
              <w:spacing w:after="0"/>
              <w:rPr>
                <w:sz w:val="15"/>
                <w:szCs w:val="15"/>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70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5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Specimen Preferred Stock Certificate</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1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Form of Indenture</w:t>
            </w:r>
          </w:p>
        </w:tc>
        <w:tc>
          <w:tcPr>
            <w:tcW w:w="3680" w:type="dxa"/>
            <w:vAlign w:val="bottom"/>
            <w:gridSpan w:val="8"/>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4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5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Debt Security</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5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Warrant Agreement</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5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Warrant</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5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Subscription Agreement</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4.8*</w:t>
            </w:r>
          </w:p>
        </w:tc>
        <w:tc>
          <w:tcPr>
            <w:tcW w:w="5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Purchase Contract Agreement</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4.9*</w:t>
            </w:r>
          </w:p>
        </w:tc>
        <w:tc>
          <w:tcPr>
            <w:tcW w:w="5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Unit Agreement</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4.10*</w:t>
            </w:r>
          </w:p>
        </w:tc>
        <w:tc>
          <w:tcPr>
            <w:tcW w:w="5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Unit</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43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Opinion of Wilson Sonsini Goodrich &amp; Rosati, Professional</w:t>
            </w:r>
          </w:p>
        </w:tc>
        <w:tc>
          <w:tcPr>
            <w:tcW w:w="6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Corporation</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3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68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3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Consent of Wilson Sonsini Goodrich &amp; Rosati, Professional</w:t>
            </w:r>
          </w:p>
        </w:tc>
        <w:tc>
          <w:tcPr>
            <w:tcW w:w="6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2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Corporation (included in the opinion filed as Exhibit 5.1 to</w:t>
            </w:r>
          </w:p>
        </w:tc>
        <w:tc>
          <w:tcPr>
            <w:tcW w:w="76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this Registration Statement)</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0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to this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1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Registration Statement)</w:t>
            </w:r>
          </w:p>
        </w:tc>
        <w:tc>
          <w:tcPr>
            <w:tcW w:w="880" w:type="dxa"/>
            <w:vAlign w:val="bottom"/>
            <w:gridSpan w:val="5"/>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25.1**</w:t>
            </w:r>
          </w:p>
        </w:tc>
        <w:tc>
          <w:tcPr>
            <w:tcW w:w="5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T-1 Statement of Eligibility of Trustee for Indenture</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5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under the Trust Indenture Act of 1939, as amended</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3820" w:type="dxa"/>
            <w:vAlign w:val="bottom"/>
            <w:gridSpan w:val="9"/>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20" w:right="2140" w:hanging="4"/>
        <w:spacing w:after="0" w:line="282" w:lineRule="auto"/>
        <w:tabs>
          <w:tab w:leader="none" w:pos="5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applicable, by amendment or incorporated by reference pursuant to a Current Report on Form 8-K. ** To be filed pursuant to Section 305(b)(2) of the Trust Indenture Act of 1939, as amended, or the Trust Indenture Act.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800" w:hanging="244"/>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120" w:firstLine="1428"/>
        <w:spacing w:after="0" w:line="266" w:lineRule="auto"/>
        <w:tabs>
          <w:tab w:leader="none" w:pos="1817"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spacing w:after="0" w:line="183" w:lineRule="exact"/>
        <w:rPr>
          <w:sz w:val="20"/>
          <w:szCs w:val="20"/>
          <w:color w:val="auto"/>
        </w:rPr>
      </w:pPr>
    </w:p>
    <w:p>
      <w:pPr>
        <w:ind w:left="120" w:right="80" w:firstLine="1428"/>
        <w:spacing w:after="0" w:line="282" w:lineRule="auto"/>
        <w:tabs>
          <w:tab w:leader="none" w:pos="18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left="120" w:right="80" w:firstLine="987"/>
        <w:spacing w:after="0" w:line="266" w:lineRule="auto"/>
        <w:tabs>
          <w:tab w:leader="none" w:pos="13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120" w:right="20" w:firstLine="1428"/>
        <w:spacing w:after="0" w:line="282" w:lineRule="auto"/>
        <w:tabs>
          <w:tab w:leader="none" w:pos="176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120" w:right="60" w:firstLine="1428"/>
        <w:spacing w:after="0" w:line="253" w:lineRule="auto"/>
        <w:tabs>
          <w:tab w:leader="none" w:pos="181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p</w:t>
      </w:r>
      <w:r>
        <w:rPr>
          <w:rFonts w:ascii="Times New Roman" w:cs="Times New Roman" w:eastAsia="Times New Roman" w:hAnsi="Times New Roman"/>
          <w:sz w:val="18"/>
          <w:szCs w:val="18"/>
          <w:i w:val="1"/>
          <w:iCs w:val="1"/>
          <w:color w:val="auto"/>
        </w:rPr>
        <w:t>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ind w:left="120" w:right="140" w:firstLine="987"/>
        <w:spacing w:after="0" w:line="258" w:lineRule="auto"/>
        <w:tabs>
          <w:tab w:leader="none" w:pos="13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1428"/>
        <w:spacing w:after="0" w:line="282" w:lineRule="auto"/>
        <w:tabs>
          <w:tab w:leader="none" w:pos="1817"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120" w:right="100" w:firstLine="1428"/>
        <w:spacing w:after="0" w:line="282" w:lineRule="auto"/>
        <w:tabs>
          <w:tab w:leader="none" w:pos="1867"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9"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of 1939, as amended, or the Trust Indenture Act, in accordance with the rules and regulations prescribed by the Commission under Section 305(b)(2) of the Trust Indenture Act.</w:t>
      </w:r>
    </w:p>
    <w:p>
      <w:pPr>
        <w:spacing w:after="0" w:line="175" w:lineRule="exact"/>
        <w:rPr>
          <w:rFonts w:ascii="Times New Roman" w:cs="Times New Roman" w:eastAsia="Times New Roman" w:hAnsi="Times New Roman"/>
          <w:sz w:val="18"/>
          <w:szCs w:val="18"/>
          <w:color w:val="auto"/>
        </w:rPr>
      </w:pPr>
    </w:p>
    <w:p>
      <w:pPr>
        <w:ind w:left="120" w:firstLine="436"/>
        <w:spacing w:after="0" w:line="254" w:lineRule="auto"/>
        <w:tabs>
          <w:tab w:leader="none" w:pos="8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00"/>
          </w:cols>
          <w:pgMar w:left="320" w:top="455" w:right="5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New York, New York, on December 13, 2024.</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LEXEO THERAPEUTICS,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R. Nolan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R. Nolan Townsend</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R. Nolan Townsend and Jenny R. Robertson and each one of them, as his or her true and lawful attorneys-in-fact and agents, with full power of substitution and resubstitution, for them and in their name, place and stead, in any and all capacities, to sign any and all amendments (including post-effective amendments) to this registration statement, and to sign any new registration statement with respect to the offering contemplated thereby filed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w:t>
      </w:r>
    </w:p>
    <w:p>
      <w:pPr>
        <w:spacing w:after="0" w:line="18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88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6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 Nolan Townsend</w:t>
            </w: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 (Principal Executive,</w:t>
            </w:r>
          </w:p>
        </w:tc>
        <w:tc>
          <w:tcPr>
            <w:tcW w:w="22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rPr>
              <w:t>December 13, 2024</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 Nolan Townsend</w:t>
            </w: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226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Mette Kirstine Agger</w:t>
            </w: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rPr>
              <w:t>December 13, 2024</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Mette Kirstine Agger</w:t>
            </w:r>
          </w:p>
        </w:tc>
        <w:tc>
          <w:tcPr>
            <w:tcW w:w="48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Steven Altschuler</w:t>
            </w: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rPr>
              <w:t>December 13, 2024</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Steven Altschuler, M.D.</w:t>
            </w:r>
          </w:p>
        </w:tc>
        <w:tc>
          <w:tcPr>
            <w:tcW w:w="48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Paula HJ Cholmondeley</w:t>
            </w: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rPr>
              <w:t>December 13, 2024</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Paula HJ Cholmondeley</w:t>
            </w:r>
          </w:p>
        </w:tc>
        <w:tc>
          <w:tcPr>
            <w:tcW w:w="48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Brenda Cooperstone</w:t>
            </w: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rPr>
              <w:t>December 13, 2024</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Brenda Cooperstone, M.D.</w:t>
            </w:r>
          </w:p>
        </w:tc>
        <w:tc>
          <w:tcPr>
            <w:tcW w:w="48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60"/>
        </w:trPr>
        <w:tc>
          <w:tcPr>
            <w:tcW w:w="3880" w:type="dxa"/>
            <w:vAlign w:val="bottom"/>
          </w:tcPr>
          <w:p>
            <w:pPr>
              <w:spacing w:after="0"/>
              <w:rPr>
                <w:sz w:val="24"/>
                <w:szCs w:val="24"/>
                <w:color w:val="auto"/>
              </w:rPr>
            </w:pPr>
          </w:p>
        </w:tc>
        <w:tc>
          <w:tcPr>
            <w:tcW w:w="4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II-6</w:t>
            </w:r>
          </w:p>
        </w:tc>
        <w:tc>
          <w:tcPr>
            <w:tcW w:w="22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00" w:type="dxa"/>
            <w:vAlign w:val="bottom"/>
          </w:tcPr>
          <w:p>
            <w:pPr>
              <w:spacing w:after="0"/>
              <w:rPr>
                <w:sz w:val="17"/>
                <w:szCs w:val="17"/>
                <w:color w:val="auto"/>
              </w:rPr>
            </w:pPr>
          </w:p>
        </w:tc>
        <w:tc>
          <w:tcPr>
            <w:tcW w:w="57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2640" w:type="dxa"/>
            <w:vAlign w:val="bottom"/>
            <w:tcBorders>
              <w:bottom w:val="single" w:sz="8" w:color="auto"/>
            </w:tcBorders>
          </w:tcPr>
          <w:p>
            <w:pPr>
              <w:jc w:val="center"/>
              <w:ind w:right="1150"/>
              <w:spacing w:after="0"/>
              <w:rPr>
                <w:sz w:val="20"/>
                <w:szCs w:val="20"/>
                <w:color w:val="auto"/>
              </w:rPr>
            </w:pPr>
            <w:r>
              <w:rPr>
                <w:rFonts w:ascii="Times New Roman" w:cs="Times New Roman" w:eastAsia="Times New Roman" w:hAnsi="Times New Roman"/>
                <w:sz w:val="18"/>
                <w:szCs w:val="18"/>
                <w:color w:val="auto"/>
                <w:w w:val="99"/>
              </w:rPr>
              <w:t>/s/ Reinaldo Diaz</w:t>
            </w:r>
          </w:p>
        </w:tc>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740" w:type="dxa"/>
            <w:vAlign w:val="bottom"/>
          </w:tcPr>
          <w:p>
            <w:pPr>
              <w:ind w:left="4320"/>
              <w:spacing w:after="0"/>
              <w:rPr>
                <w:sz w:val="20"/>
                <w:szCs w:val="20"/>
                <w:color w:val="auto"/>
              </w:rPr>
            </w:pPr>
            <w:r>
              <w:rPr>
                <w:rFonts w:ascii="Times New Roman" w:cs="Times New Roman" w:eastAsia="Times New Roman" w:hAnsi="Times New Roman"/>
                <w:sz w:val="18"/>
                <w:szCs w:val="18"/>
                <w:color w:val="auto"/>
                <w:w w:val="98"/>
              </w:rPr>
              <w:t>December 13, 2024</w:t>
            </w:r>
          </w:p>
        </w:tc>
      </w:tr>
      <w:tr>
        <w:trPr>
          <w:trHeight w:val="228"/>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Reinaldo Diaz</w:t>
            </w:r>
          </w:p>
        </w:tc>
        <w:tc>
          <w:tcPr>
            <w:tcW w:w="1100" w:type="dxa"/>
            <w:vAlign w:val="bottom"/>
          </w:tcPr>
          <w:p>
            <w:pPr>
              <w:spacing w:after="0"/>
              <w:rPr>
                <w:sz w:val="19"/>
                <w:szCs w:val="19"/>
                <w:color w:val="auto"/>
              </w:rPr>
            </w:pPr>
          </w:p>
        </w:tc>
        <w:tc>
          <w:tcPr>
            <w:tcW w:w="574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3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Tim Van Hauwermeiren</w:t>
            </w:r>
          </w:p>
        </w:tc>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740" w:type="dxa"/>
            <w:vAlign w:val="bottom"/>
          </w:tcPr>
          <w:p>
            <w:pPr>
              <w:ind w:left="4320"/>
              <w:spacing w:after="0"/>
              <w:rPr>
                <w:sz w:val="20"/>
                <w:szCs w:val="20"/>
                <w:color w:val="auto"/>
              </w:rPr>
            </w:pPr>
            <w:r>
              <w:rPr>
                <w:rFonts w:ascii="Times New Roman" w:cs="Times New Roman" w:eastAsia="Times New Roman" w:hAnsi="Times New Roman"/>
                <w:sz w:val="18"/>
                <w:szCs w:val="18"/>
                <w:color w:val="auto"/>
                <w:w w:val="98"/>
              </w:rPr>
              <w:t>December 13, 2024</w:t>
            </w:r>
          </w:p>
        </w:tc>
      </w:tr>
      <w:tr>
        <w:trPr>
          <w:trHeight w:val="228"/>
        </w:trPr>
        <w:tc>
          <w:tcPr>
            <w:tcW w:w="120" w:type="dxa"/>
            <w:vAlign w:val="bottom"/>
          </w:tcPr>
          <w:p>
            <w:pPr>
              <w:spacing w:after="0"/>
              <w:rPr>
                <w:sz w:val="19"/>
                <w:szCs w:val="19"/>
                <w:color w:val="auto"/>
              </w:rPr>
            </w:pPr>
          </w:p>
        </w:tc>
        <w:tc>
          <w:tcPr>
            <w:tcW w:w="3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Tim Van Hauwermeiren</w:t>
            </w:r>
          </w:p>
        </w:tc>
        <w:tc>
          <w:tcPr>
            <w:tcW w:w="1100" w:type="dxa"/>
            <w:vAlign w:val="bottom"/>
          </w:tcPr>
          <w:p>
            <w:pPr>
              <w:spacing w:after="0"/>
              <w:rPr>
                <w:sz w:val="19"/>
                <w:szCs w:val="19"/>
                <w:color w:val="auto"/>
              </w:rPr>
            </w:pPr>
          </w:p>
        </w:tc>
        <w:tc>
          <w:tcPr>
            <w:tcW w:w="574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center"/>
              <w:ind w:right="1150"/>
              <w:spacing w:after="0"/>
              <w:rPr>
                <w:sz w:val="20"/>
                <w:szCs w:val="20"/>
                <w:color w:val="auto"/>
              </w:rPr>
            </w:pPr>
            <w:r>
              <w:rPr>
                <w:rFonts w:ascii="Times New Roman" w:cs="Times New Roman" w:eastAsia="Times New Roman" w:hAnsi="Times New Roman"/>
                <w:sz w:val="18"/>
                <w:szCs w:val="18"/>
                <w:color w:val="auto"/>
                <w:w w:val="99"/>
              </w:rPr>
              <w:t>/s/ Tolga Tanguler</w:t>
            </w:r>
          </w:p>
        </w:tc>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740" w:type="dxa"/>
            <w:vAlign w:val="bottom"/>
          </w:tcPr>
          <w:p>
            <w:pPr>
              <w:ind w:left="4320"/>
              <w:spacing w:after="0"/>
              <w:rPr>
                <w:sz w:val="20"/>
                <w:szCs w:val="20"/>
                <w:color w:val="auto"/>
              </w:rPr>
            </w:pPr>
            <w:r>
              <w:rPr>
                <w:rFonts w:ascii="Times New Roman" w:cs="Times New Roman" w:eastAsia="Times New Roman" w:hAnsi="Times New Roman"/>
                <w:sz w:val="18"/>
                <w:szCs w:val="18"/>
                <w:color w:val="auto"/>
                <w:w w:val="98"/>
              </w:rPr>
              <w:t>December 13, 2024</w:t>
            </w:r>
          </w:p>
        </w:tc>
      </w:tr>
      <w:tr>
        <w:trPr>
          <w:trHeight w:val="228"/>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6"/>
              </w:rPr>
              <w:t>Tolga Tanguler</w:t>
            </w:r>
          </w:p>
        </w:tc>
        <w:tc>
          <w:tcPr>
            <w:tcW w:w="1100" w:type="dxa"/>
            <w:vAlign w:val="bottom"/>
          </w:tcPr>
          <w:p>
            <w:pPr>
              <w:spacing w:after="0"/>
              <w:rPr>
                <w:sz w:val="19"/>
                <w:szCs w:val="19"/>
                <w:color w:val="auto"/>
              </w:rPr>
            </w:pPr>
          </w:p>
        </w:tc>
        <w:tc>
          <w:tcPr>
            <w:tcW w:w="5740" w:type="dxa"/>
            <w:vAlign w:val="bottom"/>
          </w:tcPr>
          <w:p>
            <w:pPr>
              <w:spacing w:after="0"/>
              <w:rPr>
                <w:sz w:val="19"/>
                <w:szCs w:val="19"/>
                <w:color w:val="auto"/>
              </w:rPr>
            </w:pPr>
          </w:p>
        </w:tc>
      </w:tr>
      <w:tr>
        <w:trPr>
          <w:trHeight w:val="360"/>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II-7</w:t>
            </w:r>
          </w:p>
        </w:tc>
      </w:tr>
    </w:tbl>
    <w:p>
      <w:pPr>
        <w:sectPr>
          <w:pgSz w:w="11900" w:h="16838" w:orient="portrait"/>
          <w:cols w:equalWidth="0" w:num="1">
            <w:col w:w="10840"/>
          </w:cols>
          <w:pgMar w:left="320" w:top="445" w:right="7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LEXEO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251460</wp:posOffset>
            </wp:positionV>
            <wp:extent cx="1474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Dated 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[__________]</w:t>
      </w:r>
    </w:p>
    <w:p>
      <w:pPr>
        <w:spacing w:after="0" w:line="2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00" w:type="dxa"/>
            <w:vAlign w:val="bottom"/>
          </w:tcPr>
          <w:p>
            <w:pPr>
              <w:spacing w:after="0"/>
              <w:rPr>
                <w:sz w:val="15"/>
                <w:szCs w:val="15"/>
                <w:color w:val="auto"/>
              </w:rPr>
            </w:pPr>
          </w:p>
        </w:tc>
        <w:tc>
          <w:tcPr>
            <w:tcW w:w="936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INCORPORATION BY REFERENCE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Rules of Construction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Issuable in Series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Establishment of Terms of Series of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Registrar and Paying Agent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Securityholder Lists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2.7</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Transfer and Exchange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2.8</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2.9</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Outstanding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Treasury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Temporary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Cancellation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Defaulted Interest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2.14</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Global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2.15</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CUSIP Numbers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REDEMPTION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to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Selection of Securities to be Redeemed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of Redemption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3.6</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COVENANTS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of Principal and Interest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 Reports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Certificate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Stay, Extension and Usury Laws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SUCCESSORS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When Company May Merge, Etc.</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 Corporation Substituted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00" w:type="dxa"/>
            <w:vAlign w:val="bottom"/>
          </w:tcPr>
          <w:p>
            <w:pPr>
              <w:spacing w:after="0"/>
              <w:rPr>
                <w:sz w:val="15"/>
                <w:szCs w:val="15"/>
                <w:color w:val="auto"/>
              </w:rPr>
            </w:pPr>
          </w:p>
        </w:tc>
        <w:tc>
          <w:tcPr>
            <w:tcW w:w="936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DEFAULTS AND REMEDIES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Events of Default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6.6</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6.7</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 on Suits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6.8</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Unconditional Right of Holders to Receive Principal and Interest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6.9</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6.11</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6.12</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Control by 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6.13</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of Past Defaults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6.14</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Undertaking for Costs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Duties of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Rights of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Trustee’s Disclaimer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7.5</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of Defaults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7.6</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Reports by Trustee to 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7.7</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7.8</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Replacement of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7.9</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7.10</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7.11</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Preferential Collection of Claims Against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SATISFACTION AND DISCHARGE; DEFEASANCE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Application of Trust Funds; Indemnification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8.3</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Defeasance of Securities of any Series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8.4</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Covenant Defeasance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8.5</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Repayment to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8.6</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Reinstatement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AMENDMENTS AND WAIVERS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Without Consent of 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 Consent of 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9.4</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with Trust Indenture Act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9.5</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9260" w:type="dxa"/>
            <w:vAlign w:val="bottom"/>
          </w:tcPr>
          <w:p>
            <w:pPr>
              <w:ind w:left="3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18"/>
                <w:szCs w:val="18"/>
                <w:color w:val="auto"/>
              </w:rPr>
            </w:pPr>
          </w:p>
        </w:tc>
      </w:tr>
      <w:tr>
        <w:trPr>
          <w:trHeight w:val="238"/>
        </w:trPr>
        <w:tc>
          <w:tcPr>
            <w:tcW w:w="1400" w:type="dxa"/>
            <w:vAlign w:val="bottom"/>
          </w:tcPr>
          <w:p>
            <w:pPr>
              <w:spacing w:after="0"/>
              <w:rPr>
                <w:sz w:val="20"/>
                <w:szCs w:val="20"/>
                <w:color w:val="auto"/>
              </w:rPr>
            </w:pPr>
          </w:p>
        </w:tc>
        <w:tc>
          <w:tcPr>
            <w:tcW w:w="926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300" w:type="dxa"/>
            <w:vAlign w:val="bottom"/>
          </w:tcPr>
          <w:p>
            <w:pPr>
              <w:spacing w:after="0"/>
              <w:rPr>
                <w:sz w:val="20"/>
                <w:szCs w:val="20"/>
                <w:color w:val="auto"/>
              </w:rPr>
            </w:pPr>
          </w:p>
        </w:tc>
      </w:tr>
      <w:tr>
        <w:trPr>
          <w:trHeight w:val="297"/>
        </w:trPr>
        <w:tc>
          <w:tcPr>
            <w:tcW w:w="140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8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9.6</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Notation on or Exchange of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9.7</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Trustee Protected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 Indenture Act Controls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Communication by Holders with Other 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 Holidays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Recourse Against Others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10.10</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 Waiver of Jury Trial; Consent to Jurisdiction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10.11</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10.12</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10.13</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10.14</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10.15</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 in a Foreign Currency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10.16</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Judgment Currency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10.17</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Force Majeure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10.18</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U.S.A. Patriot Act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SINKING FUNDS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Applicability of Article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11.2</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11.3</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41" w:name="page42"/>
    <w:bookmarkEnd w:id="41"/>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LEXEO THERAPEUTICS, INC.</w:t>
      </w:r>
    </w:p>
    <w:p>
      <w:pPr>
        <w:spacing w:after="0" w:line="229"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8"/>
          <w:szCs w:val="18"/>
          <w:color w:val="auto"/>
        </w:rPr>
        <w:t>Reconciliation and tie between Trust Indenture Act of 1939 and Indenture, dated as of   , 20</w:t>
      </w:r>
    </w:p>
    <w:p>
      <w:pPr>
        <w:spacing w:after="0" w:line="252"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w w:val="98"/>
              </w:rPr>
              <w:t>§ 310(a)(1)</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(a)(2)</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(a)(3)</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(a)(4)</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(a)(5)</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(b)</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 311(a)</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(b)</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(c)</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 312(a)</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(b)</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(c)</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 313(a)</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(b)(1)</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(b)(2)</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(c)(1)</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(d)</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 314(a)</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4.2, 10.5</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(b)</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(c)(1)</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(c)(2)</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(c)(3)</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(d)</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(e)</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(f)</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 315(a)</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(b)</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(c)</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(d)</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(e)</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 316(a)</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(a)(1)(A)</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(a)(1)(B)</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(b)</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w w:val="98"/>
              </w:rPr>
              <w:t>§ 317(a)(1)</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(a)(2)</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(b)</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 318(a)</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part of the Indenture.</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019"/>
          </w:cols>
          <w:pgMar w:left="440" w:top="266" w:right="1440" w:bottom="1440" w:gutter="0" w:footer="0" w:header="0"/>
        </w:sectPr>
      </w:pPr>
    </w:p>
    <w:bookmarkStart w:id="42" w:name="page43"/>
    <w:bookmarkEnd w:id="42"/>
    <w:p>
      <w:pPr>
        <w:ind w:right="26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 20  between Lexeo Therapeutics, Inc., a company incorporated under the laws of Delaware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[__________], a national banking association organized under the laws of the United States,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Each party agrees as follows for the benefit of the other party and for the equal and ratable benefit of the Holders of the Securities issued under this Indenture.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INCORPORATION BY REFERENCE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right="160" w:firstLine="991"/>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Additional Amounts</w:t>
      </w:r>
      <w:r>
        <w:rPr>
          <w:rFonts w:ascii="Times New Roman" w:cs="Times New Roman" w:eastAsia="Times New Roman" w:hAnsi="Times New Roman"/>
          <w:sz w:val="17"/>
          <w:szCs w:val="17"/>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3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Paying Agent or Notice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thereof.</w:t>
      </w:r>
    </w:p>
    <w:p>
      <w:pPr>
        <w:spacing w:after="0" w:line="225" w:lineRule="exact"/>
        <w:rPr>
          <w:sz w:val="20"/>
          <w:szCs w:val="20"/>
          <w:color w:val="auto"/>
        </w:rPr>
      </w:pPr>
    </w:p>
    <w:p>
      <w:pPr>
        <w:ind w:right="2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73" w:lineRule="exact"/>
        <w:rPr>
          <w:sz w:val="20"/>
          <w:szCs w:val="20"/>
          <w:color w:val="auto"/>
        </w:rPr>
      </w:pPr>
    </w:p>
    <w:p>
      <w:pPr>
        <w:ind w:right="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any and all shares, interests, participations, rights or other equivalents (however designated) of corporate stock.</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means the common stock, par value $0.0001 per share, of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means a written order signed in the name of the Company by an Officer.</w:t>
      </w:r>
    </w:p>
    <w:p>
      <w:pPr>
        <w:sectPr>
          <w:pgSz w:w="11900" w:h="16838" w:orient="portrait"/>
          <w:cols w:equalWidth="0" w:num="1">
            <w:col w:w="11000"/>
          </w:cols>
          <w:pgMar w:left="440" w:top="268" w:right="459" w:bottom="1440" w:gutter="0" w:footer="0" w:header="0"/>
        </w:sectPr>
      </w:pPr>
    </w:p>
    <w:bookmarkStart w:id="43" w:name="page44"/>
    <w:bookmarkEnd w:id="43"/>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means the principal office of the Trustee at which at any time this Indenture shall be administered, which office as of the date hereof is located at the address specified in Section 10.2. With respect to presentation for transfer or exchange, conversions or principal payment, such address shall be at the address specified in Section 10.2, or such other address as the Trustee may designate from time to time by written notice to the Holders and the Company, or the principal corporate trust office of any successor Trustee (or such other address as such successor Trustee may designate from time to time by written notice to the Holders and the Company).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0" w:lineRule="exact"/>
        <w:rPr>
          <w:sz w:val="20"/>
          <w:szCs w:val="20"/>
          <w:color w:val="auto"/>
        </w:rPr>
      </w:pPr>
    </w:p>
    <w:p>
      <w:pPr>
        <w:ind w:right="2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 Security</w:t>
      </w:r>
      <w:r>
        <w:rPr>
          <w:rFonts w:ascii="Times New Roman" w:cs="Times New Roman" w:eastAsia="Times New Roman" w:hAnsi="Times New Roman"/>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the currency of The United States of America.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means any currency or currency unit issued by a government other than the government of The United States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w:t>
      </w:r>
    </w:p>
    <w:p>
      <w:pPr>
        <w:spacing w:after="0" w:line="205" w:lineRule="exact"/>
        <w:rPr>
          <w:sz w:val="20"/>
          <w:szCs w:val="20"/>
          <w:color w:val="auto"/>
        </w:rPr>
      </w:pPr>
    </w:p>
    <w:p>
      <w:pPr>
        <w:ind w:right="28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Government Obligations</w:t>
      </w:r>
      <w:r>
        <w:rPr>
          <w:rFonts w:ascii="Times New Roman" w:cs="Times New Roman" w:eastAsia="Times New Roman" w:hAnsi="Times New Roman"/>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73"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means accounting principles generally accepted in the United States of America set forth in the opinions and pronouncements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0" w:lineRule="exact"/>
        <w:rPr>
          <w:sz w:val="20"/>
          <w:szCs w:val="20"/>
          <w:color w:val="auto"/>
        </w:rPr>
      </w:pPr>
    </w:p>
    <w:p>
      <w:pPr>
        <w:ind w:right="32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Securityholder</w:t>
      </w:r>
      <w:r>
        <w:rPr>
          <w:rFonts w:ascii="Times New Roman" w:cs="Times New Roman" w:eastAsia="Times New Roman" w:hAnsi="Times New Roman"/>
          <w:sz w:val="18"/>
          <w:szCs w:val="18"/>
          <w:color w:val="auto"/>
        </w:rPr>
        <w:t>” means a person in whose name a Security is registered on the books of the Registrar.</w:t>
      </w:r>
    </w:p>
    <w:p>
      <w:pPr>
        <w:spacing w:after="0" w:line="225" w:lineRule="exact"/>
        <w:rPr>
          <w:sz w:val="20"/>
          <w:szCs w:val="20"/>
          <w:color w:val="auto"/>
        </w:rPr>
      </w:pPr>
    </w:p>
    <w:p>
      <w:pPr>
        <w:ind w:right="1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 and shall include the form and terms of particular Series of Securities established as contemplated hereunder.</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interest</w:t>
      </w:r>
      <w:r>
        <w:rPr>
          <w:rFonts w:ascii="Times New Roman" w:cs="Times New Roman" w:eastAsia="Times New Roman" w:hAnsi="Times New Roman"/>
          <w:sz w:val="17"/>
          <w:szCs w:val="17"/>
          <w:color w:val="auto"/>
        </w:rPr>
        <w:t>” with respect to any Discount Security which by its terms bears interest only after Maturity, means interest payable after Maturity.</w:t>
      </w:r>
    </w:p>
    <w:p>
      <w:pPr>
        <w:spacing w:after="0" w:line="17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8" w:right="439" w:bottom="1440" w:gutter="0" w:footer="0" w:header="0"/>
        </w:sectPr>
      </w:pPr>
    </w:p>
    <w:bookmarkStart w:id="44" w:name="page45"/>
    <w:bookmarkEnd w:id="44"/>
    <w:p>
      <w:pPr>
        <w:ind w:right="20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58" w:lineRule="exact"/>
        <w:rPr>
          <w:sz w:val="20"/>
          <w:szCs w:val="20"/>
          <w:color w:val="auto"/>
        </w:rPr>
      </w:pPr>
    </w:p>
    <w:p>
      <w:pPr>
        <w:ind w:right="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Chief Executive Officer, President, the Chief Financial Officer, the Treasurer or any Assistant Treasurer, the Secretary or any Assistant Secretary, and any Vice President of the Company.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any Officer that meets the requirements of Section 10.5.</w:t>
      </w:r>
    </w:p>
    <w:p>
      <w:pPr>
        <w:spacing w:after="0" w:line="225" w:lineRule="exact"/>
        <w:rPr>
          <w:sz w:val="20"/>
          <w:szCs w:val="20"/>
          <w:color w:val="auto"/>
        </w:rPr>
      </w:pPr>
    </w:p>
    <w:p>
      <w:pPr>
        <w:ind w:right="4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of legal counsel who is acceptable to the Trustee. The opinion may contain customary limitations, qualifications, conditions and exceptions. The counsel may be an employee of or counsel to the Company.</w:t>
      </w:r>
    </w:p>
    <w:p>
      <w:pPr>
        <w:spacing w:after="0" w:line="158" w:lineRule="exact"/>
        <w:rPr>
          <w:sz w:val="20"/>
          <w:szCs w:val="20"/>
          <w:color w:val="auto"/>
        </w:rPr>
      </w:pPr>
    </w:p>
    <w:p>
      <w:pPr>
        <w:ind w:right="1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58" w:lineRule="exact"/>
        <w:rPr>
          <w:sz w:val="20"/>
          <w:szCs w:val="20"/>
          <w:color w:val="auto"/>
        </w:rPr>
      </w:pPr>
    </w:p>
    <w:p>
      <w:pPr>
        <w:ind w:right="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of a Security means the principal of the Security plus, when appropriate, the premium, if any, on, and any Additional Amounts in respect of, the Security.</w:t>
      </w:r>
    </w:p>
    <w:p>
      <w:pPr>
        <w:spacing w:after="0" w:line="158" w:lineRule="exact"/>
        <w:rPr>
          <w:sz w:val="20"/>
          <w:szCs w:val="20"/>
          <w:color w:val="auto"/>
        </w:rPr>
      </w:pPr>
    </w:p>
    <w:p>
      <w:pPr>
        <w:ind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means any officer of the Trustee in its Corporate Trust Office having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means the debentures, notes or other debt instruments of the Company of any Series authenticated and delivered under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05" w:lineRule="exact"/>
        <w:rPr>
          <w:sz w:val="20"/>
          <w:szCs w:val="20"/>
          <w:color w:val="auto"/>
        </w:rPr>
      </w:pPr>
    </w:p>
    <w:p>
      <w:pPr>
        <w:ind w:right="3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Series of Securities</w:t>
      </w:r>
      <w:r>
        <w:rPr>
          <w:rFonts w:ascii="Times New Roman" w:cs="Times New Roman" w:eastAsia="Times New Roman" w:hAnsi="Times New Roman"/>
          <w:sz w:val="18"/>
          <w:szCs w:val="18"/>
          <w:color w:val="auto"/>
        </w:rPr>
        <w:t>” means each series of debentures, notes or other debt instruments of the Company created pursuant to Sections 2.1 and 2.2 hereof.</w:t>
      </w:r>
    </w:p>
    <w:p>
      <w:pPr>
        <w:spacing w:after="0" w:line="158" w:lineRule="exact"/>
        <w:rPr>
          <w:sz w:val="20"/>
          <w:szCs w:val="20"/>
          <w:color w:val="auto"/>
        </w:rPr>
      </w:pPr>
    </w:p>
    <w:p>
      <w:pPr>
        <w:ind w:right="60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when used with respect to any Security, means the date specified in such Security as the fixed date on which the principal of such Security or interest is due and payable.</w:t>
      </w:r>
    </w:p>
    <w:p>
      <w:pPr>
        <w:spacing w:after="0" w:line="158"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0" w:lineRule="exact"/>
        <w:rPr>
          <w:sz w:val="20"/>
          <w:szCs w:val="20"/>
          <w:color w:val="auto"/>
        </w:rPr>
      </w:pPr>
    </w:p>
    <w:p>
      <w:pPr>
        <w:ind w:right="6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xml:space="preserve">” means the Trust Indenture Act of 1939 (15 U.S. Code §§ 77aaa-77bbbb) as in effect on the date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Trust Indenture Act of 1939 is amended after such date, “TIA” means, to the extent required by any such amendment, the Trust Indenture Act as so amended.</w:t>
      </w:r>
    </w:p>
    <w:p>
      <w:pPr>
        <w:spacing w:after="0" w:line="17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8" w:right="479" w:bottom="1440" w:gutter="0" w:footer="0" w:header="0"/>
        </w:sectPr>
      </w:pPr>
    </w:p>
    <w:bookmarkStart w:id="45" w:name="page46"/>
    <w:bookmarkEnd w:id="45"/>
    <w:p>
      <w:pPr>
        <w:ind w:firstLine="99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DEFINED IN SECTION</w:t>
            </w:r>
          </w:p>
        </w:tc>
      </w:tr>
      <w:tr>
        <w:trPr>
          <w:trHeight w:val="20"/>
        </w:trPr>
        <w:tc>
          <w:tcPr>
            <w:tcW w:w="400" w:type="dxa"/>
            <w:vAlign w:val="bottom"/>
            <w:tcBorders>
              <w:bottom w:val="single" w:sz="8" w:color="CCEEFF"/>
            </w:tcBorders>
            <w:shd w:val="clear" w:color="auto" w:fill="000000"/>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59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CEEFF"/>
          </w:tcPr>
          <w:p>
            <w:pPr>
              <w:spacing w:after="0"/>
              <w:rPr>
                <w:sz w:val="17"/>
                <w:szCs w:val="17"/>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optional sinking fund payment</w:t>
            </w: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Courts</w:t>
            </w: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w:t>
            </w:r>
          </w:p>
        </w:tc>
      </w:tr>
      <w:tr>
        <w:trPr>
          <w:trHeight w:val="23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r>
    </w:tbl>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Incorporation by Reference of Trust Indenture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Whenever this Indenture refers to a provision of the TIA, the provision is incorporated by reference in and made a part of this Indenture.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TIA terms used in this Indenture have the following meanings: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SEC.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security holder</w:t>
      </w:r>
      <w:r>
        <w:rPr>
          <w:rFonts w:ascii="Times New Roman" w:cs="Times New Roman" w:eastAsia="Times New Roman" w:hAnsi="Times New Roman"/>
          <w:sz w:val="18"/>
          <w:szCs w:val="18"/>
          <w:color w:val="auto"/>
        </w:rPr>
        <w:t>” means a Securityholder.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to be qualified”</w:t>
      </w:r>
      <w:r>
        <w:rPr>
          <w:rFonts w:ascii="Times New Roman" w:cs="Times New Roman" w:eastAsia="Times New Roman" w:hAnsi="Times New Roman"/>
          <w:sz w:val="18"/>
          <w:szCs w:val="18"/>
          <w:color w:val="auto"/>
        </w:rPr>
        <w:t xml:space="preserve"> means this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institutional trustee</w:t>
      </w:r>
      <w:r>
        <w:rPr>
          <w:rFonts w:ascii="Times New Roman" w:cs="Times New Roman" w:eastAsia="Times New Roman" w:hAnsi="Times New Roman"/>
          <w:sz w:val="18"/>
          <w:szCs w:val="18"/>
          <w:color w:val="auto"/>
        </w:rPr>
        <w:t>” means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on the indenture securities means the Company and any successor obligor upon the Securities.</w:t>
      </w:r>
    </w:p>
    <w:p>
      <w:pPr>
        <w:spacing w:after="0" w:line="16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8" w:right="479" w:bottom="1440" w:gutter="0" w:footer="0" w:header="0"/>
        </w:sectPr>
      </w:pPr>
    </w:p>
    <w:bookmarkStart w:id="46" w:name="page47"/>
    <w:bookmarkEnd w:id="46"/>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other terms used in this Indenture that are defined by the TIA, defined by TIA reference to another statute or defined by SEC rule under the TIA and not otherwise defined herein are used herein as so defined.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117" w:lineRule="exact"/>
        <w:rPr>
          <w:sz w:val="20"/>
          <w:szCs w:val="20"/>
          <w:color w:val="auto"/>
        </w:rPr>
      </w:pPr>
    </w:p>
    <w:p>
      <w:pPr>
        <w:ind w:left="1680" w:hanging="252"/>
        <w:spacing w:after="0"/>
        <w:tabs>
          <w:tab w:leader="none" w:pos="1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11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is not exclusive;</w:t>
      </w:r>
    </w:p>
    <w:p>
      <w:pPr>
        <w:spacing w:after="0" w:line="11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 and</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Issuable in Series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Establishment of Terms of Series of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2.2.21) by or pursuant to a Board Resolution, and set forth or determined in the manner provided in a Board Resolution, supplemental indenture hereto or Officer’s Certificate:</w:t>
      </w:r>
    </w:p>
    <w:p>
      <w:pPr>
        <w:spacing w:after="0" w:line="72"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2.2.2. the price or prices (expressed as a percentage of the principal amount thereof) at which the Securities of the Series will be issued;</w:t>
      </w:r>
    </w:p>
    <w:p>
      <w:pPr>
        <w:spacing w:after="0" w:line="117"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47" w:name="page48"/>
    <w:bookmarkEnd w:id="4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2.2.4. the date or dates on which the principal of the Securities of the Series is payable;</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2.2.6. the right, if any, to defer payment of interest and the maximum length of any such deferral period;</w:t>
      </w:r>
    </w:p>
    <w:p>
      <w:pPr>
        <w:spacing w:after="0" w:line="11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2.2.7.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68"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2.2.8. if applicable, the period or periods within which, the price or prices at which and the terms and conditions upon which the Securities of the Series may be redeemed, in whole or in part, at the option of the Company;</w:t>
      </w:r>
    </w:p>
    <w:p>
      <w:pPr>
        <w:spacing w:after="0" w:line="54"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2.2.9. the obligation, if any, of the Company to repurchase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68"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2.2.10. if other than denominations of $1,000 and any integral multiple thereof, the denominations in which the Securities of the Series shall be issuable;</w:t>
      </w:r>
    </w:p>
    <w:p>
      <w:pPr>
        <w:spacing w:after="0" w:line="54"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2.2.11. the provisions relating to conversion or exchange of any Securities of the Series into the Company’s Common Stock or other securities and the terms and conditions upon which such Securities will be so convertible or exchangeable, including the conversion or exchange price, as applicable, or such conversion or exchange price will be calculated and any adjustments thereto, any mandatory or optional (at the option of the Company or the Holders of the Securities of a Series) conversion or exchange provisions, the applicable conversion or exchange period and the manner of settlement for any such conversion or exchange;</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2.2.12. the forms of the Securities of the Series and whether the Securities will be issuable as certificated Securities or Global Securities;</w:t>
      </w:r>
    </w:p>
    <w:p>
      <w:pPr>
        <w:spacing w:after="0" w:line="117"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2.2.13. if other than the principal amount thereof, the portion of the principal amount of the Securities of the Series that shall be payable upon declaration of acceleration of the maturity thereof pursuant to Section 6.2;</w:t>
      </w:r>
    </w:p>
    <w:p>
      <w:pPr>
        <w:spacing w:after="0" w:line="54"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2.2.14. the designation of the currency, currencies or currency units in which payment of the principal of and interest, if any, on the Securities of the Series will be made and if other than that or those in which such Securities are denominated, the manner in which the exchange rate with respect to such payments will be determined;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8" w:name="page49"/>
    <w:bookmarkEnd w:id="48"/>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2.2.15. the manner in which the amounts of payment of principal of or any premium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2.2.16. the provisions, if any, relating to any security provided for the Securities of the Series;</w:t>
      </w:r>
    </w:p>
    <w:p>
      <w:pPr>
        <w:spacing w:after="0" w:line="11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2.2.17. any addition to, deletion of or change in the covenants set forth in Articles IV or V or the Events of Default that applies to any Securities of the Series and any change in the right of the Trustee or the requisite Holders of such Securities to declare the principal amount thereof due and payable pursuant to Section 6.2;</w:t>
      </w:r>
    </w:p>
    <w:p>
      <w:pPr>
        <w:spacing w:after="0" w:line="68"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2.2.18. any Depositaries, interest rate calculation agents, exchange rate calculation agents, conversion agents or other agents with respect to Securities of such Series if other than those appointed herein;</w:t>
      </w:r>
    </w:p>
    <w:p>
      <w:pPr>
        <w:spacing w:after="0" w:line="54"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2.2.19. if there is more than one Trustee or a different Trustee, the identity of the Trustee and, if not the Trustee, the identity of each Agent with respect to such Securities;</w:t>
      </w:r>
    </w:p>
    <w:p>
      <w:pPr>
        <w:spacing w:after="0" w:line="54"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2.2.20.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68"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2.2.21. whether any of the Company’s direct or indirect Subsidiaries will guarantee the Securities of that Series, including the terms of subordination, if any, of such guarantees.</w:t>
      </w:r>
    </w:p>
    <w:p>
      <w:pPr>
        <w:spacing w:after="0" w:line="16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No Board Resolution, supplemental indenture hereto or Officer’s Certificate may affect the Trustee’s own rights, duties or immunities under this Indenture or otherwise with respect to any Series of Securities except as the Trustee may agree in writing.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 Officer shall sign the Securities for the Company by manual or facsimile signature.</w:t>
      </w:r>
    </w:p>
    <w:p>
      <w:pPr>
        <w:spacing w:after="0" w:line="225"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a Security no longer holds that office at the time the Security is authenticated, the Security shall nevertheless be valid.</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49" w:name="page50"/>
    <w:bookmarkEnd w:id="49"/>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Prior to the issuance of Securities of any Series, the Trustee shall have received and (subject to Section 7.2) shall be fully protected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relying on: (a) the Board Resolution, supplemental indenture hereto or Officer’s Certificate establishing the form of the Securities of that Series 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within that Series and the terms of the Securities of that Series or of Securities within that Series, (b) an Officer’s Certificate complying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10.4, (c) an Opinion of Counsel complying with Section 10.4 and (d) an Opinion of Counsel (which may be the same Opinion of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in the preceding clause (c)) that such Securities, when they have been duly executed, issued, and authenticated in accordance with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Indenture and delivered against payment therefor in the circumstances described in such Opinion of Counsel, will be legally valid and binding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of the Company, enforceable against the Company in accordance with their terms.</w:t>
      </w:r>
    </w:p>
    <w:p>
      <w:pPr>
        <w:spacing w:after="0" w:line="207" w:lineRule="exact"/>
        <w:rPr>
          <w:sz w:val="20"/>
          <w:szCs w:val="20"/>
          <w:color w:val="auto"/>
        </w:rPr>
      </w:pPr>
    </w:p>
    <w:p>
      <w:pPr>
        <w:jc w:val="both"/>
        <w:ind w:right="320" w:firstLine="991"/>
        <w:spacing w:after="0" w:line="266" w:lineRule="auto"/>
        <w:rPr>
          <w:sz w:val="20"/>
          <w:szCs w:val="20"/>
          <w:color w:val="auto"/>
        </w:rPr>
      </w:pPr>
      <w:r>
        <w:rPr>
          <w:rFonts w:ascii="Times New Roman" w:cs="Times New Roman" w:eastAsia="Times New Roman" w:hAnsi="Times New Roman"/>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shall determine that such action would expose the Trustee to personal liability to Holders of any then-outstanding Series of Securities.</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Registrar and Paying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where Securities of such Series may be surrendered for registration of transfer 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where notices and demands to or upon the Company in respect of the Securities of such Series and this Indenture may be delivered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appointment of the Trustee as the Notice Agent shall exclude the appointment of the Trustee or any office of the Trustee as an agent to receive the service of legal process on the Company.</w:t>
      </w:r>
    </w:p>
    <w:p>
      <w:pPr>
        <w:spacing w:after="0" w:line="194"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one or more co-registrars, additional paying agents or additional notice agents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includes any co-registrar; the term “</w:t>
      </w:r>
      <w:r>
        <w:rPr>
          <w:rFonts w:ascii="Times New Roman" w:cs="Times New Roman" w:eastAsia="Times New Roman" w:hAnsi="Times New Roman"/>
          <w:sz w:val="18"/>
          <w:szCs w:val="18"/>
          <w:i w:val="1"/>
          <w:iCs w:val="1"/>
          <w:color w:val="auto"/>
        </w:rPr>
        <w:t>Paying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includes any additional paying agent; and the term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includes any additional notice agent. The Company or any of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serve as Registrar or Paying Agent.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50" w:name="page51"/>
    <w:bookmarkEnd w:id="50"/>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Paying Agent to Hold Money in Trust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Securityholder Lists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87"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51" w:name="page52"/>
    <w:bookmarkEnd w:id="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2.8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91"/>
        <w:spacing w:after="0" w:line="312" w:lineRule="auto"/>
        <w:rPr>
          <w:sz w:val="20"/>
          <w:szCs w:val="20"/>
          <w:color w:val="auto"/>
        </w:rPr>
      </w:pPr>
      <w:r>
        <w:rPr>
          <w:rFonts w:ascii="Times New Roman" w:cs="Times New Roman" w:eastAsia="Times New Roman" w:hAnsi="Times New Roman"/>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4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83"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76"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58"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Outstanding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76"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2.8, it ceases to be outstanding until the Trustee receives proof satisfactory to it that the replaced Security is held by a bona fide purchaser.</w:t>
      </w:r>
    </w:p>
    <w:p>
      <w:pPr>
        <w:spacing w:after="0" w:line="162"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may purchase or otherwise acquire the Securities, whether by open market purchases, negotiated transactions or otherwise.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Security does not cease to be outstanding because the Company or an Affiliate of the Company holds the Security (but see Section 2.10 below).</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52" w:name="page53"/>
    <w:bookmarkEnd w:id="52"/>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Treasury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991"/>
        <w:spacing w:after="0" w:line="281" w:lineRule="auto"/>
        <w:rPr>
          <w:sz w:val="20"/>
          <w:szCs w:val="20"/>
          <w:color w:val="auto"/>
        </w:rPr>
      </w:pPr>
      <w:r>
        <w:rPr>
          <w:rFonts w:ascii="Times New Roman" w:cs="Times New Roman" w:eastAsia="Times New Roman" w:hAnsi="Times New Roman"/>
          <w:sz w:val="17"/>
          <w:szCs w:val="17"/>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in accordance with its customary procedures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2.14.1. </w:t>
      </w:r>
      <w:r>
        <w:rPr>
          <w:rFonts w:ascii="Times New Roman" w:cs="Times New Roman" w:eastAsia="Times New Roman" w:hAnsi="Times New Roman"/>
          <w:sz w:val="18"/>
          <w:szCs w:val="18"/>
          <w:u w:val="single" w:color="auto"/>
          <w:color w:val="auto"/>
        </w:rPr>
        <w:t>Terms of Securities</w:t>
      </w:r>
      <w:r>
        <w:rPr>
          <w:rFonts w:ascii="Times New Roman" w:cs="Times New Roman" w:eastAsia="Times New Roman" w:hAnsi="Times New Roman"/>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53" w:name="page54"/>
    <w:bookmarkEnd w:id="53"/>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2.14.2.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9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Neither the Trustee nor any Agent shall have any responsibility for any actions taken or not taken by the Depositary.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2.14.3.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Any Global Security issued hereunder shall bear a legend in substantially the following form:</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7" w:lineRule="exact"/>
        <w:rPr>
          <w:sz w:val="20"/>
          <w:szCs w:val="20"/>
          <w:color w:val="auto"/>
        </w:rPr>
      </w:pPr>
    </w:p>
    <w:p>
      <w:pPr>
        <w:ind w:right="220" w:firstLine="991"/>
        <w:spacing w:after="0" w:line="284" w:lineRule="auto"/>
        <w:rPr>
          <w:sz w:val="20"/>
          <w:szCs w:val="20"/>
          <w:color w:val="auto"/>
        </w:rPr>
      </w:pPr>
      <w:r>
        <w:rPr>
          <w:rFonts w:ascii="Times New Roman" w:cs="Times New Roman" w:eastAsia="Times New Roman" w:hAnsi="Times New Roman"/>
          <w:sz w:val="18"/>
          <w:szCs w:val="18"/>
          <w:color w:val="auto"/>
        </w:rPr>
        <w:t>In addition, so long as the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is the Depositary, each Global Note registered in the name of DTC or its nominee shall bear a legend in substantially the following form:</w:t>
      </w:r>
    </w:p>
    <w:p>
      <w:pPr>
        <w:spacing w:after="0" w:line="160" w:lineRule="exact"/>
        <w:rPr>
          <w:sz w:val="20"/>
          <w:szCs w:val="20"/>
          <w:color w:val="auto"/>
        </w:rPr>
      </w:pPr>
    </w:p>
    <w:p>
      <w:pPr>
        <w:ind w:right="180" w:firstLine="991"/>
        <w:spacing w:after="0" w:line="255" w:lineRule="auto"/>
        <w:rPr>
          <w:sz w:val="20"/>
          <w:szCs w:val="20"/>
          <w:color w:val="auto"/>
        </w:rPr>
      </w:pPr>
      <w:r>
        <w:rPr>
          <w:rFonts w:ascii="Times New Roman" w:cs="Times New Roman" w:eastAsia="Times New Roman" w:hAnsi="Times New Roman"/>
          <w:sz w:val="18"/>
          <w:szCs w:val="18"/>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THE REGISTERED OWNER HEREOF, CEDE &amp; CO., HAS AN INTEREST HEREIN.”</w:t>
      </w:r>
    </w:p>
    <w:p>
      <w:pPr>
        <w:spacing w:after="0" w:line="81"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2.14.4.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54" w:name="page55"/>
    <w:bookmarkEnd w:id="54"/>
    <w:p>
      <w:pPr>
        <w:ind w:right="140" w:firstLine="1428"/>
        <w:spacing w:after="0" w:line="255" w:lineRule="auto"/>
        <w:tabs>
          <w:tab w:leader="none" w:pos="167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spacing w:after="0" w:line="80" w:lineRule="exact"/>
        <w:rPr>
          <w:rFonts w:ascii="Times New Roman" w:cs="Times New Roman" w:eastAsia="Times New Roman" w:hAnsi="Times New Roman"/>
          <w:sz w:val="18"/>
          <w:szCs w:val="18"/>
          <w:color w:val="auto"/>
        </w:rPr>
      </w:pPr>
    </w:p>
    <w:p>
      <w:pPr>
        <w:ind w:firstLine="1428"/>
        <w:spacing w:after="0" w:line="256" w:lineRule="auto"/>
        <w:tabs>
          <w:tab w:leader="none" w:pos="168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spacing w:after="0" w:line="7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Global Securities or any Securities issued in certificated form shall be proved by the Registrar.</w:t>
      </w:r>
    </w:p>
    <w:p>
      <w:pPr>
        <w:spacing w:after="0" w:line="117" w:lineRule="exact"/>
        <w:rPr>
          <w:rFonts w:ascii="Times New Roman" w:cs="Times New Roman" w:eastAsia="Times New Roman" w:hAnsi="Times New Roman"/>
          <w:sz w:val="18"/>
          <w:szCs w:val="18"/>
          <w:color w:val="auto"/>
        </w:rPr>
      </w:pPr>
    </w:p>
    <w:p>
      <w:pPr>
        <w:ind w:firstLine="1428"/>
        <w:spacing w:after="0" w:line="261" w:lineRule="auto"/>
        <w:tabs>
          <w:tab w:leader="none" w:pos="168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71" w:lineRule="exact"/>
        <w:rPr>
          <w:rFonts w:ascii="Times New Roman" w:cs="Times New Roman" w:eastAsia="Times New Roman" w:hAnsi="Times New Roman"/>
          <w:sz w:val="18"/>
          <w:szCs w:val="18"/>
          <w:color w:val="auto"/>
        </w:rPr>
      </w:pPr>
    </w:p>
    <w:p>
      <w:pPr>
        <w:ind w:right="40" w:firstLine="1428"/>
        <w:spacing w:after="0" w:line="254" w:lineRule="auto"/>
        <w:tabs>
          <w:tab w:leader="none" w:pos="167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spacing w:after="0" w:line="80"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2.14.5.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54"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2.14.6. </w:t>
      </w:r>
      <w:r>
        <w:rPr>
          <w:rFonts w:ascii="Times New Roman" w:cs="Times New Roman" w:eastAsia="Times New Roman" w:hAnsi="Times New Roman"/>
          <w:sz w:val="18"/>
          <w:szCs w:val="18"/>
          <w:u w:val="single" w:color="auto"/>
          <w:color w:val="auto"/>
        </w:rPr>
        <w:t>Consents, Declaration and Directions</w:t>
      </w:r>
      <w:r>
        <w:rPr>
          <w:rFonts w:ascii="Times New Roman" w:cs="Times New Roman" w:eastAsia="Times New Roman" w:hAnsi="Times New Roman"/>
          <w:sz w:val="18"/>
          <w:szCs w:val="18"/>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55" w:name="page56"/>
    <w:bookmarkEnd w:id="5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2.15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that the Company is aware of in the CUSIP numbers.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Notice to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5 days before the notice is delivered to the Holders, unless a shorter period is satisfactory to the Trustee.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Selection of Securities to be Redeemed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56" w:name="page57"/>
    <w:bookmarkEnd w:id="5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notice shall identify the Securities of the Series to be redeemed and shall state:</w:t>
      </w:r>
    </w:p>
    <w:p>
      <w:pPr>
        <w:spacing w:after="0" w:line="117" w:lineRule="exact"/>
        <w:rPr>
          <w:sz w:val="20"/>
          <w:szCs w:val="20"/>
          <w:color w:val="auto"/>
        </w:rPr>
      </w:pPr>
    </w:p>
    <w:p>
      <w:pPr>
        <w:ind w:left="1680" w:hanging="252"/>
        <w:spacing w:after="0"/>
        <w:tabs>
          <w:tab w:leader="none" w:pos="1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(or manner of calculation if not then known);</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117" w:lineRule="exact"/>
        <w:rPr>
          <w:rFonts w:ascii="Times New Roman" w:cs="Times New Roman" w:eastAsia="Times New Roman" w:hAnsi="Times New Roman"/>
          <w:sz w:val="18"/>
          <w:szCs w:val="18"/>
          <w:color w:val="auto"/>
        </w:rPr>
      </w:pPr>
    </w:p>
    <w:p>
      <w:pPr>
        <w:ind w:right="60" w:firstLine="1428"/>
        <w:spacing w:after="0" w:line="266" w:lineRule="auto"/>
        <w:tabs>
          <w:tab w:leader="none" w:pos="168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of the Series called for redemption must be surrendered to the Paying Agent to collect the redemption price;</w:t>
      </w:r>
    </w:p>
    <w:p>
      <w:pPr>
        <w:spacing w:after="0" w:line="117" w:lineRule="exact"/>
        <w:rPr>
          <w:rFonts w:ascii="Times New Roman" w:cs="Times New Roman" w:eastAsia="Times New Roman" w:hAnsi="Times New Roman"/>
          <w:sz w:val="18"/>
          <w:szCs w:val="18"/>
          <w:color w:val="auto"/>
        </w:rPr>
      </w:pPr>
    </w:p>
    <w:p>
      <w:pPr>
        <w:ind w:right="620" w:firstLine="1428"/>
        <w:spacing w:after="0" w:line="282" w:lineRule="auto"/>
        <w:tabs>
          <w:tab w:leader="none" w:pos="16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interest on Securities of the Series called for redemption ceases to accrue on and after the redemption date unless the Company defaults in the deposit of the redemption price;</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if any; and</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At the Company’s request, the Trustee shall give the notice of redemption in the Company’s name and at its expense, provided, however, that the Company has delivered to the Trustee, at least 5 days (unless a shorter time shall be acceptable to the Trustee) prior to the notice date, an Officer’s Certificate requesting that the Trustee give such notice and setting forth the information to be stated in such notice.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Effect of Notice of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On or before 11:00 a.m., New York City time, on the redemption date, the Company shall irrevocably deposit with the Paying Agent money sufficient (as determined by the Company) to pay the redemption price of and accrued interest, if any, on all Securities to be redeemed on that date.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57" w:name="page58"/>
    <w:bookmarkEnd w:id="5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3.6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37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Payment of Principal and 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(or any successor system thereto) will be deemed to be delivered to the Trustee as of the time of such filing via EDGAR for purposes of this Section 4.2, it being understood that the Trustee shall have no responsibility whatsoever to determine if such filings have been made, and that the Trustee shall not be deemed to have knowledge of the information contained therein.</w:t>
      </w:r>
    </w:p>
    <w:p>
      <w:pPr>
        <w:spacing w:after="0" w:line="189"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58" w:name="page59"/>
    <w:bookmarkEnd w:id="5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4.4 </w:t>
      </w:r>
      <w:r>
        <w:rPr>
          <w:rFonts w:ascii="Times New Roman" w:cs="Times New Roman" w:eastAsia="Times New Roman" w:hAnsi="Times New Roman"/>
          <w:sz w:val="18"/>
          <w:szCs w:val="18"/>
          <w:u w:val="single" w:color="auto"/>
          <w:color w:val="auto"/>
        </w:rPr>
        <w:t>Stay, Extension and Usury 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SUCCESSORS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When Company May Merge,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 unless:</w:t>
      </w:r>
    </w:p>
    <w:p>
      <w:pPr>
        <w:spacing w:after="0" w:line="54" w:lineRule="exact"/>
        <w:rPr>
          <w:sz w:val="20"/>
          <w:szCs w:val="20"/>
          <w:color w:val="auto"/>
        </w:rPr>
      </w:pPr>
    </w:p>
    <w:p>
      <w:pPr>
        <w:jc w:val="both"/>
        <w:ind w:right="240" w:firstLine="1428"/>
        <w:spacing w:after="0" w:line="266" w:lineRule="auto"/>
        <w:tabs>
          <w:tab w:leader="none" w:pos="167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corporation or the successor person (if other than the Company) is a corporation organized and validly existing under the laws of any U.S. domestic jurisdiction and expressly assumes, by a supplemental indenture, executed and delivered to the Trustee, the Company’s obligations on the Securities and under this Indenture; and</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Where the Company is not the surviving corporation, 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Successor Corporation Substituted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predecessor Company in the case of a sale, conveyance or other disposition (other than a lease) shall be released from all obligations and covenants under this Indenture and the Securities.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440" w:top="270" w:right="559" w:bottom="1440" w:gutter="0" w:footer="0" w:header="0"/>
        </w:sectPr>
      </w:pPr>
    </w:p>
    <w:bookmarkStart w:id="59" w:name="page60"/>
    <w:bookmarkEnd w:id="5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67" w:lineRule="exact"/>
        <w:rPr>
          <w:sz w:val="20"/>
          <w:szCs w:val="20"/>
          <w:color w:val="auto"/>
        </w:rPr>
      </w:pPr>
    </w:p>
    <w:p>
      <w:pPr>
        <w:ind w:right="20" w:firstLine="1428"/>
        <w:spacing w:after="0" w:line="261" w:lineRule="auto"/>
        <w:tabs>
          <w:tab w:leader="none" w:pos="167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such period); or</w:t>
      </w:r>
    </w:p>
    <w:p>
      <w:pPr>
        <w:ind w:left="1680" w:hanging="252"/>
        <w:spacing w:after="0"/>
        <w:tabs>
          <w:tab w:leader="none" w:pos="1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 or</w:t>
      </w:r>
    </w:p>
    <w:p>
      <w:pPr>
        <w:spacing w:after="0" w:line="97" w:lineRule="exact"/>
        <w:rPr>
          <w:rFonts w:ascii="Times New Roman" w:cs="Times New Roman" w:eastAsia="Times New Roman" w:hAnsi="Times New Roman"/>
          <w:sz w:val="18"/>
          <w:szCs w:val="18"/>
          <w:color w:val="auto"/>
        </w:rPr>
      </w:pPr>
    </w:p>
    <w:p>
      <w:pPr>
        <w:ind w:firstLine="1428"/>
        <w:spacing w:after="0" w:line="256" w:lineRule="auto"/>
        <w:tabs>
          <w:tab w:leader="none" w:pos="167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7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w:t>
      </w:r>
    </w:p>
    <w:p>
      <w:pPr>
        <w:spacing w:after="0" w:line="117" w:lineRule="exact"/>
        <w:rPr>
          <w:rFonts w:ascii="Times New Roman" w:cs="Times New Roman" w:eastAsia="Times New Roman" w:hAnsi="Times New Roman"/>
          <w:sz w:val="18"/>
          <w:szCs w:val="18"/>
          <w:color w:val="auto"/>
        </w:rPr>
      </w:pPr>
    </w:p>
    <w:p>
      <w:pPr>
        <w:ind w:left="2200" w:hanging="221"/>
        <w:spacing w:after="0"/>
        <w:tabs>
          <w:tab w:leader="none" w:pos="22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11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117" w:lineRule="exact"/>
        <w:rPr>
          <w:rFonts w:ascii="Times New Roman" w:cs="Times New Roman" w:eastAsia="Times New Roman" w:hAnsi="Times New Roman"/>
          <w:sz w:val="18"/>
          <w:szCs w:val="18"/>
          <w:color w:val="auto"/>
        </w:rPr>
      </w:pPr>
    </w:p>
    <w:p>
      <w:pPr>
        <w:ind w:left="2300" w:hanging="321"/>
        <w:spacing w:after="0"/>
        <w:tabs>
          <w:tab w:leader="none" w:pos="2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117" w:lineRule="exact"/>
        <w:rPr>
          <w:rFonts w:ascii="Times New Roman" w:cs="Times New Roman" w:eastAsia="Times New Roman" w:hAnsi="Times New Roman"/>
          <w:sz w:val="18"/>
          <w:szCs w:val="18"/>
          <w:color w:val="auto"/>
        </w:rPr>
      </w:pPr>
    </w:p>
    <w:p>
      <w:pPr>
        <w:ind w:left="2280" w:hanging="301"/>
        <w:spacing w:after="0"/>
        <w:tabs>
          <w:tab w:leader="none" w:pos="22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11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unable to pay its debts as the same become due; or</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17" w:lineRule="exact"/>
        <w:rPr>
          <w:rFonts w:ascii="Times New Roman" w:cs="Times New Roman" w:eastAsia="Times New Roman" w:hAnsi="Times New Roman"/>
          <w:sz w:val="18"/>
          <w:szCs w:val="18"/>
          <w:color w:val="auto"/>
        </w:rPr>
      </w:pPr>
    </w:p>
    <w:p>
      <w:pPr>
        <w:ind w:left="2200" w:hanging="221"/>
        <w:spacing w:after="0"/>
        <w:tabs>
          <w:tab w:leader="none" w:pos="22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in an involuntary case,</w:t>
      </w:r>
    </w:p>
    <w:p>
      <w:pPr>
        <w:spacing w:after="0" w:line="11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for all or substantially all of its property, or</w:t>
      </w:r>
    </w:p>
    <w:p>
      <w:pPr>
        <w:spacing w:after="0" w:line="117" w:lineRule="exact"/>
        <w:rPr>
          <w:rFonts w:ascii="Times New Roman" w:cs="Times New Roman" w:eastAsia="Times New Roman" w:hAnsi="Times New Roman"/>
          <w:sz w:val="18"/>
          <w:szCs w:val="18"/>
          <w:color w:val="auto"/>
        </w:rPr>
      </w:pPr>
    </w:p>
    <w:p>
      <w:pPr>
        <w:ind w:left="2300" w:hanging="321"/>
        <w:spacing w:after="0"/>
        <w:tabs>
          <w:tab w:leader="none" w:pos="2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days; or</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440" w:top="266" w:right="539" w:bottom="1440" w:gutter="0" w:footer="0" w:header="0"/>
        </w:sectPr>
      </w:pPr>
    </w:p>
    <w:bookmarkStart w:id="60" w:name="page61"/>
    <w:bookmarkEnd w:id="60"/>
    <w:p>
      <w:pPr>
        <w:ind w:right="660" w:firstLine="1428"/>
        <w:spacing w:after="0" w:line="282" w:lineRule="auto"/>
        <w:tabs>
          <w:tab w:leader="none" w:pos="165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Event of Default provided with respect to Securities of that Series, which is specified in a Board Resolution, a supplemental indenture hereto or an Officer’s Certificate, in accordance with Section 2.2.18.</w:t>
      </w:r>
    </w:p>
    <w:p>
      <w:pPr>
        <w:spacing w:after="0" w:line="160" w:lineRule="exact"/>
        <w:rPr>
          <w:sz w:val="20"/>
          <w:szCs w:val="20"/>
          <w:color w:val="auto"/>
        </w:rPr>
      </w:pPr>
    </w:p>
    <w:p>
      <w:pPr>
        <w:ind w:right="680" w:firstLine="991"/>
        <w:spacing w:after="0" w:line="28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title 11, U.S. Code or any similar U.S. Federal or State law for the relief of debtors. The term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160"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72" w:lineRule="auto"/>
        <w:rPr>
          <w:sz w:val="20"/>
          <w:szCs w:val="20"/>
          <w:color w:val="auto"/>
        </w:rPr>
      </w:pPr>
      <w:r>
        <w:rPr>
          <w:rFonts w:ascii="Times New Roman" w:cs="Times New Roman" w:eastAsia="Times New Roman" w:hAnsi="Times New Roman"/>
          <w:sz w:val="17"/>
          <w:szCs w:val="17"/>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cs="Times New Roman" w:eastAsia="Times New Roman" w:hAnsi="Times New Roman"/>
          <w:sz w:val="17"/>
          <w:szCs w:val="17"/>
          <w:i w:val="1"/>
          <w:iCs w:val="1"/>
          <w:color w:val="auto"/>
        </w:rPr>
        <w:t>ipso facto</w:t>
      </w:r>
      <w:r>
        <w:rPr>
          <w:rFonts w:ascii="Times New Roman" w:cs="Times New Roman" w:eastAsia="Times New Roman" w:hAnsi="Times New Roman"/>
          <w:sz w:val="17"/>
          <w:szCs w:val="17"/>
          <w:color w:val="auto"/>
        </w:rPr>
        <w:t xml:space="preserve"> become and be immediately due and payable without any declaration or other act on the part of the Trustee or any Holder.</w:t>
      </w:r>
    </w:p>
    <w:p>
      <w:pPr>
        <w:spacing w:after="0" w:line="17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117" w:lineRule="exact"/>
        <w:rPr>
          <w:sz w:val="20"/>
          <w:szCs w:val="20"/>
          <w:color w:val="auto"/>
        </w:rPr>
      </w:pPr>
    </w:p>
    <w:p>
      <w:pPr>
        <w:ind w:right="300" w:firstLine="1428"/>
        <w:spacing w:after="0" w:line="282" w:lineRule="auto"/>
        <w:tabs>
          <w:tab w:leader="none" w:pos="167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interest on any Security when such interest becomes due and payable and such default continues for a period of 30 days, or</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principal of any Security at the Maturity thereof, or</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deposit of any sinking fund payment, if any, when and as due by the terms of a Security,</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440" w:top="270" w:right="519" w:bottom="1440" w:gutter="0" w:footer="0" w:header="0"/>
        </w:sectPr>
      </w:pPr>
    </w:p>
    <w:bookmarkStart w:id="61" w:name="page62"/>
    <w:bookmarkEnd w:id="61"/>
    <w:p>
      <w:pPr>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w:t>
      </w:r>
      <w:r>
        <w:rPr>
          <w:rFonts w:ascii="Times New Roman" w:cs="Times New Roman" w:eastAsia="Times New Roman" w:hAnsi="Times New Roman"/>
          <w:sz w:val="18"/>
          <w:szCs w:val="18"/>
          <w:color w:val="auto"/>
        </w:rPr>
        <w:t>, the Company will, upon demand of the Trustee, pay to it, for the benefit of the Holders of such Securities, the whole amount then due and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8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0"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75" w:lineRule="exact"/>
        <w:rPr>
          <w:sz w:val="20"/>
          <w:szCs w:val="20"/>
          <w:color w:val="auto"/>
        </w:rPr>
      </w:pPr>
    </w:p>
    <w:p>
      <w:pPr>
        <w:jc w:val="both"/>
        <w:ind w:right="160" w:firstLine="1428"/>
        <w:spacing w:after="0" w:line="289" w:lineRule="auto"/>
        <w:tabs>
          <w:tab w:leader="none" w:pos="167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49" w:lineRule="exact"/>
        <w:rPr>
          <w:rFonts w:ascii="Times New Roman" w:cs="Times New Roman" w:eastAsia="Times New Roman" w:hAnsi="Times New Roman"/>
          <w:sz w:val="17"/>
          <w:szCs w:val="17"/>
          <w:color w:val="auto"/>
        </w:rPr>
      </w:pPr>
    </w:p>
    <w:p>
      <w:pPr>
        <w:ind w:firstLine="1428"/>
        <w:spacing w:after="0" w:line="258" w:lineRule="auto"/>
        <w:tabs>
          <w:tab w:leader="none" w:pos="168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83"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8" w:right="459" w:bottom="1440" w:gutter="0" w:footer="0" w:header="0"/>
        </w:sectPr>
      </w:pPr>
    </w:p>
    <w:bookmarkStart w:id="62" w:name="page63"/>
    <w:bookmarkEnd w:id="6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6.5 </w:t>
      </w:r>
      <w:r>
        <w:rPr>
          <w:rFonts w:ascii="Times New Roman" w:cs="Times New Roman" w:eastAsia="Times New Roman" w:hAnsi="Times New Roman"/>
          <w:sz w:val="18"/>
          <w:szCs w:val="18"/>
          <w:u w:val="single" w:color="auto"/>
          <w:color w:val="auto"/>
        </w:rPr>
        <w:t>Trustee May Enforce Claims Without Possession of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Application of Money Collected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First: To the payment of all amounts due the Trustee under Section 7.7; and</w:t>
      </w:r>
    </w:p>
    <w:p>
      <w:pPr>
        <w:spacing w:after="0" w:line="117"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Third: To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such Holder has previously given written notice to the Trustee of a continuing Event of Default with respect to the Securities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Series;</w:t>
      </w:r>
    </w:p>
    <w:p>
      <w:pPr>
        <w:spacing w:after="0" w:line="99" w:lineRule="exact"/>
        <w:rPr>
          <w:sz w:val="20"/>
          <w:szCs w:val="20"/>
          <w:color w:val="auto"/>
        </w:rPr>
      </w:pPr>
    </w:p>
    <w:p>
      <w:pPr>
        <w:ind w:right="100" w:firstLine="1428"/>
        <w:spacing w:after="0" w:line="282" w:lineRule="auto"/>
        <w:tabs>
          <w:tab w:leader="none" w:pos="16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53" w:lineRule="exact"/>
        <w:rPr>
          <w:rFonts w:ascii="Times New Roman" w:cs="Times New Roman" w:eastAsia="Times New Roman" w:hAnsi="Times New Roman"/>
          <w:sz w:val="18"/>
          <w:szCs w:val="18"/>
          <w:color w:val="auto"/>
        </w:rPr>
      </w:pPr>
    </w:p>
    <w:p>
      <w:pPr>
        <w:ind w:right="220" w:firstLine="1428"/>
        <w:spacing w:after="0" w:line="282" w:lineRule="auto"/>
        <w:tabs>
          <w:tab w:leader="none" w:pos="167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right="200" w:firstLine="1428"/>
        <w:spacing w:after="0" w:line="282" w:lineRule="auto"/>
        <w:tabs>
          <w:tab w:leader="none" w:pos="167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63" w:name="page64"/>
    <w:bookmarkEnd w:id="63"/>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Unconditional Right of Holders to Receive Principal and 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81" w:lineRule="auto"/>
        <w:rPr>
          <w:sz w:val="20"/>
          <w:szCs w:val="20"/>
          <w:color w:val="auto"/>
        </w:rPr>
      </w:pPr>
      <w:r>
        <w:rPr>
          <w:rFonts w:ascii="Times New Roman" w:cs="Times New Roman" w:eastAsia="Times New Roman" w:hAnsi="Times New Roman"/>
          <w:sz w:val="17"/>
          <w:szCs w:val="17"/>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Control by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68" w:lineRule="exact"/>
        <w:rPr>
          <w:sz w:val="20"/>
          <w:szCs w:val="20"/>
          <w:color w:val="auto"/>
        </w:rPr>
      </w:pPr>
    </w:p>
    <w:p>
      <w:pPr>
        <w:ind w:left="5360" w:right="3520" w:hanging="3932"/>
        <w:spacing w:after="0" w:line="454" w:lineRule="auto"/>
        <w:tabs>
          <w:tab w:leader="none" w:pos="167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 -22-</w:t>
      </w:r>
    </w:p>
    <w:p>
      <w:pPr>
        <w:sectPr>
          <w:pgSz w:w="11900" w:h="16838" w:orient="portrait"/>
          <w:cols w:equalWidth="0" w:num="1">
            <w:col w:w="11000"/>
          </w:cols>
          <w:pgMar w:left="440" w:top="270" w:right="459" w:bottom="1440" w:gutter="0" w:footer="0" w:header="0"/>
        </w:sectPr>
      </w:pPr>
    </w:p>
    <w:bookmarkStart w:id="64" w:name="page65"/>
    <w:bookmarkEnd w:id="64"/>
    <w:p>
      <w:pPr>
        <w:ind w:left="1680" w:hanging="252"/>
        <w:spacing w:after="0"/>
        <w:tabs>
          <w:tab w:leader="none" w:pos="1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may take any other action deemed proper by the Trustee which is not inconsistent with such direction,</w:t>
      </w:r>
    </w:p>
    <w:p>
      <w:pPr>
        <w:spacing w:after="0" w:line="117" w:lineRule="exact"/>
        <w:rPr>
          <w:rFonts w:ascii="Times New Roman" w:cs="Times New Roman" w:eastAsia="Times New Roman" w:hAnsi="Times New Roman"/>
          <w:sz w:val="18"/>
          <w:szCs w:val="18"/>
          <w:color w:val="auto"/>
        </w:rPr>
      </w:pPr>
    </w:p>
    <w:p>
      <w:pPr>
        <w:jc w:val="both"/>
        <w:ind w:right="200" w:firstLine="1428"/>
        <w:spacing w:after="0" w:line="312" w:lineRule="auto"/>
        <w:tabs>
          <w:tab w:leader="none" w:pos="167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31" w:lineRule="exact"/>
        <w:rPr>
          <w:rFonts w:ascii="Times New Roman" w:cs="Times New Roman" w:eastAsia="Times New Roman" w:hAnsi="Times New Roman"/>
          <w:sz w:val="17"/>
          <w:szCs w:val="17"/>
          <w:color w:val="auto"/>
        </w:rPr>
      </w:pPr>
    </w:p>
    <w:p>
      <w:pPr>
        <w:ind w:right="180" w:firstLine="1428"/>
        <w:spacing w:after="0" w:line="282" w:lineRule="auto"/>
        <w:tabs>
          <w:tab w:leader="none" w:pos="168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taking any action as directed under this Section 6.12, the Trustee shall be entitled to indemnity satisfactory to it against the losses, costs, expenses and liabilities which might be incurred by it in compliance with such request or direction.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1428"/>
        <w:spacing w:after="0" w:line="266" w:lineRule="auto"/>
        <w:tabs>
          <w:tab w:leader="none" w:pos="167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65" w:name="page66"/>
    <w:bookmarkEnd w:id="65"/>
    <w:p>
      <w:pPr>
        <w:ind w:left="-100" w:right="100" w:firstLine="1979"/>
        <w:spacing w:after="0" w:line="282" w:lineRule="auto"/>
        <w:tabs>
          <w:tab w:leader="none" w:pos="209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need perform only those duties that are specifically set forth in this Indenture and no others, and no implied covenants or obligations shall be read into this Indenture against the Trustee.</w:t>
      </w:r>
    </w:p>
    <w:p>
      <w:pPr>
        <w:spacing w:after="0" w:line="53" w:lineRule="exact"/>
        <w:rPr>
          <w:rFonts w:ascii="Times New Roman" w:cs="Times New Roman" w:eastAsia="Times New Roman" w:hAnsi="Times New Roman"/>
          <w:sz w:val="18"/>
          <w:szCs w:val="18"/>
          <w:color w:val="auto"/>
        </w:rPr>
      </w:pPr>
    </w:p>
    <w:p>
      <w:pPr>
        <w:ind w:left="-100" w:right="20" w:firstLine="1979"/>
        <w:spacing w:after="0" w:line="256" w:lineRule="auto"/>
        <w:tabs>
          <w:tab w:leader="none" w:pos="214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(but need not confirm or investigate the accuracy of mathematical calculations or other facts stated therein).</w:t>
      </w:r>
    </w:p>
    <w:p>
      <w:pPr>
        <w:spacing w:after="0" w:line="79" w:lineRule="exact"/>
        <w:rPr>
          <w:rFonts w:ascii="Times New Roman" w:cs="Times New Roman" w:eastAsia="Times New Roman" w:hAnsi="Times New Roman"/>
          <w:sz w:val="18"/>
          <w:szCs w:val="18"/>
          <w:color w:val="auto"/>
        </w:rPr>
      </w:pPr>
    </w:p>
    <w:p>
      <w:pPr>
        <w:ind w:left="-100" w:right="320" w:firstLine="1428"/>
        <w:spacing w:after="0" w:line="282" w:lineRule="auto"/>
        <w:tabs>
          <w:tab w:leader="none" w:pos="157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negligent action, its own negligent failure to act or its own willful misconduct, except that:</w:t>
      </w:r>
    </w:p>
    <w:p>
      <w:pPr>
        <w:spacing w:after="0" w:line="53" w:lineRule="exact"/>
        <w:rPr>
          <w:rFonts w:ascii="Times New Roman" w:cs="Times New Roman" w:eastAsia="Times New Roman" w:hAnsi="Times New Roman"/>
          <w:sz w:val="18"/>
          <w:szCs w:val="18"/>
          <w:color w:val="auto"/>
        </w:rPr>
      </w:pPr>
    </w:p>
    <w:p>
      <w:pPr>
        <w:ind w:left="2100" w:hanging="221"/>
        <w:spacing w:after="0"/>
        <w:tabs>
          <w:tab w:leader="none" w:pos="21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w:t>
      </w:r>
    </w:p>
    <w:p>
      <w:pPr>
        <w:spacing w:after="0" w:line="117" w:lineRule="exact"/>
        <w:rPr>
          <w:rFonts w:ascii="Times New Roman" w:cs="Times New Roman" w:eastAsia="Times New Roman" w:hAnsi="Times New Roman"/>
          <w:sz w:val="18"/>
          <w:szCs w:val="18"/>
          <w:color w:val="auto"/>
        </w:rPr>
      </w:pPr>
    </w:p>
    <w:p>
      <w:pPr>
        <w:ind w:left="-100" w:firstLine="1979"/>
        <w:spacing w:after="0" w:line="282" w:lineRule="auto"/>
        <w:tabs>
          <w:tab w:leader="none" w:pos="214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in a court of competent jurisdiction that the Trustee was negligent in ascertaining the pertinent facts.</w:t>
      </w:r>
    </w:p>
    <w:p>
      <w:pPr>
        <w:spacing w:after="0" w:line="53" w:lineRule="exact"/>
        <w:rPr>
          <w:rFonts w:ascii="Times New Roman" w:cs="Times New Roman" w:eastAsia="Times New Roman" w:hAnsi="Times New Roman"/>
          <w:sz w:val="18"/>
          <w:szCs w:val="18"/>
          <w:color w:val="auto"/>
        </w:rPr>
      </w:pPr>
    </w:p>
    <w:p>
      <w:pPr>
        <w:ind w:left="-100" w:right="120" w:firstLine="1979"/>
        <w:spacing w:after="0" w:line="261" w:lineRule="auto"/>
        <w:tabs>
          <w:tab w:leader="none" w:pos="219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71" w:lineRule="exact"/>
        <w:rPr>
          <w:rFonts w:ascii="Times New Roman" w:cs="Times New Roman" w:eastAsia="Times New Roman" w:hAnsi="Times New Roman"/>
          <w:sz w:val="18"/>
          <w:szCs w:val="18"/>
          <w:color w:val="auto"/>
        </w:rPr>
      </w:pPr>
    </w:p>
    <w:p>
      <w:pPr>
        <w:ind w:left="1580" w:hanging="252"/>
        <w:spacing w:after="0"/>
        <w:tabs>
          <w:tab w:leader="none" w:pos="1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provision of this Indenture that in any way relates to the Trustee is subject to paragraph (a), (b) and (c) of this Section.</w:t>
      </w:r>
    </w:p>
    <w:p>
      <w:pPr>
        <w:spacing w:after="0" w:line="117" w:lineRule="exact"/>
        <w:rPr>
          <w:rFonts w:ascii="Times New Roman" w:cs="Times New Roman" w:eastAsia="Times New Roman" w:hAnsi="Times New Roman"/>
          <w:sz w:val="18"/>
          <w:szCs w:val="18"/>
          <w:color w:val="auto"/>
        </w:rPr>
      </w:pPr>
    </w:p>
    <w:p>
      <w:pPr>
        <w:ind w:left="-100" w:right="60" w:firstLine="1428"/>
        <w:spacing w:after="0" w:line="282" w:lineRule="auto"/>
        <w:tabs>
          <w:tab w:leader="none" w:pos="157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refuse to perform any duty or exercise any right or power unless it receives indemnity satisfactory to it against the losses, costs, expenses and liabilities which might be incurred by it in performing such duty or exercising such right or power.</w:t>
      </w:r>
    </w:p>
    <w:p>
      <w:pPr>
        <w:spacing w:after="0" w:line="53" w:lineRule="exact"/>
        <w:rPr>
          <w:rFonts w:ascii="Times New Roman" w:cs="Times New Roman" w:eastAsia="Times New Roman" w:hAnsi="Times New Roman"/>
          <w:sz w:val="18"/>
          <w:szCs w:val="18"/>
          <w:color w:val="auto"/>
        </w:rPr>
      </w:pPr>
    </w:p>
    <w:p>
      <w:pPr>
        <w:ind w:left="-100" w:right="60" w:firstLine="1428"/>
        <w:spacing w:after="0" w:line="282" w:lineRule="auto"/>
        <w:tabs>
          <w:tab w:leader="none" w:pos="155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or investment on any money received by it except as the Trustee may agree in writing with the Company. Money held in trust by the Trustee need not be segregated from other funds except to the extent required by law.</w:t>
      </w:r>
    </w:p>
    <w:p>
      <w:pPr>
        <w:spacing w:after="0" w:line="53" w:lineRule="exact"/>
        <w:rPr>
          <w:rFonts w:ascii="Times New Roman" w:cs="Times New Roman" w:eastAsia="Times New Roman" w:hAnsi="Times New Roman"/>
          <w:sz w:val="18"/>
          <w:szCs w:val="18"/>
          <w:color w:val="auto"/>
        </w:rPr>
      </w:pPr>
    </w:p>
    <w:p>
      <w:pPr>
        <w:ind w:left="-100" w:right="60" w:firstLine="1428"/>
        <w:spacing w:after="0" w:line="282" w:lineRule="auto"/>
        <w:tabs>
          <w:tab w:leader="none" w:pos="158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liability in the performance of any of its duties, or in the exercise of any of its rights or powers.</w:t>
      </w:r>
    </w:p>
    <w:p>
      <w:pPr>
        <w:spacing w:after="0" w:line="53" w:lineRule="exact"/>
        <w:rPr>
          <w:rFonts w:ascii="Times New Roman" w:cs="Times New Roman" w:eastAsia="Times New Roman" w:hAnsi="Times New Roman"/>
          <w:sz w:val="18"/>
          <w:szCs w:val="18"/>
          <w:color w:val="auto"/>
        </w:rPr>
      </w:pPr>
    </w:p>
    <w:p>
      <w:pPr>
        <w:ind w:left="-100" w:right="60" w:firstLine="1428"/>
        <w:spacing w:after="0" w:line="282" w:lineRule="auto"/>
        <w:tabs>
          <w:tab w:leader="none" w:pos="158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820"/>
          </w:cols>
          <w:pgMar w:left="540" w:top="270" w:right="539" w:bottom="1440" w:gutter="0" w:footer="0" w:header="0"/>
        </w:sectPr>
      </w:pPr>
    </w:p>
    <w:bookmarkStart w:id="66" w:name="page67"/>
    <w:bookmarkEnd w:id="6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7.2 </w:t>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40" w:firstLine="1428"/>
        <w:spacing w:after="0" w:line="266" w:lineRule="auto"/>
        <w:tabs>
          <w:tab w:leader="none" w:pos="167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67" w:lineRule="exact"/>
        <w:rPr>
          <w:rFonts w:ascii="Times New Roman" w:cs="Times New Roman" w:eastAsia="Times New Roman" w:hAnsi="Times New Roman"/>
          <w:sz w:val="18"/>
          <w:szCs w:val="18"/>
          <w:color w:val="auto"/>
        </w:rPr>
      </w:pPr>
    </w:p>
    <w:p>
      <w:pPr>
        <w:ind w:right="360" w:firstLine="1428"/>
        <w:spacing w:after="0" w:line="282" w:lineRule="auto"/>
        <w:tabs>
          <w:tab w:leader="none" w:pos="16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53" w:lineRule="exact"/>
        <w:rPr>
          <w:rFonts w:ascii="Times New Roman" w:cs="Times New Roman" w:eastAsia="Times New Roman" w:hAnsi="Times New Roman"/>
          <w:sz w:val="18"/>
          <w:szCs w:val="18"/>
          <w:color w:val="auto"/>
        </w:rPr>
      </w:pPr>
    </w:p>
    <w:p>
      <w:pPr>
        <w:ind w:right="60" w:firstLine="1428"/>
        <w:spacing w:after="0" w:line="266" w:lineRule="auto"/>
        <w:tabs>
          <w:tab w:leader="none" w:pos="167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and shall not be responsible for the misconduct or negligence of any attorney or agent appointed with due care. No Depositary shall be deemed an agent of the Trustee and the Trustee shall not be responsible for any act or omission by any Depositary.</w:t>
      </w:r>
    </w:p>
    <w:p>
      <w:pPr>
        <w:spacing w:after="0" w:line="67" w:lineRule="exact"/>
        <w:rPr>
          <w:rFonts w:ascii="Times New Roman" w:cs="Times New Roman" w:eastAsia="Times New Roman" w:hAnsi="Times New Roman"/>
          <w:sz w:val="18"/>
          <w:szCs w:val="18"/>
          <w:color w:val="auto"/>
        </w:rPr>
      </w:pPr>
    </w:p>
    <w:p>
      <w:pPr>
        <w:ind w:firstLine="1428"/>
        <w:spacing w:after="0" w:line="282" w:lineRule="auto"/>
        <w:tabs>
          <w:tab w:leader="none" w:pos="16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53" w:lineRule="exact"/>
        <w:rPr>
          <w:rFonts w:ascii="Times New Roman" w:cs="Times New Roman" w:eastAsia="Times New Roman" w:hAnsi="Times New Roman"/>
          <w:sz w:val="18"/>
          <w:szCs w:val="18"/>
          <w:color w:val="auto"/>
        </w:rPr>
      </w:pPr>
    </w:p>
    <w:p>
      <w:pPr>
        <w:ind w:right="40" w:firstLine="1428"/>
        <w:spacing w:after="0" w:line="266" w:lineRule="auto"/>
        <w:tabs>
          <w:tab w:leader="none" w:pos="167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67" w:lineRule="exact"/>
        <w:rPr>
          <w:rFonts w:ascii="Times New Roman" w:cs="Times New Roman" w:eastAsia="Times New Roman" w:hAnsi="Times New Roman"/>
          <w:sz w:val="18"/>
          <w:szCs w:val="18"/>
          <w:color w:val="auto"/>
        </w:rPr>
      </w:pPr>
    </w:p>
    <w:p>
      <w:pPr>
        <w:jc w:val="both"/>
        <w:ind w:right="300" w:firstLine="1428"/>
        <w:spacing w:after="0" w:line="289" w:lineRule="auto"/>
        <w:tabs>
          <w:tab w:leader="none" w:pos="165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be under no obligation to exercise any of the rights or powers vested in it by this Indenture at the request or direction of any of the Holders of Securities unless such Holders shall have offered (and, if requested, provided) to the Trustee security or indemnity satisfactory to it against the losses, costs, expenses and liabilities which might be incurred by it in compliance with such request or direction.</w:t>
      </w:r>
    </w:p>
    <w:p>
      <w:pPr>
        <w:spacing w:after="0" w:line="49" w:lineRule="exact"/>
        <w:rPr>
          <w:rFonts w:ascii="Times New Roman" w:cs="Times New Roman" w:eastAsia="Times New Roman" w:hAnsi="Times New Roman"/>
          <w:sz w:val="17"/>
          <w:szCs w:val="17"/>
          <w:color w:val="auto"/>
        </w:rPr>
      </w:pPr>
    </w:p>
    <w:p>
      <w:pPr>
        <w:jc w:val="both"/>
        <w:ind w:right="80" w:firstLine="1428"/>
        <w:spacing w:after="0" w:line="266" w:lineRule="auto"/>
        <w:tabs>
          <w:tab w:leader="none" w:pos="16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67" w:lineRule="exact"/>
        <w:rPr>
          <w:rFonts w:ascii="Times New Roman" w:cs="Times New Roman" w:eastAsia="Times New Roman" w:hAnsi="Times New Roman"/>
          <w:sz w:val="18"/>
          <w:szCs w:val="18"/>
          <w:color w:val="auto"/>
        </w:rPr>
      </w:pPr>
    </w:p>
    <w:p>
      <w:pPr>
        <w:ind w:right="20" w:firstLine="1428"/>
        <w:spacing w:after="0" w:line="261" w:lineRule="auto"/>
        <w:tabs>
          <w:tab w:leader="none" w:pos="16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Securities generally or the Securities of a particular Series and this Indenture.</w:t>
      </w:r>
    </w:p>
    <w:p>
      <w:pPr>
        <w:spacing w:after="0" w:line="71" w:lineRule="exact"/>
        <w:rPr>
          <w:rFonts w:ascii="Times New Roman" w:cs="Times New Roman" w:eastAsia="Times New Roman" w:hAnsi="Times New Roman"/>
          <w:sz w:val="18"/>
          <w:szCs w:val="18"/>
          <w:color w:val="auto"/>
        </w:rPr>
      </w:pPr>
    </w:p>
    <w:p>
      <w:pPr>
        <w:ind w:right="100" w:firstLine="1428"/>
        <w:spacing w:after="0" w:line="266" w:lineRule="auto"/>
        <w:tabs>
          <w:tab w:leader="none" w:pos="164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to any person for special, punitive, indirect, consequential or incidental loss or damage of any kind whatsoever (including but not limited to lost profits), even if the Trustee has been advised of the likelihood of such loss or damage and regardless of the form of action.</w:t>
      </w:r>
    </w:p>
    <w:p>
      <w:pPr>
        <w:spacing w:after="0" w:line="6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 of the Trustee to take the actions permitted by this Indenture shall not be construed as an obligation or duty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so.</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67" w:name="page68"/>
    <w:bookmarkEnd w:id="67"/>
    <w:p>
      <w:pPr>
        <w:ind w:left="1680" w:hanging="252"/>
        <w:spacing w:after="0"/>
        <w:tabs>
          <w:tab w:leader="none" w:pos="1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bond or surety shall be required with respect to performance of Trustee’s duties and powers.</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Trustee be liable in its individual capacity for the obligations evidenced by the Securities.</w:t>
      </w:r>
    </w:p>
    <w:p>
      <w:pPr>
        <w:spacing w:after="0" w:line="117" w:lineRule="exact"/>
        <w:rPr>
          <w:rFonts w:ascii="Times New Roman" w:cs="Times New Roman" w:eastAsia="Times New Roman" w:hAnsi="Times New Roman"/>
          <w:sz w:val="18"/>
          <w:szCs w:val="18"/>
          <w:color w:val="auto"/>
        </w:rPr>
      </w:pPr>
    </w:p>
    <w:p>
      <w:pPr>
        <w:ind w:right="600" w:firstLine="1428"/>
        <w:spacing w:after="0" w:line="282" w:lineRule="auto"/>
        <w:tabs>
          <w:tab w:leader="none" w:pos="173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 Company Order and any resolution of the Board of Directors may be sufficiently evidenced by a Board Resolution.</w:t>
      </w:r>
    </w:p>
    <w:p>
      <w:pPr>
        <w:spacing w:after="0" w:line="53" w:lineRule="exact"/>
        <w:rPr>
          <w:rFonts w:ascii="Times New Roman" w:cs="Times New Roman" w:eastAsia="Times New Roman" w:hAnsi="Times New Roman"/>
          <w:sz w:val="18"/>
          <w:szCs w:val="18"/>
          <w:color w:val="auto"/>
        </w:rPr>
      </w:pPr>
    </w:p>
    <w:p>
      <w:pPr>
        <w:ind w:right="360" w:firstLine="1428"/>
        <w:spacing w:after="0" w:line="282" w:lineRule="auto"/>
        <w:tabs>
          <w:tab w:leader="none" w:pos="168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 certificate setting forth the names of individuals and/or titles of officers authorized at such time to take specified actions pursuant to this Indenture.</w:t>
      </w:r>
    </w:p>
    <w:p>
      <w:pPr>
        <w:spacing w:after="0" w:line="53" w:lineRule="exact"/>
        <w:rPr>
          <w:rFonts w:ascii="Times New Roman" w:cs="Times New Roman" w:eastAsia="Times New Roman" w:hAnsi="Times New Roman"/>
          <w:sz w:val="18"/>
          <w:szCs w:val="18"/>
          <w:color w:val="auto"/>
        </w:rPr>
      </w:pPr>
    </w:p>
    <w:p>
      <w:pPr>
        <w:ind w:right="340" w:firstLine="1428"/>
        <w:spacing w:after="0" w:line="266" w:lineRule="auto"/>
        <w:tabs>
          <w:tab w:leader="none" w:pos="168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Individual Rights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Trustee shall not be responsible for and makes no representation as to the validity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any Paying Agent other than the Trustee, and it shall not be responsible for any statement herein or in the Securities or any other document in connection with the sale of the Securities other than its authentication. The recitals contained herein and in the Securities, except the Trustee’s certificates of authentication, shall be taken as the statements of the Company, and the Trustee or any Authenticating Agent assumes no responsibility for their correctness.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If a Default or Event of Default occurs and is continuing with respect to the Securities of any Series and if it is actually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68" w:name="page69"/>
    <w:bookmarkEnd w:id="6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7.6 </w:t>
      </w:r>
      <w:r>
        <w:rPr>
          <w:rFonts w:ascii="Times New Roman" w:cs="Times New Roman" w:eastAsia="Times New Roman" w:hAnsi="Times New Roman"/>
          <w:sz w:val="18"/>
          <w:szCs w:val="18"/>
          <w:u w:val="single" w:color="auto"/>
          <w:color w:val="auto"/>
        </w:rPr>
        <w:t>Reports by Trustee to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Within 60 days after each        , commencing        , 20 ,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76"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A copy of each report at the time of its sending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delisted from any national securities exchange.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Company shall indemnify each of the Trustee and any predecessor Trustee (including for the cost of defending itself) against any cost, damages, losses, expense or liability, including taxes (other than taxes based upon, measured by or determined by the income of the Trustee) incurred by it except as set forth in the next paragraph in the performance of its duties under this Indenture or in connection with its acceptance of its obligations hereunder,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92" w:lineRule="exact"/>
        <w:rPr>
          <w:sz w:val="20"/>
          <w:szCs w:val="20"/>
          <w:color w:val="auto"/>
        </w:rPr>
      </w:pPr>
    </w:p>
    <w:p>
      <w:pPr>
        <w:ind w:right="20" w:firstLine="991"/>
        <w:spacing w:after="0" w:line="312" w:lineRule="auto"/>
        <w:rPr>
          <w:sz w:val="20"/>
          <w:szCs w:val="20"/>
          <w:color w:val="auto"/>
        </w:rPr>
      </w:pPr>
      <w:r>
        <w:rPr>
          <w:rFonts w:ascii="Times New Roman" w:cs="Times New Roman" w:eastAsia="Times New Roman" w:hAnsi="Times New Roman"/>
          <w:sz w:val="17"/>
          <w:szCs w:val="17"/>
          <w:color w:val="auto"/>
        </w:rPr>
        <w:t>The Company need not reimburse any expense or indemnify against any loss or liability incurred by the Trustee or by any officer, director, employee, shareholder or agent of the Trustee through willful misconduct or negligence, as finally adjudicated by a court of competent jurisdiction.</w:t>
      </w:r>
    </w:p>
    <w:p>
      <w:pPr>
        <w:spacing w:after="0" w:line="140" w:lineRule="exact"/>
        <w:rPr>
          <w:sz w:val="20"/>
          <w:szCs w:val="20"/>
          <w:color w:val="auto"/>
        </w:rPr>
      </w:pPr>
    </w:p>
    <w:p>
      <w:pPr>
        <w:ind w:right="460" w:firstLine="991"/>
        <w:spacing w:after="0" w:line="312" w:lineRule="auto"/>
        <w:rPr>
          <w:sz w:val="20"/>
          <w:szCs w:val="20"/>
          <w:color w:val="auto"/>
        </w:rPr>
      </w:pPr>
      <w:r>
        <w:rPr>
          <w:rFonts w:ascii="Times New Roman" w:cs="Times New Roman" w:eastAsia="Times New Roman" w:hAnsi="Times New Roman"/>
          <w:sz w:val="17"/>
          <w:szCs w:val="17"/>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40"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6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The provisions of this Section shall survive the termination of this Indenture or the resignation or removal of the Trustee.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69" w:name="page70"/>
    <w:bookmarkEnd w:id="6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7.8 </w:t>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A resignation or removal of the Trustee and appointment of a successor Trustee shall become effective only upon the successor Trustee’s acceptance of appointment as provided in this Section.</w:t>
      </w:r>
    </w:p>
    <w:p>
      <w:pPr>
        <w:spacing w:after="0" w:line="16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at least 30 days prior to such removal. The Company may remove the Trustee with respect to Securities of one or more Series with at least 30 days written notice if:</w:t>
      </w:r>
    </w:p>
    <w:p>
      <w:pPr>
        <w:spacing w:after="0" w:line="72" w:lineRule="exact"/>
        <w:rPr>
          <w:sz w:val="20"/>
          <w:szCs w:val="20"/>
          <w:color w:val="auto"/>
        </w:rPr>
      </w:pPr>
    </w:p>
    <w:p>
      <w:pPr>
        <w:ind w:left="1680" w:hanging="252"/>
        <w:spacing w:after="0"/>
        <w:tabs>
          <w:tab w:leader="none" w:pos="1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Bankruptcy Law;</w:t>
      </w:r>
    </w:p>
    <w:p>
      <w:pPr>
        <w:spacing w:after="0" w:line="99" w:lineRule="exact"/>
        <w:rPr>
          <w:sz w:val="20"/>
          <w:szCs w:val="20"/>
          <w:color w:val="auto"/>
        </w:rPr>
      </w:pPr>
    </w:p>
    <w:p>
      <w:pPr>
        <w:ind w:left="1680" w:hanging="252"/>
        <w:spacing w:after="0"/>
        <w:tabs>
          <w:tab w:leader="none" w:pos="1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then-outstanding Securities may appoint a successor Trustee to replace the successor Trustee appointed by the Company.</w:t>
      </w:r>
    </w:p>
    <w:p>
      <w:pPr>
        <w:spacing w:after="0" w:line="176"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Company. Promptly after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retiring Trustee shall transfer all property held by it as Trustee to the successor Trustee subject to the lien provided for in Section 7.7, the resignation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removal of the retiring Trustee shall become effective, and the successor Trustee shall have all the rights, powers and duties of the Trustee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 to each Series of Securities for which it is acting as Trustee under this Indenture. A successor Trustee shall send a notice of its succession to each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Securityholder of each such Series. Notwithstanding replacement of the Trustee pursuant to this Section 7.8, the Company’s obligations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7.7 hereof shall continue for the benefit of the retiring Trustee with respect to expenses and liabilities incurred by it for actions taken or omitted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taken in accordance with its rights, powers and duties under this Indenture prior to such replacement.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Successor Trustee by Merger,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If the Trustee consolidates with,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70" w:name="page71"/>
    <w:bookmarkEnd w:id="7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7.10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This Indenture shall always have a Trustee who satisfies the requirements of TIA § 310(a)(1), (2) and (5). The Trustee shall always have a combined capital and surplus of at least $50,000,000 as set forth in its most recent published annual report of condition. The Trustee shall comply with TIA § 310(b).</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Preferential Collection of Claims Against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The Trustee is subject to TIA § 311(a), excluding any creditor relationship listed in TIA § 311(b). A Trustee who has resigned or been removed shall be subject to TIA § 311(a) to the extent indicated.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68" w:lineRule="exact"/>
        <w:rPr>
          <w:sz w:val="20"/>
          <w:szCs w:val="20"/>
          <w:color w:val="auto"/>
        </w:rPr>
      </w:pPr>
    </w:p>
    <w:p>
      <w:pPr>
        <w:ind w:left="1680" w:hanging="252"/>
        <w:spacing w:after="0"/>
        <w:tabs>
          <w:tab w:leader="none" w:pos="1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firstLine="1979"/>
        <w:spacing w:after="0" w:line="282" w:lineRule="auto"/>
        <w:tabs>
          <w:tab w:leader="none" w:pos="219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61"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of such Series not theretofore delivered to the Trustee for cancellation</w:t>
      </w:r>
    </w:p>
    <w:p>
      <w:pPr>
        <w:spacing w:after="0" w:line="225" w:lineRule="exact"/>
        <w:rPr>
          <w:rFonts w:ascii="Times New Roman" w:cs="Times New Roman" w:eastAsia="Times New Roman" w:hAnsi="Times New Roman"/>
          <w:sz w:val="18"/>
          <w:szCs w:val="18"/>
          <w:color w:val="auto"/>
        </w:rPr>
      </w:pPr>
    </w:p>
    <w:p>
      <w:pPr>
        <w:ind w:left="2680" w:hanging="261"/>
        <w:spacing w:after="0"/>
        <w:tabs>
          <w:tab w:leader="none" w:pos="268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by reason of sending a notice of redemption or otherwise, or</w:t>
      </w:r>
    </w:p>
    <w:p>
      <w:pPr>
        <w:spacing w:after="0" w:line="225" w:lineRule="exact"/>
        <w:rPr>
          <w:rFonts w:ascii="Times New Roman" w:cs="Times New Roman" w:eastAsia="Times New Roman" w:hAnsi="Times New Roman"/>
          <w:sz w:val="18"/>
          <w:szCs w:val="18"/>
          <w:color w:val="auto"/>
        </w:rPr>
      </w:pPr>
    </w:p>
    <w:p>
      <w:pPr>
        <w:ind w:left="2680" w:hanging="261"/>
        <w:spacing w:after="0"/>
        <w:tabs>
          <w:tab w:leader="none" w:pos="268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225" w:lineRule="exact"/>
        <w:rPr>
          <w:rFonts w:ascii="Times New Roman" w:cs="Times New Roman" w:eastAsia="Times New Roman" w:hAnsi="Times New Roman"/>
          <w:sz w:val="18"/>
          <w:szCs w:val="18"/>
          <w:color w:val="auto"/>
        </w:rPr>
      </w:pPr>
    </w:p>
    <w:p>
      <w:pPr>
        <w:ind w:right="40" w:firstLine="2419"/>
        <w:spacing w:after="0" w:line="282" w:lineRule="auto"/>
        <w:tabs>
          <w:tab w:leader="none" w:pos="2678"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61" w:lineRule="exact"/>
        <w:rPr>
          <w:rFonts w:ascii="Times New Roman" w:cs="Times New Roman" w:eastAsia="Times New Roman" w:hAnsi="Times New Roman"/>
          <w:sz w:val="18"/>
          <w:szCs w:val="18"/>
          <w:color w:val="auto"/>
        </w:rPr>
      </w:pPr>
    </w:p>
    <w:p>
      <w:pPr>
        <w:ind w:left="2680" w:hanging="261"/>
        <w:spacing w:after="0"/>
        <w:tabs>
          <w:tab w:leader="none" w:pos="268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deemed paid and discharged pursuant to Section 8.3, as applicable;</w:t>
      </w:r>
    </w:p>
    <w:p>
      <w:pPr>
        <w:spacing w:after="0" w:line="22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and the Company, in the case of (1), (2) or (3) above, shall have irrevocably deposited or caused to be deposited with the Trustee as trust funds in trust an amount of money or U.S. Government Obligations, which amount shall be sufficient (as determined by the Company)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71" w:name="page72"/>
    <w:bookmarkEnd w:id="71"/>
    <w:p>
      <w:pPr>
        <w:ind w:left="1680" w:hanging="252"/>
        <w:spacing w:after="0"/>
        <w:tabs>
          <w:tab w:leader="none" w:pos="1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paid or caused to be paid all other sums payable hereunder by the Company; and</w:t>
      </w:r>
    </w:p>
    <w:p>
      <w:pPr>
        <w:spacing w:after="0" w:line="117" w:lineRule="exact"/>
        <w:rPr>
          <w:rFonts w:ascii="Times New Roman" w:cs="Times New Roman" w:eastAsia="Times New Roman" w:hAnsi="Times New Roman"/>
          <w:sz w:val="18"/>
          <w:szCs w:val="18"/>
          <w:color w:val="auto"/>
        </w:rPr>
      </w:pPr>
    </w:p>
    <w:p>
      <w:pPr>
        <w:ind w:right="680" w:firstLine="1428"/>
        <w:spacing w:after="0" w:line="282" w:lineRule="auto"/>
        <w:tabs>
          <w:tab w:leader="none" w:pos="167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62" w:lineRule="exact"/>
        <w:rPr>
          <w:sz w:val="20"/>
          <w:szCs w:val="20"/>
          <w:color w:val="auto"/>
        </w:rPr>
      </w:pPr>
    </w:p>
    <w:p>
      <w:pPr>
        <w:ind w:firstLine="991"/>
        <w:spacing w:after="0" w:line="312" w:lineRule="auto"/>
        <w:rPr>
          <w:sz w:val="20"/>
          <w:szCs w:val="20"/>
          <w:color w:val="auto"/>
        </w:rPr>
      </w:pPr>
      <w:r>
        <w:rPr>
          <w:rFonts w:ascii="Times New Roman" w:cs="Times New Roman" w:eastAsia="Times New Roman" w:hAnsi="Times New Roman"/>
          <w:sz w:val="17"/>
          <w:szCs w:val="17"/>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Application of Trust Funds; 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28"/>
        <w:spacing w:after="0" w:line="255" w:lineRule="auto"/>
        <w:tabs>
          <w:tab w:leader="none" w:pos="167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80" w:lineRule="exact"/>
        <w:rPr>
          <w:rFonts w:ascii="Times New Roman" w:cs="Times New Roman" w:eastAsia="Times New Roman" w:hAnsi="Times New Roman"/>
          <w:sz w:val="18"/>
          <w:szCs w:val="18"/>
          <w:color w:val="auto"/>
        </w:rPr>
      </w:pPr>
    </w:p>
    <w:p>
      <w:pPr>
        <w:ind w:right="80" w:firstLine="1428"/>
        <w:spacing w:after="0" w:line="266" w:lineRule="auto"/>
        <w:tabs>
          <w:tab w:leader="none" w:pos="168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67" w:lineRule="exact"/>
        <w:rPr>
          <w:rFonts w:ascii="Times New Roman" w:cs="Times New Roman" w:eastAsia="Times New Roman" w:hAnsi="Times New Roman"/>
          <w:sz w:val="18"/>
          <w:szCs w:val="18"/>
          <w:color w:val="auto"/>
        </w:rPr>
      </w:pPr>
    </w:p>
    <w:p>
      <w:pPr>
        <w:ind w:right="20" w:firstLine="1428"/>
        <w:spacing w:after="0" w:line="256" w:lineRule="auto"/>
        <w:tabs>
          <w:tab w:leader="none" w:pos="167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Legal Defeasance of Securities of any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75" w:lineRule="exact"/>
        <w:rPr>
          <w:sz w:val="20"/>
          <w:szCs w:val="20"/>
          <w:color w:val="auto"/>
        </w:rPr>
      </w:pPr>
    </w:p>
    <w:p>
      <w:pPr>
        <w:jc w:val="both"/>
        <w:ind w:right="40" w:firstLine="1428"/>
        <w:spacing w:after="0" w:line="261" w:lineRule="auto"/>
        <w:tabs>
          <w:tab w:leader="none" w:pos="167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72" w:name="page73"/>
    <w:bookmarkEnd w:id="72"/>
    <w:p>
      <w:pPr>
        <w:ind w:left="1680" w:hanging="252"/>
        <w:spacing w:after="0"/>
        <w:tabs>
          <w:tab w:leader="none" w:pos="1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provisions of Sections 2.4, 2.5, 2.7, 2.8, 7.7, 8.2, 8.3, 8.5 and 8.6; and</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and immunities of the Trustee hereunder and the Company’s obligations in connection therewith;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following conditions shall have been satisfied:</w:t>
      </w:r>
    </w:p>
    <w:p>
      <w:pPr>
        <w:spacing w:after="0" w:line="117" w:lineRule="exact"/>
        <w:rPr>
          <w:sz w:val="20"/>
          <w:szCs w:val="20"/>
          <w:color w:val="auto"/>
        </w:rPr>
      </w:pPr>
    </w:p>
    <w:p>
      <w:pPr>
        <w:ind w:firstLine="1428"/>
        <w:spacing w:after="0" w:line="254" w:lineRule="auto"/>
        <w:tabs>
          <w:tab w:leader="none" w:pos="168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80" w:lineRule="exact"/>
        <w:rPr>
          <w:rFonts w:ascii="Times New Roman" w:cs="Times New Roman" w:eastAsia="Times New Roman" w:hAnsi="Times New Roman"/>
          <w:sz w:val="18"/>
          <w:szCs w:val="18"/>
          <w:color w:val="auto"/>
        </w:rPr>
      </w:pPr>
    </w:p>
    <w:p>
      <w:pPr>
        <w:ind w:right="360" w:firstLine="1428"/>
        <w:spacing w:after="0" w:line="282" w:lineRule="auto"/>
        <w:tabs>
          <w:tab w:leader="none" w:pos="167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53" w:lineRule="exact"/>
        <w:rPr>
          <w:rFonts w:ascii="Times New Roman" w:cs="Times New Roman" w:eastAsia="Times New Roman" w:hAnsi="Times New Roman"/>
          <w:sz w:val="18"/>
          <w:szCs w:val="18"/>
          <w:color w:val="auto"/>
        </w:rPr>
      </w:pPr>
    </w:p>
    <w:p>
      <w:pPr>
        <w:ind w:right="120" w:firstLine="1428"/>
        <w:spacing w:after="0" w:line="282" w:lineRule="auto"/>
        <w:tabs>
          <w:tab w:leader="none" w:pos="165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53" w:lineRule="exact"/>
        <w:rPr>
          <w:rFonts w:ascii="Times New Roman" w:cs="Times New Roman" w:eastAsia="Times New Roman" w:hAnsi="Times New Roman"/>
          <w:sz w:val="18"/>
          <w:szCs w:val="18"/>
          <w:color w:val="auto"/>
        </w:rPr>
      </w:pPr>
    </w:p>
    <w:p>
      <w:pPr>
        <w:ind w:firstLine="1428"/>
        <w:spacing w:after="0" w:line="256" w:lineRule="auto"/>
        <w:tabs>
          <w:tab w:leader="none" w:pos="168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79" w:lineRule="exact"/>
        <w:rPr>
          <w:rFonts w:ascii="Times New Roman" w:cs="Times New Roman" w:eastAsia="Times New Roman" w:hAnsi="Times New Roman"/>
          <w:sz w:val="18"/>
          <w:szCs w:val="18"/>
          <w:color w:val="auto"/>
        </w:rPr>
      </w:pPr>
    </w:p>
    <w:p>
      <w:pPr>
        <w:ind w:right="160" w:firstLine="1428"/>
        <w:spacing w:after="0" w:line="282" w:lineRule="auto"/>
        <w:tabs>
          <w:tab w:leader="none" w:pos="168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53" w:lineRule="exact"/>
        <w:rPr>
          <w:rFonts w:ascii="Times New Roman" w:cs="Times New Roman" w:eastAsia="Times New Roman" w:hAnsi="Times New Roman"/>
          <w:sz w:val="18"/>
          <w:szCs w:val="18"/>
          <w:color w:val="auto"/>
        </w:rPr>
      </w:pPr>
    </w:p>
    <w:p>
      <w:pPr>
        <w:ind w:right="660" w:firstLine="1428"/>
        <w:spacing w:after="0" w:line="282" w:lineRule="auto"/>
        <w:tabs>
          <w:tab w:leader="none" w:pos="164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70" w:right="499" w:bottom="1440" w:gutter="0" w:footer="0" w:header="0"/>
        </w:sectPr>
      </w:pPr>
    </w:p>
    <w:bookmarkStart w:id="73" w:name="page74"/>
    <w:bookmarkEnd w:id="7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8.4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84" w:lineRule="exact"/>
        <w:rPr>
          <w:sz w:val="20"/>
          <w:szCs w:val="20"/>
          <w:color w:val="auto"/>
        </w:rPr>
      </w:pPr>
    </w:p>
    <w:p>
      <w:pPr>
        <w:ind w:right="80" w:firstLine="1428"/>
        <w:spacing w:after="0" w:line="253" w:lineRule="auto"/>
        <w:tabs>
          <w:tab w:leader="none" w:pos="167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86" w:lineRule="exact"/>
        <w:rPr>
          <w:rFonts w:ascii="Times New Roman" w:cs="Times New Roman" w:eastAsia="Times New Roman" w:hAnsi="Times New Roman"/>
          <w:sz w:val="18"/>
          <w:szCs w:val="18"/>
          <w:color w:val="auto"/>
        </w:rPr>
      </w:pPr>
    </w:p>
    <w:p>
      <w:pPr>
        <w:ind w:right="400" w:firstLine="1428"/>
        <w:spacing w:after="0" w:line="282" w:lineRule="auto"/>
        <w:tabs>
          <w:tab w:leader="none" w:pos="168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w:t>
      </w:r>
    </w:p>
    <w:p>
      <w:pPr>
        <w:spacing w:after="0" w:line="98" w:lineRule="exact"/>
        <w:rPr>
          <w:rFonts w:ascii="Times New Roman" w:cs="Times New Roman" w:eastAsia="Times New Roman" w:hAnsi="Times New Roman"/>
          <w:sz w:val="18"/>
          <w:szCs w:val="18"/>
          <w:color w:val="auto"/>
        </w:rPr>
      </w:pPr>
    </w:p>
    <w:p>
      <w:pPr>
        <w:ind w:right="40" w:firstLine="1428"/>
        <w:spacing w:after="0" w:line="256" w:lineRule="auto"/>
        <w:tabs>
          <w:tab w:leader="none" w:pos="168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subject to customary exclusions, that the Holders of the Securities of such Series will not recognize income, gain or loss for Federal income tax purposes as a result of such deposit, covenant defeasance and discharge and will be subject to Federal income tax on the same amount and in the same manner and at the same times as would have been the case if such deposit, covenant defeasance and discharge had not occurred;</w:t>
      </w:r>
    </w:p>
    <w:p>
      <w:pPr>
        <w:spacing w:after="0" w:line="79" w:lineRule="exact"/>
        <w:rPr>
          <w:rFonts w:ascii="Times New Roman" w:cs="Times New Roman" w:eastAsia="Times New Roman" w:hAnsi="Times New Roman"/>
          <w:sz w:val="18"/>
          <w:szCs w:val="18"/>
          <w:color w:val="auto"/>
        </w:rPr>
      </w:pPr>
    </w:p>
    <w:p>
      <w:pPr>
        <w:ind w:right="120" w:firstLine="1428"/>
        <w:spacing w:after="0" w:line="282" w:lineRule="auto"/>
        <w:tabs>
          <w:tab w:leader="none" w:pos="167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74" w:name="page75"/>
    <w:bookmarkEnd w:id="74"/>
    <w:p>
      <w:pPr>
        <w:ind w:right="640" w:firstLine="1428"/>
        <w:spacing w:after="0" w:line="282" w:lineRule="auto"/>
        <w:tabs>
          <w:tab w:leader="none" w:pos="165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the Trustee shall have no further liability with respect to such money.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Without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and the Trustee may amend or supplement this Indenture or the Securities of one or more Series without the consent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Securityholder:</w:t>
      </w:r>
    </w:p>
    <w:p>
      <w:pPr>
        <w:spacing w:after="0" w:line="99" w:lineRule="exact"/>
        <w:rPr>
          <w:sz w:val="20"/>
          <w:szCs w:val="20"/>
          <w:color w:val="auto"/>
        </w:rPr>
      </w:pPr>
    </w:p>
    <w:p>
      <w:pPr>
        <w:ind w:left="1680" w:hanging="252"/>
        <w:spacing w:after="0"/>
        <w:tabs>
          <w:tab w:leader="none" w:pos="1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as evidenced by an Officer Certificate;</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V;</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Securities of any Series or secure Securities of any Series;</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the Company’s rights or powers under this Indenture;</w:t>
      </w:r>
    </w:p>
    <w:p>
      <w:pPr>
        <w:spacing w:after="0" w:line="117" w:lineRule="exact"/>
        <w:rPr>
          <w:rFonts w:ascii="Times New Roman" w:cs="Times New Roman" w:eastAsia="Times New Roman" w:hAnsi="Times New Roman"/>
          <w:sz w:val="18"/>
          <w:szCs w:val="18"/>
          <w:color w:val="auto"/>
        </w:rPr>
      </w:pPr>
    </w:p>
    <w:p>
      <w:pPr>
        <w:ind w:right="120" w:firstLine="1428"/>
        <w:spacing w:after="0" w:line="266" w:lineRule="auto"/>
        <w:tabs>
          <w:tab w:leader="none" w:pos="165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Securities of any Series (and if such covenants or events of default are to be for the benefit of less than all Series of Securities, stating that such covenants or events of default, as applicable, are expressly being included solely for the benefit of such Series);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75" w:name="page76"/>
    <w:bookmarkEnd w:id="75"/>
    <w:p>
      <w:pPr>
        <w:ind w:left="1680" w:hanging="252"/>
        <w:spacing w:after="0"/>
        <w:tabs>
          <w:tab w:leader="none" w:pos="1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comply with the applicable procedures of the applicable depositary;</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Securities of any Series as permitted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99" w:lineRule="exact"/>
        <w:rPr>
          <w:sz w:val="20"/>
          <w:szCs w:val="20"/>
          <w:color w:val="auto"/>
        </w:rPr>
      </w:pPr>
    </w:p>
    <w:p>
      <w:pPr>
        <w:ind w:right="80" w:firstLine="1428"/>
        <w:spacing w:after="0" w:line="266" w:lineRule="auto"/>
        <w:tabs>
          <w:tab w:leader="none" w:pos="164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TIA;</w:t>
      </w:r>
    </w:p>
    <w:p>
      <w:pPr>
        <w:spacing w:after="0" w:line="117" w:lineRule="exact"/>
        <w:rPr>
          <w:rFonts w:ascii="Times New Roman" w:cs="Times New Roman" w:eastAsia="Times New Roman" w:hAnsi="Times New Roman"/>
          <w:sz w:val="18"/>
          <w:szCs w:val="18"/>
          <w:color w:val="auto"/>
        </w:rPr>
      </w:pPr>
    </w:p>
    <w:p>
      <w:pPr>
        <w:ind w:firstLine="436"/>
        <w:spacing w:after="0" w:line="266"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provision of this Indenture or the Securities of such Series in accordance with the TIA, or to comply with the provisions of DTC, Euroclear or Clearstream or the Trustee with respect to provisions of this Indenture or the Securities of such Series relating to transfers or exchanges of the Securities of such Series or beneficial interests in the Securities of such Series; or</w:t>
      </w:r>
    </w:p>
    <w:p>
      <w:pPr>
        <w:spacing w:after="0" w:line="67" w:lineRule="exact"/>
        <w:rPr>
          <w:rFonts w:ascii="Times New Roman" w:cs="Times New Roman" w:eastAsia="Times New Roman" w:hAnsi="Times New Roman"/>
          <w:sz w:val="18"/>
          <w:szCs w:val="18"/>
          <w:color w:val="auto"/>
        </w:rPr>
      </w:pPr>
    </w:p>
    <w:p>
      <w:pPr>
        <w:ind w:right="260" w:firstLine="436"/>
        <w:spacing w:after="0" w:line="282" w:lineRule="auto"/>
        <w:tabs>
          <w:tab w:leader="none" w:pos="7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any provision of this Indenture, in so far as it relates to the Securities of such Series, to the description of the Securities of such Series in the prospectus supplement relation to the offering of the Securities of such Series.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With Consent of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991"/>
        <w:spacing w:after="0" w:line="273" w:lineRule="auto"/>
        <w:rPr>
          <w:sz w:val="20"/>
          <w:szCs w:val="20"/>
          <w:color w:val="auto"/>
        </w:rPr>
      </w:pPr>
      <w:r>
        <w:rPr>
          <w:rFonts w:ascii="Times New Roman" w:cs="Times New Roman" w:eastAsia="Times New Roman" w:hAnsi="Times New Roman"/>
          <w:sz w:val="17"/>
          <w:szCs w:val="17"/>
          <w:color w:val="auto"/>
        </w:rPr>
        <w:t>The Company and the Trustee may enter into a supplemental indenture with the written consent of the Holders of at least a majority in aggregate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aggregate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71"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76" w:name="page77"/>
    <w:bookmarkEnd w:id="7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9.3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Without the consent of each Securityholder affected, an amendment or waiver may not:</w:t>
      </w:r>
    </w:p>
    <w:p>
      <w:pPr>
        <w:spacing w:after="0" w:line="117" w:lineRule="exact"/>
        <w:rPr>
          <w:sz w:val="20"/>
          <w:szCs w:val="20"/>
          <w:color w:val="auto"/>
        </w:rPr>
      </w:pPr>
    </w:p>
    <w:p>
      <w:pPr>
        <w:ind w:left="1680" w:hanging="252"/>
        <w:spacing w:after="0"/>
        <w:tabs>
          <w:tab w:leader="none" w:pos="1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Securities whose Holders must consent to an amendment, supplement or waiver;</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Security;</w:t>
      </w:r>
    </w:p>
    <w:p>
      <w:pPr>
        <w:spacing w:after="0" w:line="117" w:lineRule="exact"/>
        <w:rPr>
          <w:rFonts w:ascii="Times New Roman" w:cs="Times New Roman" w:eastAsia="Times New Roman" w:hAnsi="Times New Roman"/>
          <w:sz w:val="18"/>
          <w:szCs w:val="18"/>
          <w:color w:val="auto"/>
        </w:rPr>
      </w:pPr>
    </w:p>
    <w:p>
      <w:pPr>
        <w:ind w:right="300" w:firstLine="1428"/>
        <w:spacing w:after="0" w:line="282" w:lineRule="auto"/>
        <w:tabs>
          <w:tab w:leader="none" w:pos="167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Security or reduce the amount of, or postpone the date fixed for, the payment of any sinking fund or analogous obligation;</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the maturity thereof;</w:t>
      </w:r>
    </w:p>
    <w:p>
      <w:pPr>
        <w:spacing w:after="0" w:line="117" w:lineRule="exact"/>
        <w:rPr>
          <w:rFonts w:ascii="Times New Roman" w:cs="Times New Roman" w:eastAsia="Times New Roman" w:hAnsi="Times New Roman"/>
          <w:sz w:val="18"/>
          <w:szCs w:val="18"/>
          <w:color w:val="auto"/>
        </w:rPr>
      </w:pPr>
    </w:p>
    <w:p>
      <w:pPr>
        <w:ind w:right="160" w:firstLine="1428"/>
        <w:spacing w:after="0" w:line="266" w:lineRule="auto"/>
        <w:tabs>
          <w:tab w:leader="none" w:pos="167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67" w:lineRule="exact"/>
        <w:rPr>
          <w:rFonts w:ascii="Times New Roman" w:cs="Times New Roman" w:eastAsia="Times New Roman" w:hAnsi="Times New Roman"/>
          <w:sz w:val="18"/>
          <w:szCs w:val="18"/>
          <w:color w:val="auto"/>
        </w:rPr>
      </w:pPr>
    </w:p>
    <w:p>
      <w:pPr>
        <w:ind w:left="1660" w:hanging="232"/>
        <w:spacing w:after="0"/>
        <w:tabs>
          <w:tab w:leader="none" w:pos="1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interest, if any, on any Security payable in any currency other than that stated in the Security;</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Sections 6.8, 6.13 or 9.3 (this sentence); or</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Security, provided that such redemption is made at the Company’s option.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Compliance with Trust Indenture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Every amendment to this Indenture or the Securities of one or more Series shall be set forth in a supplemental indenture hereto that complies with the TIA as then in effect.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Revocation and Effect of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83"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76"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77" w:name="page78"/>
    <w:bookmarkEnd w:id="7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9.6 </w:t>
      </w:r>
      <w:r>
        <w:rPr>
          <w:rFonts w:ascii="Times New Roman" w:cs="Times New Roman" w:eastAsia="Times New Roman" w:hAnsi="Times New Roman"/>
          <w:sz w:val="18"/>
          <w:szCs w:val="18"/>
          <w:u w:val="single" w:color="auto"/>
          <w:color w:val="auto"/>
        </w:rPr>
        <w:t>Notation on or Exchange of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Trustee Protected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and stating that the supplemental indenture is authorized or permitted by this Indenture and constitutes a legal valid and binding obligation of the Company, enforceable against it in accordance with its terms.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Trust Indenture Act Controls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Lexeo Therapeutics, Inc.</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345 Park Avenue South, Floor 6</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New York, New York 10010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Chief Business and Legal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Wilson Sonsini Goodrich &amp; Rosati, Professional Corporation</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1301 Avenue of the Americas</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40th Floor</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New York, NY 10019-6022</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78" w:name="page79"/>
    <w:bookmarkEnd w:id="78"/>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Attention: Megan J. Baier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[__________]</w:t>
      </w:r>
    </w:p>
    <w:p>
      <w:pPr>
        <w:spacing w:after="0" w:line="207" w:lineRule="exact"/>
        <w:rPr>
          <w:sz w:val="20"/>
          <w:szCs w:val="20"/>
          <w:color w:val="auto"/>
        </w:rPr>
      </w:pPr>
    </w:p>
    <w:p>
      <w:pPr>
        <w:ind w:right="1120" w:firstLine="991"/>
        <w:spacing w:after="0" w:line="282" w:lineRule="auto"/>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for subsequent notices or communications. Any notice or communication delivered to the Trustee shall be deemed effective upon actual receipt thereof.</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Securityholder shall be sent electronically or by first-class mail to his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If a notice or communication is sent or published in the manner provided above, within the time prescribed, it is duly given, whether or not the Securityholder receives it.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the Company sends a notice or communication to Securityholders, it shall send a copy to the Trustee and each Agent at the same time.</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Communication by Holders with Other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20" w:firstLine="991"/>
        <w:spacing w:after="0" w:line="266" w:lineRule="auto"/>
        <w:rPr>
          <w:sz w:val="20"/>
          <w:szCs w:val="20"/>
          <w:color w:val="auto"/>
        </w:rPr>
      </w:pPr>
      <w:r>
        <w:rPr>
          <w:rFonts w:ascii="Times New Roman" w:cs="Times New Roman" w:eastAsia="Times New Roman" w:hAnsi="Times New Roman"/>
          <w:sz w:val="18"/>
          <w:szCs w:val="18"/>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the Company shall furnish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99" w:lineRule="exact"/>
        <w:rPr>
          <w:sz w:val="20"/>
          <w:szCs w:val="20"/>
          <w:color w:val="auto"/>
        </w:rPr>
      </w:pPr>
    </w:p>
    <w:p>
      <w:pPr>
        <w:ind w:right="240" w:firstLine="1428"/>
        <w:spacing w:after="0" w:line="282" w:lineRule="auto"/>
        <w:tabs>
          <w:tab w:leader="none" w:pos="167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in the opinion of the signers, all conditions precedent, if any, provided for in this Indenture relating to the proposed action have been complied with; and</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stating that, in the opinion of such counsel, all such conditions precedent have been complied with.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79" w:name="page80"/>
    <w:bookmarkEnd w:id="7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10.5 </w:t>
      </w:r>
      <w:r>
        <w:rPr>
          <w:rFonts w:ascii="Times New Roman" w:cs="Times New Roman" w:eastAsia="Times New Roman" w:hAnsi="Times New Roman"/>
          <w:sz w:val="18"/>
          <w:szCs w:val="18"/>
          <w:u w:val="single" w:color="auto"/>
          <w:color w:val="auto"/>
        </w:rPr>
        <w:t>Statements Required in Certificate or Opinion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54" w:lineRule="exact"/>
        <w:rPr>
          <w:sz w:val="20"/>
          <w:szCs w:val="20"/>
          <w:color w:val="auto"/>
        </w:rPr>
      </w:pPr>
    </w:p>
    <w:p>
      <w:pPr>
        <w:ind w:left="1680" w:hanging="252"/>
        <w:spacing w:after="0"/>
        <w:tabs>
          <w:tab w:leader="none" w:pos="1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117" w:lineRule="exact"/>
        <w:rPr>
          <w:rFonts w:ascii="Times New Roman" w:cs="Times New Roman" w:eastAsia="Times New Roman" w:hAnsi="Times New Roman"/>
          <w:sz w:val="18"/>
          <w:szCs w:val="18"/>
          <w:color w:val="auto"/>
        </w:rPr>
      </w:pPr>
    </w:p>
    <w:p>
      <w:pPr>
        <w:ind w:firstLine="1428"/>
        <w:spacing w:after="0" w:line="282" w:lineRule="auto"/>
        <w:tabs>
          <w:tab w:leader="none" w:pos="168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53" w:lineRule="exact"/>
        <w:rPr>
          <w:rFonts w:ascii="Times New Roman" w:cs="Times New Roman" w:eastAsia="Times New Roman" w:hAnsi="Times New Roman"/>
          <w:sz w:val="18"/>
          <w:szCs w:val="18"/>
          <w:color w:val="auto"/>
        </w:rPr>
      </w:pPr>
    </w:p>
    <w:p>
      <w:pPr>
        <w:ind w:right="140" w:firstLine="1428"/>
        <w:spacing w:after="0" w:line="282" w:lineRule="auto"/>
        <w:tabs>
          <w:tab w:leader="none" w:pos="167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Rules by Trustee and Agents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 meeting of Securityholders of one or more Series. Any Agent may make reasonable rules and set reasonable requirements for its functions.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300" w:firstLine="991"/>
        <w:spacing w:after="0" w:line="28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00"/>
          </w:cols>
          <w:pgMar w:left="440" w:top="270" w:right="559" w:bottom="1440" w:gutter="0" w:footer="0" w:header="0"/>
        </w:sectPr>
      </w:pPr>
    </w:p>
    <w:bookmarkStart w:id="80" w:name="page81"/>
    <w:bookmarkEnd w:id="8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10.10 </w:t>
      </w:r>
      <w:r>
        <w:rPr>
          <w:rFonts w:ascii="Times New Roman" w:cs="Times New Roman" w:eastAsia="Times New Roman" w:hAnsi="Times New Roman"/>
          <w:sz w:val="18"/>
          <w:szCs w:val="18"/>
          <w:u w:val="single" w:color="auto"/>
          <w:color w:val="auto"/>
        </w:rPr>
        <w:t>Governing Law; Waiver of Jury Trial; Consent to Jurisdiction</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right="2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THIS INDENTURE AND THE SECURITIES, INCLUDING ANY CLAIM OR CONTROVERSY ARISING OUT OF OR RELATING TO THE INDENTURE OR THE SECURITIES, SHALL BE GOVERNED BY THE LAWS OF THE STATE OF NEW YORK. 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8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8"/>
          <w:szCs w:val="18"/>
          <w:i w:val="1"/>
          <w:iCs w:val="1"/>
          <w:color w:val="auto"/>
        </w:rPr>
        <w:t>Specified Courts</w:t>
      </w:r>
      <w:r>
        <w:rPr>
          <w:rFonts w:ascii="Times New Roman" w:cs="Times New Roman" w:eastAsia="Times New Roman" w:hAnsi="Times New Roman"/>
          <w:sz w:val="18"/>
          <w:szCs w:val="18"/>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Indenture may not be used to interpret another indenture, loan or debt agreement of the Company or a Subsidiary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indenture, loan or debt agreement may not be used to interpret this Indenture.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the Securities shall bind its successor. All agreements of the Trustee in this Indenture shall bind its successor.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Table of Contents, Headings,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40" w:firstLine="991"/>
        <w:spacing w:after="0" w:line="312" w:lineRule="auto"/>
        <w:rPr>
          <w:sz w:val="20"/>
          <w:szCs w:val="20"/>
          <w:color w:val="auto"/>
        </w:rPr>
      </w:pPr>
      <w:r>
        <w:rPr>
          <w:rFonts w:ascii="Times New Roman" w:cs="Times New Roman" w:eastAsia="Times New Roman" w:hAnsi="Times New Roman"/>
          <w:sz w:val="17"/>
          <w:szCs w:val="17"/>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81" w:name="page82"/>
    <w:bookmarkEnd w:id="8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10.15 </w:t>
      </w:r>
      <w:r>
        <w:rPr>
          <w:rFonts w:ascii="Times New Roman" w:cs="Times New Roman" w:eastAsia="Times New Roman" w:hAnsi="Times New Roman"/>
          <w:sz w:val="18"/>
          <w:szCs w:val="18"/>
          <w:u w:val="single" w:color="auto"/>
          <w:color w:val="auto"/>
        </w:rPr>
        <w:t>Securities in a Foreign Currency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90"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 into a currency in which a judgment will be rendered (the “</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 means any day except a Saturday, Sunday or a Legal Holiday in The City of New York on which banking institutions are authorized or required by law, regulation or executive order to close.</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82" w:name="page83"/>
    <w:bookmarkEnd w:id="8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10.18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SINKING FUNDS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76"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the Securities of any Series is herein referred to as a “</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 and any other amount provided for by the terms of Securities of such Series is herein referred to as an “</w:t>
      </w:r>
      <w:r>
        <w:rPr>
          <w:rFonts w:ascii="Times New Roman" w:cs="Times New Roman" w:eastAsia="Times New Roman" w:hAnsi="Times New Roman"/>
          <w:sz w:val="18"/>
          <w:szCs w:val="18"/>
          <w:i w:val="1"/>
          <w:iCs w:val="1"/>
          <w:color w:val="auto"/>
        </w:rPr>
        <w:t>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sinking fund payment</w:t>
      </w:r>
      <w:r>
        <w:rPr>
          <w:rFonts w:ascii="Times New Roman" w:cs="Times New Roman" w:eastAsia="Times New Roman" w:hAnsi="Times New Roman"/>
          <w:sz w:val="18"/>
          <w:szCs w:val="18"/>
          <w:color w:val="auto"/>
        </w:rPr>
        <w:t>.” If provided for by the terms of Securities of any Series, the cash amount of any sinking fund payment may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as provided in Section 11.2. Each sinking fund payment shall be applied to the redemption of Securities of any Series as provided for by the terms of the Securities of such Series.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83" w:name="page84"/>
    <w:bookmarkEnd w:id="8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11.3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70"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Indenture to be duly executed as of the day and year first above written.</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LEXEO THERAPEUTICS,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680"/>
          </w:cols>
          <w:pgMar w:left="1420" w:top="270" w:right="79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285875" cy="5657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1285875" cy="565785"/>
                    </a:xfrm>
                    <a:prstGeom prst="rect">
                      <a:avLst/>
                    </a:prstGeom>
                    <a:noFill/>
                  </pic:spPr>
                </pic:pic>
              </a:graphicData>
            </a:graphic>
          </wp:anchor>
        </w:drawing>
      </w:r>
    </w:p>
    <w:p>
      <w:pPr>
        <w:spacing w:after="0" w:line="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1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1301 Avenue of the Americas</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40th Floor</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New York, NY 10019-6022</w:t>
      </w:r>
    </w:p>
    <w:p>
      <w:pPr>
        <w:spacing w:after="0" w:line="12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O: 212.999.5800</w:t>
      </w:r>
    </w:p>
    <w:p>
      <w:pPr>
        <w:spacing w:after="0" w:line="14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F: 212.999.5899</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13,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Lexeo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Park Avenue South, Floor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10010</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 Registration Statement on Form S-3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At your request, we have examined the Registration Statement on Form S-3 (the “Registration Statement”), filed by Lexeo Therapeutics, Inc., a Delaware corporation (the “Company”), with the Securities and Exchange Commission (the “Commission”) in connection with the registration pursuant to the Securities Act of 1933, as amended (the “Act”), of the Securities (as defined below).</w:t>
      </w:r>
    </w:p>
    <w:p>
      <w:pPr>
        <w:spacing w:after="0" w:line="17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Registration Statement relates to the proposed issuance and sale by the Company, from time to time, pursuant to Rule 415 under the Act, as set forth in the Registration Statement, the prospectus contained therein (the “Prospectus”) and the supplements to the prospectus referred to therein (each a “Prospectus Supplement”), of up to an aggregate offering price of $300,000,000, or the equivalent thereof, of (a) shares of the Company’s common stock, $0.0001 par value per share (the “Common Stock”); (b) shares of the Company’s preferred stock, $0.0001 par value per share (the “Preferred Stock”); (c) the Company’s debt securities (the “Debt Securities”); (d) warrants to purchase Common Stock, Preferred Stock or Debt Securities (the “Warrants”); (e) subscription rights to purchase Common Stock, Preferred Stock, Debt Securities, Warrants or units consisting of some or all of these securities (the “Subscription Rights”); (f) purchase contracts of the Company with respect to the securities of the Company (the “Purchase Contracts”); and (g) units consisting of two or more securities described above in any combination (the “Units”) (the Common Stock, the Preferred Stock, the Debt Securities, the Warrants, the Subscription Rights, the Purchase Contracts and the Units are collectively referred to herein as the “Securities”).</w:t>
      </w:r>
    </w:p>
    <w:p>
      <w:pPr>
        <w:spacing w:after="0" w:line="86"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The Securities are to be sold from time to time as set forth in the Registration Statement, the Prospectus contained therein and the Prospectus Supplements. The Debt Securities are to be issued pursuant to a debt securities indenture (the “Indenture”), a form of which has been filed as an exhibit to the Registration Statement and is to be entered into between the Company and a trustee to be named in a Prospectus Supplement to the Registration Statement (the “Trustee”). The Securities are to be sold pursuant to a purchase, underwriting or similar agreement in substantially the form to be filed under a Current Report on Form 8-K. The Debt Securities are to be issued in the form set forth in the Indenture. The Indenture may be supplemented in connection with the issuance of each such series of Debt Securities, by a supplemental indenture or other appropriate action of the Company creating such series of Debt Securities.</w:t>
      </w:r>
    </w:p>
    <w:p>
      <w:pPr>
        <w:spacing w:after="0" w:line="1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We have examined instruments, documents, certificates and records that we have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 (d) that the Registration Statement, and any amendments thereto (including post-effective amendments), will have become</w:t>
      </w:r>
    </w:p>
    <w:p>
      <w:pPr>
        <w:spacing w:after="0" w:line="188" w:lineRule="exact"/>
        <w:rPr>
          <w:sz w:val="20"/>
          <w:szCs w:val="20"/>
          <w:color w:val="auto"/>
        </w:rPr>
      </w:pPr>
    </w:p>
    <w:p>
      <w:pPr>
        <w:jc w:val="center"/>
        <w:ind w:right="20"/>
        <w:spacing w:after="0" w:line="334" w:lineRule="auto"/>
        <w:rPr>
          <w:sz w:val="20"/>
          <w:szCs w:val="20"/>
          <w:color w:val="auto"/>
        </w:rPr>
      </w:pPr>
      <w:r>
        <w:rPr>
          <w:rFonts w:ascii="Times New Roman" w:cs="Times New Roman" w:eastAsia="Times New Roman" w:hAnsi="Times New Roman"/>
          <w:sz w:val="15"/>
          <w:szCs w:val="15"/>
          <w:color w:val="auto"/>
        </w:rPr>
        <w:t>AUSTIN   BEIJING   BOSTON   BOULDER   BRUSSELS   HONG KONG   LONDON   LOS ANGELES   NEW YORK   PALO ALTO SALT LAKE CITY   SAN DIEGO   SAN FRANCISCO   SEATTLE   SHANGHAI   WASHINGTON, DC   WILMINGTON, DE</w:t>
      </w:r>
    </w:p>
    <w:p>
      <w:pPr>
        <w:sectPr>
          <w:pgSz w:w="11900" w:h="16838" w:orient="portrait"/>
          <w:cols w:equalWidth="0" w:num="1">
            <w:col w:w="11020"/>
          </w:cols>
          <w:pgMar w:left="440" w:top="117" w:right="439" w:bottom="1440" w:gutter="0" w:footer="0" w:header="0"/>
        </w:sectPr>
      </w:pPr>
    </w:p>
    <w:bookmarkStart w:id="86" w:name="page87"/>
    <w:bookmarkEnd w:id="86"/>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76910" cy="3175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676910" cy="317500"/>
                    </a:xfrm>
                    <a:prstGeom prst="rect">
                      <a:avLst/>
                    </a:prstGeom>
                    <a:noFill/>
                  </pic:spPr>
                </pic:pic>
              </a:graphicData>
            </a:graphic>
          </wp:anchor>
        </w:drawing>
        <w:t>effective under the Act; (e) that a Prospectus Supplement will have been filed with the Commission describing the Securities offered thereby; (f) that the Securities will be issued and sold in compliance with applicable U.S. federal and state securities laws and in the manner stated in the Registration Statement and the applicable Prospectus Supplement; (g) that a definitive purchase, underwriting or similar agreement with respect to any Securities offered will have been duly authorized and validly executed and delivered by the Company and the other parties thereto; (h) that any Securities issuable upon conversion, exchange, redemption or exercise of any Securities being offered will be duly authorized, created and, if appropriate, reserved for issuance upon such conversion, exchange, redemption or exercise; (i) with respect to shares of Common Stock or Preferred Stock, that there will be sufficient shares of Common Stock or Preferred Stock authorized under the Company’s organizational documents that are not otherwise reserved for issuance; and (j) the legal capacity of all natural persons. As to any facts material to the opinions expressed herein that were not independently established or verified, we have relied upon oral or written statements and representations of officers and other representatives of the Company. The term “Board” means the Board of Directors of the Company or a duly constituted and acting committee thereof.</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Based on such examination, we are of the opinion that:</w:t>
      </w:r>
    </w:p>
    <w:p>
      <w:pPr>
        <w:spacing w:after="0" w:line="117" w:lineRule="exact"/>
        <w:rPr>
          <w:sz w:val="20"/>
          <w:szCs w:val="20"/>
          <w:color w:val="auto"/>
        </w:rPr>
      </w:pPr>
    </w:p>
    <w:p>
      <w:pPr>
        <w:ind w:left="4" w:firstLine="436"/>
        <w:spacing w:after="0" w:line="255" w:lineRule="auto"/>
        <w:tabs>
          <w:tab w:leader="none" w:pos="62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shares of Common Stock, when: (a) the Board has taken all necessary corporate action to approve the issuance and the terms of the offering of the shares of Common Stock and related matters; and (b) the shares of Common Stock have been duly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w:t>
      </w:r>
    </w:p>
    <w:p>
      <w:pPr>
        <w:spacing w:after="0" w:line="2" w:lineRule="exact"/>
        <w:rPr>
          <w:rFonts w:ascii="Times New Roman" w:cs="Times New Roman" w:eastAsia="Times New Roman" w:hAnsi="Times New Roman"/>
          <w:sz w:val="18"/>
          <w:szCs w:val="18"/>
          <w:color w:val="auto"/>
        </w:rPr>
      </w:pPr>
    </w:p>
    <w:p>
      <w:pPr>
        <w:ind w:left="4" w:right="20" w:hanging="4"/>
        <w:spacing w:after="0" w:line="255" w:lineRule="auto"/>
        <w:tabs>
          <w:tab w:leader="none" w:pos="26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w:t>
      </w:r>
    </w:p>
    <w:p>
      <w:pPr>
        <w:spacing w:after="0" w:line="185" w:lineRule="exact"/>
        <w:rPr>
          <w:rFonts w:ascii="Times New Roman" w:cs="Times New Roman" w:eastAsia="Times New Roman" w:hAnsi="Times New Roman"/>
          <w:sz w:val="18"/>
          <w:szCs w:val="18"/>
          <w:color w:val="auto"/>
        </w:rPr>
      </w:pPr>
    </w:p>
    <w:p>
      <w:pPr>
        <w:ind w:left="4" w:right="240" w:firstLine="436"/>
        <w:spacing w:after="0" w:line="270" w:lineRule="auto"/>
        <w:tabs>
          <w:tab w:leader="none" w:pos="624"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(a “Certificate”) relating to such Preferred Stock conforming to the General Corporation Law of the State of Delaware (the “DGCL”) and the filing of the Certificate with the Secretary of State of the State of Delaware; and (b) the shares of Preferred Stock have been duly delivered either</w:t>
      </w:r>
    </w:p>
    <w:p>
      <w:pPr>
        <w:spacing w:after="0" w:line="2" w:lineRule="exact"/>
        <w:rPr>
          <w:rFonts w:ascii="Times New Roman" w:cs="Times New Roman" w:eastAsia="Times New Roman" w:hAnsi="Times New Roman"/>
          <w:sz w:val="17"/>
          <w:szCs w:val="17"/>
          <w:color w:val="auto"/>
        </w:rPr>
      </w:pPr>
    </w:p>
    <w:p>
      <w:pPr>
        <w:ind w:left="4" w:right="100" w:hanging="4"/>
        <w:spacing w:after="0" w:line="250" w:lineRule="auto"/>
        <w:tabs>
          <w:tab w:leader="none" w:pos="21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w:t>
      </w:r>
    </w:p>
    <w:p>
      <w:pPr>
        <w:ind w:left="4" w:right="20" w:hanging="4"/>
        <w:spacing w:after="0" w:line="255" w:lineRule="auto"/>
        <w:tabs>
          <w:tab w:leader="none" w:pos="26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conversion or exercise of any other Security, in accordance with the terms of such Security or the instrument governing such Security providing for such conversion or exercise as approved by the Board, for the consideration approved by the Board, then the shares of Preferred Stock will be validly issued, fully paid and nonassessable.</w:t>
      </w:r>
    </w:p>
    <w:p>
      <w:pPr>
        <w:spacing w:after="0" w:line="185"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Debt Securities to be issued under the Indenture, when: (a) the Trustee is qualified to act as Trustee under the Indenture and the Company has filed a Form T-1 for the Trustee with the Commission; (b) the Trustee has duly executed and delivered the Indenture; (c) the Indenture has been duly authorized and validly executed and delivered by the Company to the Trustee; (d) the Indenture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Indenture and the applicable definitive purchase, underwriting or similar agreement approved by the Board, or upon the exercise of Warrants to purchase Debt Securities, upon payment of the consideration therefor provided for therein, such Debt Securities will constitute valid and binding obligations of the Company, enforceable against the Company in accordance with their terms, and entitled to the benefits of the Indenture.</w:t>
      </w:r>
    </w:p>
    <w:p>
      <w:pPr>
        <w:sectPr>
          <w:pgSz w:w="11900" w:h="16838" w:orient="portrait"/>
          <w:cols w:equalWidth="0" w:num="1">
            <w:col w:w="11004"/>
          </w:cols>
          <w:pgMar w:left="436" w:top="918" w:right="459" w:bottom="1440" w:gutter="0" w:footer="0" w:header="0"/>
        </w:sectPr>
      </w:pPr>
    </w:p>
    <w:bookmarkStart w:id="87" w:name="page88"/>
    <w:bookmarkEnd w:id="87"/>
    <w:p>
      <w:pPr>
        <w:ind w:left="-436" w:firstLine="436"/>
        <w:spacing w:after="0" w:line="258" w:lineRule="auto"/>
        <w:tabs>
          <w:tab w:leader="none" w:pos="18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76910" cy="3175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676910" cy="317500"/>
                    </a:xfrm>
                    <a:prstGeom prst="rect">
                      <a:avLst/>
                    </a:prstGeom>
                    <a:noFill/>
                  </pic:spPr>
                </pic:pic>
              </a:graphicData>
            </a:graphic>
          </wp:anchor>
        </w:drawing>
        <w:t>With respect to the Warrants, when: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as applicable, duly authorized, executed and delivered by the Company and a warrant agent and the certificates for the Warrants have been duly executed and delivered by the Company and such warrant agent, then the Warrants will constitute valid and binding obligations of the Company, enforceable against the Company in accordance with their terms.</w:t>
      </w:r>
    </w:p>
    <w:p>
      <w:pPr>
        <w:spacing w:after="0" w:line="183" w:lineRule="exact"/>
        <w:rPr>
          <w:rFonts w:ascii="Times New Roman" w:cs="Times New Roman" w:eastAsia="Times New Roman" w:hAnsi="Times New Roman"/>
          <w:sz w:val="18"/>
          <w:szCs w:val="18"/>
          <w:color w:val="auto"/>
        </w:rPr>
      </w:pPr>
    </w:p>
    <w:p>
      <w:pPr>
        <w:ind w:left="-436" w:right="40" w:firstLine="436"/>
        <w:spacing w:after="0" w:line="258" w:lineRule="auto"/>
        <w:tabs>
          <w:tab w:leader="none" w:pos="18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Subscription Rights, when: (a) the Board has taken all necessary corporate action to authorize the issuance and terms of the Subscription Rights, the terms of the offering thereof, and related matters and (b) the rights agreement under which the Subscription Rights are to be issued has been duly authorized and validly executed and delivered by the Company, and upon payment of the consideration for the Subscription Rights provided for in such rights agreement, if any, then the Subscription Rights will be valid and binding obligations of the Company, enforceable against the Company in accordance with their terms.</w:t>
      </w:r>
    </w:p>
    <w:p>
      <w:pPr>
        <w:spacing w:after="0" w:line="183" w:lineRule="exact"/>
        <w:rPr>
          <w:rFonts w:ascii="Times New Roman" w:cs="Times New Roman" w:eastAsia="Times New Roman" w:hAnsi="Times New Roman"/>
          <w:sz w:val="18"/>
          <w:szCs w:val="18"/>
          <w:color w:val="auto"/>
        </w:rPr>
      </w:pPr>
    </w:p>
    <w:p>
      <w:pPr>
        <w:ind w:left="-436" w:right="100" w:firstLine="436"/>
        <w:spacing w:after="0" w:line="261" w:lineRule="auto"/>
        <w:tabs>
          <w:tab w:leader="none" w:pos="18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Purchase Contracts, when: (a) the Board has taken all necessary corporate action to approve the issuance and terms of the Purchase Contracts and related matters and (b) the agreement under which the Purchase Contracts are to be issued has been duly authorized and validly executed and delivered by the Company, then the Purchase Contracts will be valid and binding obligations of the Company, enforceable against the Company in accordance with their terms.</w:t>
      </w:r>
    </w:p>
    <w:p>
      <w:pPr>
        <w:spacing w:after="0" w:line="179" w:lineRule="exact"/>
        <w:rPr>
          <w:rFonts w:ascii="Times New Roman" w:cs="Times New Roman" w:eastAsia="Times New Roman" w:hAnsi="Times New Roman"/>
          <w:sz w:val="18"/>
          <w:szCs w:val="18"/>
          <w:color w:val="auto"/>
        </w:rPr>
      </w:pPr>
    </w:p>
    <w:p>
      <w:pPr>
        <w:ind w:left="-436" w:right="20" w:firstLine="436"/>
        <w:spacing w:after="0" w:line="256" w:lineRule="auto"/>
        <w:tabs>
          <w:tab w:leader="none" w:pos="18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Units, when: (a) the Board has taken all necessary corporate action to approve the issuance and terms of the Units (including any Securities underlying the Units) and related matters; and (b) the Units (including any Securities underlying the Units) have been duly executed and delivered against payment therefor, pursuant to the applicable definitive purchase, underwriting, or similar agreement duly authorized, executed and delivered by the Company and any applicable unit or other agents, and the certificates for the Units (including any Securities underlying the Units) have been duly executed and delivered by the Company and any applicable unit or other agents, then the Units will constitute valid and binding obligations of the Company, enforceable against the Company in accordance with their terms.</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Our opinion that any document is legal, valid and binding is qualified as to:</w:t>
      </w:r>
    </w:p>
    <w:p>
      <w:pPr>
        <w:spacing w:after="0" w:line="117" w:lineRule="exact"/>
        <w:rPr>
          <w:sz w:val="20"/>
          <w:szCs w:val="20"/>
          <w:color w:val="auto"/>
        </w:rPr>
      </w:pPr>
    </w:p>
    <w:p>
      <w:pPr>
        <w:ind w:left="-436" w:right="420" w:firstLine="987"/>
        <w:spacing w:after="0" w:line="282" w:lineRule="auto"/>
        <w:tabs>
          <w:tab w:leader="none" w:pos="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imposed by bankruptcy, insolvency, reorganization, arrangement, fraudulent transfer, moratorium or other similar laws relating to or affecting the rights of creditors generally;</w:t>
      </w:r>
    </w:p>
    <w:p>
      <w:pPr>
        <w:spacing w:after="0" w:line="53"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indemnification and contribution, which may be limited by applicable law or equitable principles; and</w:t>
      </w:r>
    </w:p>
    <w:p>
      <w:pPr>
        <w:spacing w:after="0" w:line="117" w:lineRule="exact"/>
        <w:rPr>
          <w:rFonts w:ascii="Times New Roman" w:cs="Times New Roman" w:eastAsia="Times New Roman" w:hAnsi="Times New Roman"/>
          <w:sz w:val="18"/>
          <w:szCs w:val="18"/>
          <w:color w:val="auto"/>
        </w:rPr>
      </w:pPr>
    </w:p>
    <w:p>
      <w:pPr>
        <w:ind w:left="-436" w:right="520" w:firstLine="987"/>
        <w:spacing w:after="0" w:line="282" w:lineRule="auto"/>
        <w:tabs>
          <w:tab w:leader="none" w:pos="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principles of equity, including without limitation concepts of materiality, reasonableness, good faith and fair dealing, and the possible unavailability of specific performance or injunctive relief, whether considered in a proceeding in equity or at law.</w:t>
      </w:r>
    </w:p>
    <w:p>
      <w:pPr>
        <w:sectPr>
          <w:pgSz w:w="11900" w:h="16838" w:orient="portrait"/>
          <w:cols w:equalWidth="0" w:num="1">
            <w:col w:w="10564"/>
          </w:cols>
          <w:pgMar w:left="876" w:top="918" w:right="459" w:bottom="1440" w:gutter="0" w:footer="0" w:header="0"/>
        </w:sectPr>
      </w:pPr>
    </w:p>
    <w:bookmarkStart w:id="88" w:name="page89"/>
    <w:bookmarkEnd w:id="88"/>
    <w:p>
      <w:pPr>
        <w:ind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76910" cy="3175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676910" cy="317500"/>
                    </a:xfrm>
                    <a:prstGeom prst="rect">
                      <a:avLst/>
                    </a:prstGeom>
                    <a:noFill/>
                  </pic:spPr>
                </pic:pic>
              </a:graphicData>
            </a:graphic>
          </wp:anchor>
        </w:drawing>
        <w:t>We express no opinion as to the laws of any other jurisdiction, other than the federal laws of the United States of America, the laws of the State of New York as to the enforceability of the Debt Securities, the Warrants, the Subscription Rights, the Purchase Contracts and the Units, and the DGCL.</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10940"/>
          </w:cols>
          <w:pgMar w:left="440" w:top="918" w:right="519" w:bottom="1440" w:gutter="0" w:footer="0" w:header="0"/>
        </w:sectPr>
      </w:pPr>
    </w:p>
    <w:bookmarkStart w:id="89" w:name="page90"/>
    <w:bookmarkEnd w:id="89"/>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76910" cy="3175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676910" cy="317500"/>
                    </a:xfrm>
                    <a:prstGeom prst="rect">
                      <a:avLst/>
                    </a:prstGeom>
                    <a:noFill/>
                  </pic:spPr>
                </pic:pic>
              </a:graphicData>
            </a:graphic>
          </wp:anchor>
        </w:drawing>
        <w:t>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thereby admit that we are in the category of persons whose consent is required under Section 7 of the Act or the rules and regulations of the Commission thereunder.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ectPr>
          <w:pgSz w:w="11900" w:h="16838" w:orient="portrait"/>
          <w:cols w:equalWidth="0" w:num="1">
            <w:col w:w="11000"/>
          </w:cols>
          <w:pgMar w:left="440" w:top="918" w:right="45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805815" cy="3346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80581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KPMG LLP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New York, NY 10154-0102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consent to the use of our audit report dated March 11, 2024, with respect to the consolidated financial statements of Lexeo Therapeutics, Inc., incorporated herein by reference, and to the reference to our firm under the heading “Experts”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131445</wp:posOffset>
            </wp:positionV>
            <wp:extent cx="1131570" cy="2489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113157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2024</w:t>
      </w:r>
    </w:p>
    <w:p>
      <w:pPr>
        <w:sectPr>
          <w:pgSz w:w="11900" w:h="16838" w:orient="portrait"/>
          <w:cols w:equalWidth="0" w:num="1">
            <w:col w:w="11020"/>
          </w:cols>
          <w:pgMar w:left="440" w:top="117"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520"/>
        <w:spacing w:after="0" w:line="289" w:lineRule="auto"/>
        <w:rPr>
          <w:sz w:val="20"/>
          <w:szCs w:val="20"/>
          <w:color w:val="auto"/>
        </w:rPr>
      </w:pPr>
      <w:r>
        <w:rPr>
          <w:rFonts w:ascii="Times New Roman" w:cs="Times New Roman" w:eastAsia="Times New Roman" w:hAnsi="Times New Roman"/>
          <w:sz w:val="17"/>
          <w:szCs w:val="17"/>
          <w:color w:val="auto"/>
        </w:rPr>
        <w:t>KPMG LLP, a Delaware limited liability partnership and a member firm of the KPMG global organization of independent member firms affiliated with KPMG International Limited, a private English company limited by guarantee.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ectPr>
          <w:pgSz w:w="11900" w:h="16838" w:orient="portrait"/>
          <w:cols w:equalWidth="0" w:num="3">
            <w:col w:w="1660" w:space="560"/>
            <w:col w:w="6200" w:space="720"/>
            <w:col w:w="1880"/>
          </w:cols>
          <w:pgMar w:left="440" w:top="117" w:right="439" w:bottom="1440" w:gutter="0" w:footer="0" w:header="0"/>
          <w:type w:val="continuous"/>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Lexeo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u w:val="single" w:color="auto"/>
          <w:color w:val="auto"/>
        </w:rPr>
        <w:t>Table 1: Newly Registered and Carry Forward Securities</w:t>
      </w:r>
    </w:p>
    <w:p>
      <w:pPr>
        <w:spacing w:after="0" w:line="233"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1080" w:type="dxa"/>
            <w:vAlign w:val="bottom"/>
            <w:tcBorders>
              <w:top w:val="single" w:sz="8" w:color="auto"/>
              <w:left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134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Filing Fee</w:t>
            </w: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Paid in</w:t>
            </w: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6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Proposed</w:t>
            </w:r>
          </w:p>
        </w:tc>
        <w:tc>
          <w:tcPr>
            <w:tcW w:w="13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Unsold</w:t>
            </w: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6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10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6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10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to be</w:t>
            </w:r>
          </w:p>
        </w:tc>
      </w:tr>
      <w:tr>
        <w:trPr>
          <w:trHeight w:val="140"/>
        </w:trPr>
        <w:tc>
          <w:tcPr>
            <w:tcW w:w="108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Security</w:t>
            </w:r>
          </w:p>
        </w:tc>
        <w:tc>
          <w:tcPr>
            <w:tcW w:w="13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9"/>
              </w:rPr>
              <w:t>Class</w:t>
            </w:r>
          </w:p>
        </w:tc>
        <w:tc>
          <w:tcPr>
            <w:tcW w:w="7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9"/>
              </w:rPr>
              <w:t>Forward</w:t>
            </w:r>
          </w:p>
        </w:tc>
        <w:tc>
          <w:tcPr>
            <w:tcW w:w="6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8"/>
              </w:rPr>
              <w:t>Amount</w:t>
            </w:r>
          </w:p>
        </w:tc>
        <w:tc>
          <w:tcPr>
            <w:tcW w:w="6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7"/>
              </w:rPr>
              <w:t>Price Per</w:t>
            </w:r>
          </w:p>
        </w:tc>
        <w:tc>
          <w:tcPr>
            <w:tcW w:w="13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3"/>
              </w:rPr>
              <w:t>Offering</w:t>
            </w:r>
          </w:p>
        </w:tc>
        <w:tc>
          <w:tcPr>
            <w:tcW w:w="10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rPr>
              <w:t>Fee</w:t>
            </w: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7"/>
              </w:rPr>
              <w:t>Registration</w:t>
            </w:r>
          </w:p>
        </w:tc>
        <w:tc>
          <w:tcPr>
            <w:tcW w:w="5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2"/>
              </w:rPr>
              <w:t>Form</w:t>
            </w:r>
          </w:p>
        </w:tc>
        <w:tc>
          <w:tcPr>
            <w:tcW w:w="5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8"/>
              </w:rPr>
              <w:t>File</w:t>
            </w:r>
          </w:p>
        </w:tc>
        <w:tc>
          <w:tcPr>
            <w:tcW w:w="5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Effective</w:t>
            </w:r>
          </w:p>
        </w:tc>
        <w:tc>
          <w:tcPr>
            <w:tcW w:w="7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7"/>
              </w:rPr>
              <w:t>Carried</w:t>
            </w:r>
          </w:p>
        </w:tc>
      </w:tr>
      <w:tr>
        <w:trPr>
          <w:trHeight w:val="174"/>
        </w:trPr>
        <w:tc>
          <w:tcPr>
            <w:tcW w:w="1080" w:type="dxa"/>
            <w:vAlign w:val="bottom"/>
            <w:tcBorders>
              <w:left w:val="single" w:sz="8" w:color="auto"/>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Number</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Forward</w:t>
            </w:r>
          </w:p>
        </w:tc>
      </w:tr>
      <w:tr>
        <w:trPr>
          <w:trHeight w:val="233"/>
        </w:trPr>
        <w:tc>
          <w:tcPr>
            <w:tcW w:w="108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10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09"/>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9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7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9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7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 per</w:t>
            </w:r>
          </w:p>
        </w:tc>
        <w:tc>
          <w:tcPr>
            <w:tcW w:w="7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41"/>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7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1"/>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9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Preferred Stock,</w:t>
            </w:r>
          </w:p>
        </w:tc>
        <w:tc>
          <w:tcPr>
            <w:tcW w:w="7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9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7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 per</w:t>
            </w:r>
          </w:p>
        </w:tc>
        <w:tc>
          <w:tcPr>
            <w:tcW w:w="7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41"/>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7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1"/>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9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55"/>
        </w:trPr>
        <w:tc>
          <w:tcPr>
            <w:tcW w:w="10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Debt Securities</w:t>
            </w:r>
          </w:p>
        </w:tc>
        <w:tc>
          <w:tcPr>
            <w:tcW w:w="70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r>
      <w:tr>
        <w:trPr>
          <w:trHeight w:val="211"/>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9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55"/>
        </w:trPr>
        <w:tc>
          <w:tcPr>
            <w:tcW w:w="10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70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r>
      <w:tr>
        <w:trPr>
          <w:trHeight w:val="211"/>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9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Subscription</w:t>
            </w:r>
          </w:p>
        </w:tc>
        <w:tc>
          <w:tcPr>
            <w:tcW w:w="7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55"/>
        </w:trPr>
        <w:tc>
          <w:tcPr>
            <w:tcW w:w="10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Rights</w:t>
            </w:r>
          </w:p>
        </w:tc>
        <w:tc>
          <w:tcPr>
            <w:tcW w:w="70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r>
      <w:tr>
        <w:trPr>
          <w:trHeight w:val="211"/>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9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w:t>
            </w:r>
          </w:p>
        </w:tc>
        <w:tc>
          <w:tcPr>
            <w:tcW w:w="7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55"/>
        </w:trPr>
        <w:tc>
          <w:tcPr>
            <w:tcW w:w="10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Contracts</w:t>
            </w:r>
          </w:p>
        </w:tc>
        <w:tc>
          <w:tcPr>
            <w:tcW w:w="70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r>
      <w:tr>
        <w:trPr>
          <w:trHeight w:val="211"/>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9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55"/>
        </w:trPr>
        <w:tc>
          <w:tcPr>
            <w:tcW w:w="10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Units(4)</w:t>
            </w:r>
          </w:p>
        </w:tc>
        <w:tc>
          <w:tcPr>
            <w:tcW w:w="70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r>
      <w:tr>
        <w:trPr>
          <w:trHeight w:val="211"/>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Unallocated</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Unallocated</w:t>
            </w:r>
          </w:p>
        </w:tc>
        <w:tc>
          <w:tcPr>
            <w:tcW w:w="7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$153.10 per</w:t>
            </w:r>
          </w:p>
        </w:tc>
        <w:tc>
          <w:tcPr>
            <w:tcW w:w="9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41"/>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$300,000,000(3)</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$45,930.00</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41"/>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6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Offering Amounts </w:t>
            </w:r>
          </w:p>
        </w:tc>
        <w:tc>
          <w:tcPr>
            <w:tcW w:w="6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300,000,000</w:t>
            </w:r>
          </w:p>
        </w:tc>
        <w:tc>
          <w:tcPr>
            <w:tcW w:w="10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45,930.00</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5"/>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60" w:type="dxa"/>
            <w:vAlign w:val="bottom"/>
            <w:tcBorders>
              <w:bottom w:val="single" w:sz="8" w:color="auto"/>
              <w:right w:val="single" w:sz="8" w:color="auto"/>
            </w:tcBorders>
            <w:gridSpan w:val="3"/>
          </w:tcPr>
          <w:p>
            <w:pPr>
              <w:jc w:val="center"/>
              <w:ind w:left="574"/>
              <w:spacing w:after="0"/>
              <w:rPr>
                <w:sz w:val="20"/>
                <w:szCs w:val="20"/>
                <w:color w:val="auto"/>
              </w:rPr>
            </w:pPr>
            <w:r>
              <w:rPr>
                <w:rFonts w:ascii="Times New Roman" w:cs="Times New Roman" w:eastAsia="Times New Roman" w:hAnsi="Times New Roman"/>
                <w:sz w:val="18"/>
                <w:szCs w:val="18"/>
                <w:color w:val="auto"/>
                <w:w w:val="99"/>
              </w:rPr>
              <w:t>Total Fees Previously Paid </w:t>
            </w:r>
          </w:p>
        </w:tc>
        <w:tc>
          <w:tcPr>
            <w:tcW w:w="6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7"/>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 </w:t>
            </w:r>
          </w:p>
        </w:tc>
        <w:tc>
          <w:tcPr>
            <w:tcW w:w="6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8"/>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Net Fee Due </w:t>
            </w:r>
          </w:p>
        </w:tc>
        <w:tc>
          <w:tcPr>
            <w:tcW w:w="6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45,930.00</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bl>
    <w:p>
      <w:pPr>
        <w:spacing w:after="0" w:line="220" w:lineRule="exact"/>
        <w:rPr>
          <w:sz w:val="20"/>
          <w:szCs w:val="20"/>
          <w:color w:val="auto"/>
        </w:rPr>
      </w:pPr>
    </w:p>
    <w:p>
      <w:pPr>
        <w:jc w:val="both"/>
        <w:ind w:left="424" w:hanging="424"/>
        <w:spacing w:after="0" w:line="233" w:lineRule="auto"/>
        <w:tabs>
          <w:tab w:leader="none" w:pos="424"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registered consists of up to $300,000,000 of an indeterminate number of (a) shares of common stock, (b) shares of preferred stock, (c) debt securities, (d) warrants to purchase common stock, preferred stock or debt securities of the registrant, (e) subscription rights to purchase common stock, preferred stock, debt securities, warrants or units consisting of some or all of these securities of the registrant, (f) purchase contracts, and (g) units consisting of some or all of these securities, as may be sold from time to time by the registrant. There are also being registered hereunder an indeterminate number of shares of common stock and preferred stock as shall be issuable upon conversion, exchange or exercise of any securities that provide for such issuance.</w:t>
      </w:r>
    </w:p>
    <w:p>
      <w:pPr>
        <w:spacing w:after="0" w:line="204" w:lineRule="exact"/>
        <w:rPr>
          <w:rFonts w:ascii="Times New Roman" w:cs="Times New Roman" w:eastAsia="Times New Roman" w:hAnsi="Times New Roman"/>
          <w:sz w:val="14"/>
          <w:szCs w:val="14"/>
          <w:color w:val="auto"/>
        </w:rPr>
      </w:pPr>
    </w:p>
    <w:p>
      <w:pPr>
        <w:ind w:left="424" w:right="20" w:hanging="424"/>
        <w:spacing w:after="0" w:line="261" w:lineRule="auto"/>
        <w:tabs>
          <w:tab w:leader="none" w:pos="424"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 under the Securities Act of 1933, as amended, this registration statement shall also cover any additional shares of the registrant’s securities that become issuable by reason of any share splits, share dividends or similar transactions.</w:t>
      </w:r>
    </w:p>
    <w:p>
      <w:pPr>
        <w:spacing w:after="0" w:line="189" w:lineRule="exact"/>
        <w:rPr>
          <w:rFonts w:ascii="Times New Roman" w:cs="Times New Roman" w:eastAsia="Times New Roman" w:hAnsi="Times New Roman"/>
          <w:sz w:val="14"/>
          <w:szCs w:val="14"/>
          <w:color w:val="auto"/>
        </w:rPr>
      </w:pPr>
    </w:p>
    <w:p>
      <w:pPr>
        <w:jc w:val="both"/>
        <w:ind w:left="424" w:hanging="424"/>
        <w:spacing w:after="0" w:line="241" w:lineRule="auto"/>
        <w:tabs>
          <w:tab w:leader="none" w:pos="424"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w:t>
      </w:r>
    </w:p>
    <w:p>
      <w:pPr>
        <w:spacing w:after="0" w:line="203" w:lineRule="exact"/>
        <w:rPr>
          <w:rFonts w:ascii="Times New Roman" w:cs="Times New Roman" w:eastAsia="Times New Roman" w:hAnsi="Times New Roman"/>
          <w:sz w:val="14"/>
          <w:szCs w:val="14"/>
          <w:color w:val="auto"/>
        </w:rPr>
      </w:pPr>
    </w:p>
    <w:p>
      <w:pPr>
        <w:ind w:left="424" w:right="20" w:hanging="424"/>
        <w:spacing w:after="0" w:line="250" w:lineRule="auto"/>
        <w:tabs>
          <w:tab w:leader="none" w:pos="424"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Consisting of some or all of the securities listed above, in any combination, including common stock, preferred stock, debt securities, warrants, purchase contracts and subscription rights.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1)"/>
      <w:numFmt w:val="decimal"/>
      <w:start w:val="1"/>
    </w:lvl>
  </w:abstractNum>
  <w:abstractNum w:abstractNumId="23">
    <w:nsid w:val="6DE91B18"/>
    <w:multiLevelType w:val="hybridMultilevel"/>
    <w:lvl w:ilvl="0">
      <w:lvlJc w:val="left"/>
      <w:lvlText w:val="(%1)"/>
      <w:numFmt w:val="lowerRoman"/>
      <w:start w:val="3"/>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6">
    <w:nsid w:val="32FFF902"/>
    <w:multiLevelType w:val="hybridMultilevel"/>
    <w:lvl w:ilvl="0">
      <w:lvlJc w:val="left"/>
      <w:lvlText w:val="(%1)"/>
      <w:numFmt w:val="lowerRoman"/>
      <w:start w:val="3"/>
    </w:lvl>
  </w:abstractNum>
  <w:abstractNum w:abstractNumId="27">
    <w:nsid w:val="684A481A"/>
    <w:multiLevelType w:val="hybridMultilevel"/>
    <w:lvl w:ilvl="0">
      <w:lvlJc w:val="left"/>
      <w:lvlText w:val="(%1)"/>
      <w:numFmt w:val="decimal"/>
      <w:start w:val="2"/>
    </w:lvl>
    <w:lvl w:ilvl="1">
      <w:lvlJc w:val="left"/>
      <w:lvlText w:val="(%2)"/>
      <w:numFmt w:val="lowerRoman"/>
      <w:start w:val="1"/>
    </w:lvl>
  </w:abstractNum>
  <w:abstractNum w:abstractNumId="28">
    <w:nsid w:val="579478F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29">
    <w:nsid w:val="749ABB43"/>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30">
    <w:nsid w:val="3DC240F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1">
    <w:nsid w:val="1BA026FA"/>
    <w:multiLevelType w:val="hybridMultilevel"/>
    <w:lvl w:ilvl="0">
      <w:lvlJc w:val="left"/>
      <w:lvlText w:val="(%1)"/>
      <w:numFmt w:val="lowerLetter"/>
      <w:start w:val="1"/>
    </w:lvl>
  </w:abstractNum>
  <w:abstractNum w:abstractNumId="32">
    <w:nsid w:val="79A1DEAA"/>
    <w:multiLevelType w:val="hybridMultilevel"/>
    <w:lvl w:ilvl="0">
      <w:lvlJc w:val="left"/>
      <w:lvlText w:val="(%1)"/>
      <w:numFmt w:val="lowerLetter"/>
      <w:start w:val="1"/>
    </w:lvl>
  </w:abstractNum>
  <w:abstractNum w:abstractNumId="33">
    <w:nsid w:val="75C6C33A"/>
    <w:multiLevelType w:val="hybridMultilevel"/>
    <w:lvl w:ilvl="0">
      <w:lvlJc w:val="left"/>
      <w:lvlText w:val="(%1)"/>
      <w:numFmt w:val="lowerLetter"/>
      <w:start w:val="1"/>
    </w:lvl>
  </w:abstractNum>
  <w:abstractNum w:abstractNumId="34">
    <w:nsid w:val="12E685FB"/>
    <w:multiLevelType w:val="hybridMultilevel"/>
    <w:lvl w:ilvl="0">
      <w:lvlJc w:val="left"/>
      <w:lvlText w:val="(%1)"/>
      <w:numFmt w:val="lowerLetter"/>
      <w:start w:val="1"/>
    </w:lvl>
  </w:abstractNum>
  <w:abstractNum w:abstractNumId="35">
    <w:nsid w:val="70C6A529"/>
    <w:multiLevelType w:val="hybridMultilevel"/>
    <w:lvl w:ilvl="0">
      <w:lvlJc w:val="left"/>
      <w:lvlText w:val="(%1)"/>
      <w:numFmt w:val="lowerLetter"/>
      <w:start w:val="1"/>
    </w:lvl>
    <w:lvl w:ilvl="1">
      <w:lvlJc w:val="left"/>
      <w:lvlText w:val="(%2)"/>
      <w:numFmt w:val="lowerRoman"/>
      <w:start w:val="1"/>
    </w:lvl>
  </w:abstractNum>
  <w:abstractNum w:abstractNumId="36">
    <w:nsid w:val="520EEDD1"/>
    <w:multiLevelType w:val="hybridMultilevel"/>
    <w:lvl w:ilvl="0">
      <w:lvlJc w:val="left"/>
      <w:lvlText w:val="(%1)"/>
      <w:numFmt w:val="lowerLetter"/>
      <w:start w:val="6"/>
    </w:lvl>
  </w:abstractNum>
  <w:abstractNum w:abstractNumId="37">
    <w:nsid w:val="374A3FE6"/>
    <w:multiLevelType w:val="hybridMultilevel"/>
    <w:lvl w:ilvl="0">
      <w:lvlJc w:val="left"/>
      <w:lvlText w:val="(%1)"/>
      <w:numFmt w:val="lowerLetter"/>
      <w:start w:val="1"/>
    </w:lvl>
  </w:abstractNum>
  <w:abstractNum w:abstractNumId="38">
    <w:nsid w:val="4F4EF005"/>
    <w:multiLevelType w:val="hybridMultilevel"/>
    <w:lvl w:ilvl="0">
      <w:lvlJc w:val="left"/>
      <w:lvlText w:val="(%1)"/>
      <w:numFmt w:val="lowerLetter"/>
      <w:start w:val="1"/>
    </w:lvl>
  </w:abstractNum>
  <w:abstractNum w:abstractNumId="39">
    <w:nsid w:val="23F9C13C"/>
    <w:multiLevelType w:val="hybridMultilevel"/>
    <w:lvl w:ilvl="0">
      <w:lvlJc w:val="left"/>
      <w:lvlText w:val="(%1)"/>
      <w:numFmt w:val="lowerLetter"/>
      <w:start w:val="2"/>
    </w:lvl>
  </w:abstractNum>
  <w:abstractNum w:abstractNumId="40">
    <w:nsid w:val="649BB77C"/>
    <w:multiLevelType w:val="hybridMultilevel"/>
    <w:lvl w:ilvl="0">
      <w:lvlJc w:val="left"/>
      <w:lvlText w:val="(%1)"/>
      <w:numFmt w:val="lowerLetter"/>
      <w:start w:val="1"/>
    </w:lvl>
  </w:abstractNum>
  <w:abstractNum w:abstractNumId="41">
    <w:nsid w:val="275AC794"/>
    <w:multiLevelType w:val="hybridMultilevel"/>
    <w:lvl w:ilvl="0">
      <w:lvlJc w:val="left"/>
      <w:lvlText w:val="(%1)"/>
      <w:numFmt w:val="lowerLetter"/>
      <w:start w:val="2"/>
    </w:lvl>
  </w:abstractNum>
  <w:abstractNum w:abstractNumId="42">
    <w:nsid w:val="39386575"/>
    <w:multiLevelType w:val="hybridMultilevel"/>
    <w:lvl w:ilvl="0">
      <w:lvlJc w:val="left"/>
      <w:lvlText w:val="(%1)"/>
      <w:numFmt w:val="lowerLetter"/>
      <w:start w:val="1"/>
    </w:lvl>
  </w:abstractNum>
  <w:abstractNum w:abstractNumId="43">
    <w:nsid w:val="1CF10FD8"/>
    <w:multiLevelType w:val="hybridMultilevel"/>
    <w:lvl w:ilvl="0">
      <w:lvlJc w:val="left"/>
      <w:lvlText w:val="%1"/>
      <w:numFmt w:val="lowerLetter"/>
      <w:start w:val="1"/>
    </w:lvl>
    <w:lvl w:ilvl="1">
      <w:lvlJc w:val="left"/>
      <w:lvlText w:val="(%2)"/>
      <w:numFmt w:val="lowerRoman"/>
      <w:start w:val="1"/>
    </w:lvl>
  </w:abstractNum>
  <w:abstractNum w:abstractNumId="44">
    <w:nsid w:val="180115BE"/>
    <w:multiLevelType w:val="hybridMultilevel"/>
    <w:lvl w:ilvl="0">
      <w:lvlJc w:val="left"/>
      <w:lvlText w:val="(%1)"/>
      <w:numFmt w:val="lowerLetter"/>
      <w:start w:val="3"/>
    </w:lvl>
    <w:lvl w:ilvl="1">
      <w:lvlJc w:val="left"/>
      <w:lvlText w:val="(%2)"/>
      <w:numFmt w:val="lowerRoman"/>
      <w:start w:val="1"/>
    </w:lvl>
  </w:abstractNum>
  <w:abstractNum w:abstractNumId="45">
    <w:nsid w:val="235BA861"/>
    <w:multiLevelType w:val="hybridMultilevel"/>
    <w:lvl w:ilvl="0">
      <w:lvlJc w:val="left"/>
      <w:lvlText w:val="(%1)"/>
      <w:numFmt w:val="lowerLetter"/>
      <w:start w:val="1"/>
    </w:lvl>
  </w:abstractNum>
  <w:abstractNum w:abstractNumId="46">
    <w:nsid w:val="47398C89"/>
    <w:multiLevelType w:val="hybridMultilevel"/>
    <w:lvl w:ilvl="0">
      <w:lvlJc w:val="left"/>
      <w:lvlText w:val="(%1)"/>
      <w:numFmt w:val="lowerLetter"/>
      <w:start w:val="11"/>
    </w:lvl>
  </w:abstractNum>
  <w:abstractNum w:abstractNumId="47">
    <w:nsid w:val="354FE9F9"/>
    <w:multiLevelType w:val="hybridMultilevel"/>
    <w:lvl w:ilvl="0">
      <w:lvlJc w:val="left"/>
      <w:lvlText w:val="(%1)"/>
      <w:numFmt w:val="lowerLetter"/>
      <w:start w:val="1"/>
    </w:lvl>
  </w:abstractNum>
  <w:abstractNum w:abstractNumId="48">
    <w:nsid w:val="15B5AF5C"/>
    <w:multiLevelType w:val="hybridMultilevel"/>
    <w:lvl w:ilvl="0">
      <w:lvlJc w:val="left"/>
      <w:lvlText w:val="(%1)"/>
      <w:numFmt w:val="lowerLetter"/>
      <w:start w:val="3"/>
    </w:lvl>
  </w:abstractNum>
  <w:abstractNum w:abstractNumId="49">
    <w:nsid w:val="741226B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50">
    <w:nsid w:val="D34B6A8"/>
    <w:multiLevelType w:val="hybridMultilevel"/>
    <w:lvl w:ilvl="0">
      <w:lvlJc w:val="left"/>
      <w:lvlText w:val="(%1)"/>
      <w:numFmt w:val="lowerLetter"/>
      <w:start w:val="2"/>
    </w:lvl>
  </w:abstractNum>
  <w:abstractNum w:abstractNumId="51">
    <w:nsid w:val="10233C99"/>
    <w:multiLevelType w:val="hybridMultilevel"/>
    <w:lvl w:ilvl="0">
      <w:lvlJc w:val="left"/>
      <w:lvlText w:val="(%1)"/>
      <w:numFmt w:val="lowerLetter"/>
      <w:start w:val="1"/>
    </w:lvl>
  </w:abstractNum>
  <w:abstractNum w:abstractNumId="52">
    <w:nsid w:val="3F6AB60F"/>
    <w:multiLevelType w:val="hybridMultilevel"/>
    <w:lvl w:ilvl="0">
      <w:lvlJc w:val="left"/>
      <w:lvlText w:val="(%1)"/>
      <w:numFmt w:val="lowerLetter"/>
      <w:start w:val="1"/>
    </w:lvl>
  </w:abstractNum>
  <w:abstractNum w:abstractNumId="53">
    <w:nsid w:val="61574095"/>
    <w:multiLevelType w:val="hybridMultilevel"/>
    <w:lvl w:ilvl="0">
      <w:lvlJc w:val="left"/>
      <w:lvlText w:val="(%1)"/>
      <w:numFmt w:val="lowerLetter"/>
      <w:start w:val="2"/>
    </w:lvl>
  </w:abstractNum>
  <w:abstractNum w:abstractNumId="54">
    <w:nsid w:val="7E0C57B1"/>
    <w:multiLevelType w:val="hybridMultilevel"/>
    <w:lvl w:ilvl="0">
      <w:lvlJc w:val="left"/>
      <w:lvlText w:val="(%1)"/>
      <w:numFmt w:val="lowerLetter"/>
      <w:start w:val="4"/>
    </w:lvl>
  </w:abstractNum>
  <w:abstractNum w:abstractNumId="55">
    <w:nsid w:val="77AE35EB"/>
    <w:multiLevelType w:val="hybridMultilevel"/>
    <w:lvl w:ilvl="0">
      <w:lvlJc w:val="left"/>
      <w:lvlText w:val="(%1)"/>
      <w:numFmt w:val="lowerLetter"/>
      <w:start w:val="1"/>
    </w:lvl>
  </w:abstractNum>
  <w:abstractNum w:abstractNumId="56">
    <w:nsid w:val="579BE4F1"/>
    <w:multiLevelType w:val="hybridMultilevel"/>
    <w:lvl w:ilvl="0">
      <w:lvlJc w:val="left"/>
      <w:lvlText w:val="(%1)"/>
      <w:numFmt w:val="lowerLetter"/>
      <w:start w:val="6"/>
    </w:lvl>
  </w:abstractNum>
  <w:abstractNum w:abstractNumId="57">
    <w:nsid w:val="310C50B3"/>
    <w:multiLevelType w:val="hybridMultilevel"/>
    <w:lvl w:ilvl="0">
      <w:lvlJc w:val="left"/>
      <w:lvlText w:val="(%1)"/>
      <w:numFmt w:val="lowerLetter"/>
      <w:start w:val="1"/>
    </w:lvl>
  </w:abstractNum>
  <w:abstractNum w:abstractNumId="58">
    <w:nsid w:val="5FF87E05"/>
    <w:multiLevelType w:val="hybridMultilevel"/>
    <w:lvl w:ilvl="0">
      <w:lvlJc w:val="left"/>
      <w:lvlText w:val="(%1)"/>
      <w:numFmt w:val="lowerLetter"/>
      <w:start w:val="7"/>
    </w:lvl>
  </w:abstractNum>
  <w:abstractNum w:abstractNumId="59">
    <w:nsid w:val="2F305DEF"/>
    <w:multiLevelType w:val="hybridMultilevel"/>
    <w:lvl w:ilvl="0">
      <w:lvlJc w:val="left"/>
      <w:lvlText w:val="%1"/>
      <w:numFmt w:val="lowerLetter"/>
      <w:start w:val="1"/>
    </w:lvl>
    <w:lvl w:ilvl="1">
      <w:lvlJc w:val="left"/>
      <w:lvlText w:val="(%2)"/>
      <w:numFmt w:val="lowerLetter"/>
      <w:start w:val="10"/>
    </w:lvl>
  </w:abstractNum>
  <w:abstractNum w:abstractNumId="60">
    <w:nsid w:val="25A70BF7"/>
    <w:multiLevelType w:val="hybridMultilevel"/>
    <w:lvl w:ilvl="0">
      <w:lvlJc w:val="left"/>
      <w:lvlText w:val="(%1)"/>
      <w:numFmt w:val="lowerLetter"/>
      <w:start w:val="12"/>
    </w:lvl>
    <w:lvl w:ilvl="1">
      <w:lvlJc w:val="left"/>
      <w:lvlText w:val="%2"/>
      <w:numFmt w:val="lowerLetter"/>
      <w:start w:val="1"/>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lowerLetter"/>
      <w:start w:val="1"/>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1"/>
      <w:numFmt w:val="lowerRoman"/>
      <w:start w:val="1"/>
    </w:lvl>
    <w:lvl w:ilvl="1">
      <w:lvlJc w:val="left"/>
      <w:lvlText w:val="%2."/>
      <w:numFmt w:val="decimal"/>
      <w:start w:val="1"/>
    </w:lvl>
  </w:abstractNum>
  <w:abstractNum w:abstractNumId="65">
    <w:nsid w:val="5DB70AE5"/>
    <w:multiLevelType w:val="hybridMultilevel"/>
    <w:lvl w:ilvl="0">
      <w:lvlJc w:val="left"/>
      <w:lvlText w:val="(%1)"/>
      <w:numFmt w:val="lowerRoman"/>
      <w:start w:val="2"/>
    </w:lvl>
    <w:lvl w:ilvl="1">
      <w:lvlJc w:val="left"/>
      <w:lvlText w:val="%2."/>
      <w:numFmt w:val="decimal"/>
      <w:start w:val="2"/>
    </w:lvl>
  </w:abstractNum>
  <w:abstractNum w:abstractNumId="66">
    <w:nsid w:val="100F8FCA"/>
    <w:multiLevelType w:val="hybridMultilevel"/>
    <w:lvl w:ilvl="0">
      <w:lvlJc w:val="left"/>
      <w:lvlText w:val="(%1)"/>
      <w:numFmt w:val="lowerRoman"/>
      <w:start w:val="1"/>
    </w:lvl>
    <w:lvl w:ilvl="1">
      <w:lvlJc w:val="left"/>
      <w:lvlText w:val="%2."/>
      <w:numFmt w:val="decimal"/>
      <w:start w:val="3"/>
    </w:lvl>
  </w:abstractNum>
  <w:abstractNum w:abstractNumId="67">
    <w:nsid w:val="6590700B"/>
    <w:multiLevelType w:val="hybridMultilevel"/>
    <w:lvl w:ilvl="0">
      <w:lvlJc w:val="left"/>
      <w:lvlText w:val="%1."/>
      <w:numFmt w:val="decimal"/>
      <w:start w:val="4"/>
    </w:lvl>
  </w:abstractNum>
  <w:abstractNum w:abstractNumId="68">
    <w:nsid w:val="15014ACB"/>
    <w:multiLevelType w:val="hybridMultilevel"/>
    <w:lvl w:ilvl="0">
      <w:lvlJc w:val="left"/>
      <w:lvlText w:val="(%1)"/>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jpe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jpeg"/><Relationship Id="rId144" Type="http://schemas.openxmlformats.org/officeDocument/2006/relationships/image" Target="media/image119.png"/><Relationship Id="rId145" Type="http://schemas.openxmlformats.org/officeDocument/2006/relationships/image" Target="media/image120.jpeg"/><Relationship Id="rId146" Type="http://schemas.openxmlformats.org/officeDocument/2006/relationships/image" Target="media/image121.png"/><Relationship Id="rId147" Type="http://schemas.openxmlformats.org/officeDocument/2006/relationships/image" Target="media/image122.jpeg"/><Relationship Id="rId148" Type="http://schemas.openxmlformats.org/officeDocument/2006/relationships/image" Target="media/image123.png"/><Relationship Id="rId149" Type="http://schemas.openxmlformats.org/officeDocument/2006/relationships/image" Target="media/image124.jpeg"/><Relationship Id="rId150" Type="http://schemas.openxmlformats.org/officeDocument/2006/relationships/image" Target="media/image125.png"/><Relationship Id="rId151" Type="http://schemas.openxmlformats.org/officeDocument/2006/relationships/image" Target="media/image126.jpeg"/><Relationship Id="rId152" Type="http://schemas.openxmlformats.org/officeDocument/2006/relationships/image" Target="media/image127.jpeg"/><Relationship Id="rId153" Type="http://schemas.openxmlformats.org/officeDocument/2006/relationships/image" Target="media/image128.jpeg"/><Relationship Id="rId54" Type="http://schemas.openxmlformats.org/officeDocument/2006/relationships/hyperlink" Target="http://www.sec.gov/ix?doc=/Archives/edgar/data/1907108/000095017024028941/lxeo-20231231.htm" TargetMode="External"/><Relationship Id="rId55" Type="http://schemas.openxmlformats.org/officeDocument/2006/relationships/hyperlink" Target="http://www.sec.gov/Archives/edgar/data/1907108/000095017024048662/lxeo-def_14a-2024_proxy.htm" TargetMode="External"/><Relationship Id="rId56" Type="http://schemas.openxmlformats.org/officeDocument/2006/relationships/hyperlink" Target="http://www.sec.gov/ix?doc=/Archives/edgar/data/1907108/000095017024056247/lxeo-20240331.htm" TargetMode="External"/><Relationship Id="rId57" Type="http://schemas.openxmlformats.org/officeDocument/2006/relationships/hyperlink" Target="http://www.sec.gov/ix?doc=/Archives/edgar/data/1907108/000095017024095057/lxeo-20240630.htm" TargetMode="External"/><Relationship Id="rId58" Type="http://schemas.openxmlformats.org/officeDocument/2006/relationships/hyperlink" Target="http://www.sec.gov/ix?doc=/Archives/edgar/data/1907108/000095017024125943/lxeo-20240930.htm" TargetMode="External"/><Relationship Id="rId60" Type="http://schemas.openxmlformats.org/officeDocument/2006/relationships/hyperlink" Target="http://www.sec.gov/ix?doc=/Archives/edgar/data/1907108/000095017024029249/lxeo-20240311.htm" TargetMode="External"/><Relationship Id="rId61" Type="http://schemas.openxmlformats.org/officeDocument/2006/relationships/hyperlink" Target="http://www.sec.gov/ix?doc=/Archives/edgar/data/1907108/000095017024044598/lxeo-20240416.htm" TargetMode="External"/><Relationship Id="rId62" Type="http://schemas.openxmlformats.org/officeDocument/2006/relationships/hyperlink" Target="http://www.sec.gov/ix?doc=/Archives/edgar/data/1907108/000095017024046197/lxeo-20240422.htm" TargetMode="External"/><Relationship Id="rId63" Type="http://schemas.openxmlformats.org/officeDocument/2006/relationships/hyperlink" Target="http://www.sec.gov/ix?doc=/Archives/edgar/data/1907108/000095012324003417/lxeo-20240422.htm" TargetMode="External"/><Relationship Id="rId64" Type="http://schemas.openxmlformats.org/officeDocument/2006/relationships/hyperlink" Target="http://www.sec.gov/ix?doc=/Archives/edgar/data/1907108/000095017024078774/lxeo-20240628.htm" TargetMode="External"/><Relationship Id="rId65" Type="http://schemas.openxmlformats.org/officeDocument/2006/relationships/hyperlink" Target="http://www.sec.gov/ix?doc=/Archives/edgar/data/1907108/000095017024081942/lxeo-20240708.htm" TargetMode="External"/><Relationship Id="rId66" Type="http://schemas.openxmlformats.org/officeDocument/2006/relationships/hyperlink" Target="http://www.sec.gov/ix?doc=/Archives/edgar/data/1907108/000095017024083386/lxeo-20240715.htm" TargetMode="External"/><Relationship Id="rId67" Type="http://schemas.openxmlformats.org/officeDocument/2006/relationships/hyperlink" Target="http://www.sec.gov/ix?doc=/Archives/edgar/data/1907108/000095017024113764/lxeo-20241009.htm" TargetMode="External"/><Relationship Id="rId68" Type="http://schemas.openxmlformats.org/officeDocument/2006/relationships/hyperlink" Target="http://www.sec.gov/ix?doc=/Archives/edgar/data/1907108/000095017024118569/lxeo-20241030.htm" TargetMode="External"/><Relationship Id="rId69" Type="http://schemas.openxmlformats.org/officeDocument/2006/relationships/hyperlink" Target="http://www.sec.gov/ix?doc=/Archives/edgar/data/1907108/000095017024125940/lxeo-20241111.htm" TargetMode="External"/><Relationship Id="rId80" Type="http://schemas.openxmlformats.org/officeDocument/2006/relationships/hyperlink" Target="http://www.sec.gov/Archives/edgar/data/1907108/000119312523272430/d576843dex31.htm" TargetMode="External"/><Relationship Id="rId81" Type="http://schemas.openxmlformats.org/officeDocument/2006/relationships/hyperlink" Target="http://www.sec.gov/Archives/edgar/data/1907108/000119312523272430/d576843dex32.htm" TargetMode="External"/><Relationship Id="rId82" Type="http://schemas.openxmlformats.org/officeDocument/2006/relationships/hyperlink" Target="http://www.sec.gov/Archives/edgar/data/1907108/000119312523265646/d28723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2024-12-13T07:21:37Z</dcterms:created>
  <dcterms:modified xsi:type="dcterms:W3CDTF">2024-12-13T07:21:37Z</dcterms:modified>
</cp:coreProperties>
</file>