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Lexeo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001-41855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85-4012572</w:t>
            </w:r>
          </w:p>
        </w:tc>
      </w:tr>
      <w:tr>
        <w:trPr>
          <w:trHeight w:val="149"/>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345 Park Avenue South, Floor 6</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212 547-9879</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LXEO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June 25, 2026, Lexeo Therapeutics, Inc. (the “Company”) held its virtual 2026 Annual Meeting of Stockholders (the “Annual Meeting”) exclusively online via live webcast. The stockholders voted on the following proposals at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Class III Directors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Class III Directors, to serve until the Company’s 2029 Annual Meeting of Stockholders and until their respective successors are elected and qualified, or until their earlier death, resignation or removal. The final voting results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FOR</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WITHHELD</w:t>
            </w:r>
          </w:p>
        </w:tc>
        <w:tc>
          <w:tcPr>
            <w:tcW w:w="23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64,731,479</w:t>
            </w:r>
          </w:p>
        </w:tc>
        <w:tc>
          <w:tcPr>
            <w:tcW w:w="24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895,808</w:t>
            </w:r>
          </w:p>
        </w:tc>
        <w:tc>
          <w:tcPr>
            <w:tcW w:w="23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9,955,777</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48,792,570</w:t>
            </w:r>
          </w:p>
        </w:tc>
        <w:tc>
          <w:tcPr>
            <w:tcW w:w="24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16,834,717</w:t>
            </w:r>
          </w:p>
        </w:tc>
        <w:tc>
          <w:tcPr>
            <w:tcW w:w="23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9,955,777</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Paula HJ Cholmondeley</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64,652,712</w:t>
            </w:r>
          </w:p>
        </w:tc>
        <w:tc>
          <w:tcPr>
            <w:tcW w:w="24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974,575</w:t>
            </w:r>
          </w:p>
        </w:tc>
        <w:tc>
          <w:tcPr>
            <w:tcW w:w="23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9,955,777</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Appointment of Independent Registered Public Accounting Firm</w:t>
      </w:r>
    </w:p>
    <w:p>
      <w:pPr>
        <w:spacing w:after="0" w:line="2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KPMG LLP as the Company’s independent registered public accounting firm for the fiscal year ending December 31, 2026. The final voting results are as follows:</w:t>
      </w:r>
    </w:p>
    <w:p>
      <w:pPr>
        <w:sectPr>
          <w:pgSz w:w="11900" w:h="16838" w:orient="portrait"/>
          <w:cols w:equalWidth="0" w:num="1">
            <w:col w:w="11240"/>
          </w:cols>
          <w:pgMar w:left="320" w:top="1089" w:right="339" w:bottom="1440" w:gutter="0" w:footer="0" w:header="0"/>
        </w:sectPr>
      </w:pPr>
    </w:p>
    <w:p>
      <w:pPr>
        <w:spacing w:after="0" w:line="162"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7"/>
          <w:szCs w:val="17"/>
          <w:color w:val="auto"/>
        </w:rPr>
        <w:t>75,497,386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AGAINST</w:t>
      </w:r>
    </w:p>
    <w:p>
      <w:pPr>
        <w:spacing w:after="0" w:line="3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55,579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ABSTAIN</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30,099</w:t>
      </w:r>
    </w:p>
    <w:p>
      <w:pPr>
        <w:spacing w:after="0" w:line="200" w:lineRule="exact"/>
        <w:rPr>
          <w:sz w:val="20"/>
          <w:szCs w:val="20"/>
          <w:color w:val="auto"/>
        </w:rPr>
      </w:pPr>
    </w:p>
    <w:p>
      <w:pPr>
        <w:sectPr>
          <w:pgSz w:w="11900" w:h="16838" w:orient="portrait"/>
          <w:cols w:equalWidth="0" w:num="3">
            <w:col w:w="5880" w:space="720"/>
            <w:col w:w="1960" w:space="720"/>
            <w:col w:w="1960"/>
          </w:cols>
          <w:pgMar w:left="320" w:top="108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Statements filed with the Securities and Exchange Commission on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 Nolan Townsend,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2026-06-29T16:55:49Z</dcterms:created>
  <dcterms:modified xsi:type="dcterms:W3CDTF">2026-06-29T16:55:49Z</dcterms:modified>
</cp:coreProperties>
</file>