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4,175,382.00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4,175,382.00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4,175,382.00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4,175,382.00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4,175,382.00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4,175,382.00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4,175,382.00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4,175,382.00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4,175,382.00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3,662,102.00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3,662,102.00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3,662,102.00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June 30,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78,521,634 shares of Common Stock outstanding as of May 7, 2026, as reported by the Issuer in its Form 10-Q filed with the SEC on May 11,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1460</Words>
  <Characters>7460</Characters>
  <CharactersWithSpaces>8851</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