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COOPERSTONE BRENDA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Lexeo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LXEO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06/25/2026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LEXEO THERAPEUTICS,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345 PARK AVENUE SOUTH, FLOOR 6</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10010</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underlying the option shall vest, and become exercisable, on the earlier of one year following the grant date or the next annual meeting of stockholders, subject to the Reporting Person's continuous service on such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Youjin Choi, Attorney-in-</w:t>
            </w:r>
          </w:p>
        </w:tc>
        <w:tc>
          <w:tcPr>
            <w:tcW w:w="2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1514" TargetMode="External"/><Relationship Id="rId14" Type="http://schemas.openxmlformats.org/officeDocument/2006/relationships/hyperlink" Target="http://www.sec.gov/cgi-bin/browse-edgar?action=getcompany&amp;CIK=00019071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2026-06-29T16:24:31Z</dcterms:created>
  <dcterms:modified xsi:type="dcterms:W3CDTF">2026-06-29T16:24:31Z</dcterms:modified>
</cp:coreProperties>
</file>