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Lexeo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OrbiMed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3,203,050.00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3,203,050.00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3,203,050.00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OrbiMed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744,800.00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744,800.00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744,800.00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Lexeo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Floor 6,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OrbiMed Advisors LLC OrbiMed Capital LLC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601 Lexington Avenue, 54th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Please refer to Item 4 on each cover sheet for each filing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OrbiMed Advisors LLC: 3,203,050 OrbiMed Capital LLC: 744,800</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OrbiMed Advisors LLC: 4.1% OrbiMed Capital LLC: 1.0%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OrbiMed Advisors LLC: 0 OrbiMed Capital LLC: 744,800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OrbiMed Advisors LLC: 3,203,050 OrbiMed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OrbiMed Advisors LLC: 0 OrbiMed Capital LLC: 744,800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OrbiMed Advisors LLC: 3,203,050 OrbiMed Capital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Reporting Persons hold 5.0% of the shares of Common Stock in the aggregate on behalf of other persons who have the right to receive or the power to direct the receipt of dividends from, or proceeds from the sale of, such securities. OrbiMed Advisors LLC and OrbiMed Capital LLC exercise investment and voting power over the shares of Common Stock through a management committee comprised of Carl L. Gordon, W. Carter Neild, and Geoffrey C. Hsu, each of whom disclaims beneficial ownership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Carl L. Gordon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Carl L. Gordon / Member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OrbiMed Capital LLC</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Carl L. Gordon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Carl L. Gordon / Member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ss6671351_ex99a.htm"/>
      <w:bookmarkStart w:id="21" w:name="ksss6671351_ex99a"/>
      <w:bookmarkEnd w:id="20"/>
      <w:bookmarkEnd w:id="21"/>
      <w:r>
        <w:rPr/>
        <w:t> </w:t>
      </w:r>
      <w:r>
        <w:br w:type="page"/>
      </w:r>
    </w:p>
    <w:p>
      <w:pPr>
        <w:pStyle w:val="TextBody"/>
        <w:bidi w:val="0"/>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EXHIBIT A</w:t>
      </w:r>
    </w:p>
    <w:p>
      <w:pPr>
        <w:pStyle w:val="TextBody"/>
        <w:bidi w:val="0"/>
        <w:jc w:val="center"/>
        <w:rPr>
          <w:rFonts w:ascii="Times New Roman;Times;Serif" w:hAnsi="Times New Roman;Times;Serif"/>
          <w:b/>
          <w:i w:val="false"/>
          <w:caps w:val="false"/>
          <w:smallCaps w:val="false"/>
          <w:spacing w:val="-3"/>
          <w:sz w:val="20"/>
        </w:rPr>
      </w:pPr>
      <w:r>
        <w:rPr>
          <w:rFonts w:ascii="Times New Roman;Times;Serif" w:hAnsi="Times New Roman;Times;Serif"/>
          <w:b/>
          <w:i w:val="false"/>
          <w:caps w:val="false"/>
          <w:smallCaps w:val="false"/>
          <w:spacing w:val="-3"/>
          <w:sz w:val="20"/>
        </w:rPr>
        <w:t>JOINT FILING AGREEMENT</w:t>
      </w:r>
    </w:p>
    <w:p>
      <w:pPr>
        <w:pStyle w:val="TextBody"/>
        <w:bidi w:val="0"/>
        <w:jc w:val="both"/>
        <w:rPr>
          <w:caps w:val="false"/>
          <w:smallCaps w:val="false"/>
          <w:spacing w:val="-3"/>
        </w:rPr>
      </w:pPr>
      <w:r>
        <w:rPr>
          <w:caps w:val="false"/>
          <w:smallCaps w:val="false"/>
          <w:spacing w:val="-3"/>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3"/>
          <w:sz w:val="20"/>
        </w:rPr>
        <w:t xml:space="preserve">The undersigned hereby agree that this Statement on Schedule 13G, dated June 30, 2026 (this “Schedule 13G”), with respect to the Common Stock, par value $0.0001 per share, of </w:t>
      </w:r>
      <w:r>
        <w:rPr>
          <w:rFonts w:ascii="Times New Roman;Times;Serif" w:hAnsi="Times New Roman;Times;Serif"/>
          <w:b w:val="false"/>
          <w:i w:val="false"/>
          <w:caps w:val="false"/>
          <w:smallCaps w:val="false"/>
          <w:sz w:val="20"/>
        </w:rPr>
        <w:t xml:space="preserve">Lexeo Therapeutics, Inc. </w:t>
      </w:r>
      <w:r>
        <w:rPr>
          <w:rFonts w:ascii="Times New Roman;Times;Serif" w:hAnsi="Times New Roman;Times;Serif"/>
          <w:b w:val="false"/>
          <w:i w:val="false"/>
          <w:caps w:val="false"/>
          <w:smallCaps w:val="false"/>
          <w:spacing w:val="-3"/>
          <w:sz w:val="20"/>
        </w:rPr>
        <w:t>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pStyle w:val="TextBody"/>
        <w:bidi w:val="0"/>
        <w:jc w:val="both"/>
        <w:rPr>
          <w:caps w:val="false"/>
          <w:smallCaps w:val="false"/>
          <w:spacing w:val="-3"/>
        </w:rPr>
      </w:pPr>
      <w:r>
        <w:rPr>
          <w:caps w:val="false"/>
          <w:smallCaps w:val="false"/>
          <w:spacing w:val="-3"/>
        </w:rPr>
        <w:t> </w:t>
      </w:r>
    </w:p>
    <w:p>
      <w:pPr>
        <w:pStyle w:val="TextBody"/>
        <w:bidi w:val="0"/>
        <w:spacing w:lineRule="auto" w:line="256"/>
        <w:jc w:val="left"/>
        <w:rPr>
          <w:rFonts w:ascii="Times New Roman;Times;Serif" w:hAnsi="Times New Roman;Times;Serif"/>
          <w:b w:val="false"/>
          <w:i w:val="false"/>
          <w:caps w:val="false"/>
          <w:smallCaps w:val="false"/>
          <w:spacing w:val="-3"/>
          <w:sz w:val="20"/>
        </w:rPr>
      </w:pPr>
      <w:r>
        <w:rPr>
          <w:rFonts w:ascii="Times New Roman;Times;Serif" w:hAnsi="Times New Roman;Times;Serif"/>
          <w:b w:val="false"/>
          <w:i w:val="false"/>
          <w:caps w:val="false"/>
          <w:smallCaps w:val="false"/>
          <w:spacing w:val="-3"/>
          <w:sz w:val="20"/>
        </w:rPr>
        <w:t>IN WITNESS WHEREOF, the undersigned have executed this Joint Filing Agreement as of August 14, 2026.</w:t>
      </w:r>
    </w:p>
    <w:p>
      <w:pPr>
        <w:pStyle w:val="TextBody"/>
        <w:bidi w:val="0"/>
        <w:jc w:val="both"/>
        <w:rPr>
          <w:caps w:val="false"/>
          <w:smallCaps w:val="false"/>
          <w:spacing w:val="-3"/>
        </w:rPr>
      </w:pPr>
      <w:r>
        <w:rPr>
          <w:caps w:val="false"/>
          <w:smallCaps w:val="false"/>
          <w:spacing w:val="-3"/>
        </w:rPr>
        <w:t> </w:t>
      </w:r>
    </w:p>
    <w:tbl>
      <w:tblPr>
        <w:tblW w:w="2250" w:type="dxa"/>
        <w:jc w:val="left"/>
        <w:tblInd w:w="0" w:type="dxa"/>
        <w:tblLayout w:type="fixed"/>
        <w:tblCellMar>
          <w:top w:w="0" w:type="dxa"/>
          <w:left w:w="0" w:type="dxa"/>
          <w:bottom w:w="0" w:type="dxa"/>
          <w:right w:w="0" w:type="dxa"/>
        </w:tblCellMar>
      </w:tblPr>
      <w:tblGrid>
        <w:gridCol w:w="75"/>
        <w:gridCol w:w="320"/>
        <w:gridCol w:w="545"/>
        <w:gridCol w:w="1310"/>
      </w:tblGrid>
      <w:tr>
        <w:trPr/>
        <w:tc>
          <w:tcPr>
            <w:tcW w:w="75" w:type="dxa"/>
            <w:tcBorders/>
            <w:vAlign w:val="center"/>
          </w:tcPr>
          <w:p>
            <w:pPr>
              <w:pStyle w:val="TableContents"/>
              <w:bidi w:val="0"/>
              <w:spacing w:before="0" w:after="283"/>
              <w:jc w:val="left"/>
              <w:rPr/>
            </w:pPr>
            <w:r>
              <w:rPr/>
              <w:t> </w:t>
            </w:r>
          </w:p>
        </w:tc>
        <w:tc>
          <w:tcPr>
            <w:tcW w:w="217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OrbiMed Advisors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top w:val="single" w:sz="12"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10" w:type="dxa"/>
            <w:tcBorders>
              <w:top w:val="single" w:sz="12" w:space="0" w:color="000000"/>
            </w:tcBorders>
            <w:tcMar>
              <w:top w:w="28" w:type="dxa"/>
            </w:tcMar>
            <w:vAlign w:val="center"/>
          </w:tcPr>
          <w:p>
            <w:pPr>
              <w:pStyle w:val="TableContents"/>
              <w:bidi w:val="0"/>
              <w:spacing w:before="0" w:after="283"/>
              <w:jc w:val="left"/>
              <w:rPr/>
            </w:pPr>
            <w:r>
              <w:rPr/>
              <w:t> </w:t>
            </w:r>
            <w:r>
              <w:rPr>
                <w:rFonts w:ascii="Times New Roman;Times;Serif" w:hAnsi="Times New Roman;Times;Serif"/>
                <w:sz w:val="20"/>
              </w:rPr>
              <w:t>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10" w:type="dxa"/>
            <w:tcBorders/>
            <w:vAlign w:val="center"/>
          </w:tcPr>
          <w:p>
            <w:pPr>
              <w:pStyle w:val="TableContents"/>
              <w:bidi w:val="0"/>
              <w:spacing w:before="0" w:after="283"/>
              <w:jc w:val="left"/>
              <w:rPr/>
            </w:pPr>
            <w:r>
              <w:rPr/>
              <w:t> </w:t>
            </w:r>
            <w:r>
              <w:rPr>
                <w:rFonts w:ascii="Times New Roman;Times;Serif" w:hAnsi="Times New Roman;Times;Serif"/>
                <w:sz w:val="20"/>
              </w:rPr>
              <w:t>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OrbiMed Capital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top w:val="single" w:sz="12"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10" w:type="dxa"/>
            <w:tcBorders>
              <w:top w:val="single" w:sz="12" w:space="0" w:color="000000"/>
            </w:tcBorders>
            <w:tcMar>
              <w:top w:w="28" w:type="dxa"/>
            </w:tcMar>
            <w:vAlign w:val="center"/>
          </w:tcPr>
          <w:p>
            <w:pPr>
              <w:pStyle w:val="TableContents"/>
              <w:bidi w:val="0"/>
              <w:spacing w:before="0" w:after="283"/>
              <w:jc w:val="left"/>
              <w:rPr/>
            </w:pPr>
            <w:r>
              <w:rPr/>
              <w:t> </w:t>
            </w:r>
            <w:r>
              <w:rPr>
                <w:rFonts w:ascii="Times New Roman;Times;Serif" w:hAnsi="Times New Roman;Times;Serif"/>
                <w:sz w:val="20"/>
              </w:rPr>
              <w:t>Carl L. Gordon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10" w:type="dxa"/>
            <w:tcBorders/>
            <w:vAlign w:val="center"/>
          </w:tcPr>
          <w:p>
            <w:pPr>
              <w:pStyle w:val="TableContents"/>
              <w:bidi w:val="0"/>
              <w:spacing w:before="0" w:after="283"/>
              <w:jc w:val="left"/>
              <w:rPr/>
            </w:pPr>
            <w:r>
              <w:rPr/>
              <w:t> </w:t>
            </w:r>
            <w:r>
              <w:rPr>
                <w:rFonts w:ascii="Times New Roman;Times;Serif" w:hAnsi="Times New Roman;Times;Serif"/>
                <w:sz w:val="20"/>
              </w:rPr>
              <w:t>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bl>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1279</Words>
  <Characters>6489</Characters>
  <CharactersWithSpaces>7767</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