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92026_080624.xml.htm"/>
      <w:bookmarkStart w:id="1" w:name="ksform406292026_0806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DIAZ REINALDO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LEXEO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 SOUTH, FLOOR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Lexeo Therapeutics, Inc.</w:t>
              </w:r>
            </w:hyperlink>
            <w:r>
              <w:rPr/>
              <w:t xml:space="preserve"> [ </w:t>
            </w:r>
            <w:r>
              <w:rPr>
                <w:rFonts w:ascii="Times;serif" w:hAnsi="Times;serif"/>
                <w:color w:val="0000FF"/>
                <w:sz w:val="24"/>
                <w:shd w:fill="FFFFFF" w:val="clear"/>
              </w:rPr>
              <w:t>LXEO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100% of the shares underlying the option shall vest, and become exercisable, on the earlier of one year following the grant date or the next annual meeting of stockholders, subject to the Reporting Person's continuous service on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Youjin Choi,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0086" TargetMode="External"/><Relationship Id="rId5" Type="http://schemas.openxmlformats.org/officeDocument/2006/relationships/hyperlink" Target="http://www.sec.gov/cgi-bin/browse-edgar?action=getcompany&amp;CIK=0001907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3306</Characters>
  <CharactersWithSpaces>3856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