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October 29, 2026</w:t>
      </w:r>
    </w:p>
    <w:p>
      <w:pPr>
        <w:ind w:left="732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wp:posOffset>
            </wp:positionH>
            <wp:positionV relativeFrom="paragraph">
              <wp:posOffset>37465</wp:posOffset>
            </wp:positionV>
            <wp:extent cx="520827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08270" cy="635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69850</wp:posOffset>
            </wp:positionV>
            <wp:extent cx="52082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8270" cy="635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172085</wp:posOffset>
            </wp:positionV>
            <wp:extent cx="10915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S-3</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176530</wp:posOffset>
            </wp:positionV>
            <wp:extent cx="10915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Lexeo Therapeutics,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165100</wp:posOffset>
            </wp:positionV>
            <wp:extent cx="10915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1860" w:type="dxa"/>
        <w:tblCellMar>
          <w:top w:w="0" w:type="dxa"/>
          <w:left w:w="0" w:type="dxa"/>
          <w:bottom w:w="0" w:type="dxa"/>
          <w:right w:w="0" w:type="dxa"/>
        </w:tblCellMar>
      </w:tblPr>
      <w:tr>
        <w:trPr>
          <w:trHeight w:val="126"/>
        </w:trPr>
        <w:tc>
          <w:tcPr>
            <w:tcW w:w="2760" w:type="dxa"/>
            <w:vAlign w:val="bottom"/>
          </w:tcPr>
          <w:p>
            <w:pPr>
              <w:jc w:val="center"/>
              <w:ind w:right="149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460" w:type="dxa"/>
            <w:vAlign w:val="bottom"/>
          </w:tcPr>
          <w:p>
            <w:pPr>
              <w:jc w:val="center"/>
              <w:ind w:left="1470"/>
              <w:spacing w:after="0"/>
              <w:rPr>
                <w:sz w:val="20"/>
                <w:szCs w:val="20"/>
                <w:color w:val="auto"/>
              </w:rPr>
            </w:pPr>
            <w:r>
              <w:rPr>
                <w:rFonts w:ascii="Times New Roman" w:cs="Times New Roman" w:eastAsia="Times New Roman" w:hAnsi="Times New Roman"/>
                <w:sz w:val="11"/>
                <w:szCs w:val="11"/>
                <w:b w:val="1"/>
                <w:bCs w:val="1"/>
                <w:color w:val="auto"/>
              </w:rPr>
              <w:t>85-4012572</w:t>
            </w:r>
          </w:p>
        </w:tc>
      </w:tr>
      <w:tr>
        <w:trPr>
          <w:trHeight w:val="101"/>
        </w:trPr>
        <w:tc>
          <w:tcPr>
            <w:tcW w:w="2760" w:type="dxa"/>
            <w:vAlign w:val="bottom"/>
          </w:tcPr>
          <w:p>
            <w:pPr>
              <w:jc w:val="center"/>
              <w:ind w:right="1490"/>
              <w:spacing w:after="0" w:line="101" w:lineRule="exact"/>
              <w:rPr>
                <w:sz w:val="20"/>
                <w:szCs w:val="20"/>
                <w:color w:val="auto"/>
              </w:rPr>
            </w:pPr>
            <w:r>
              <w:rPr>
                <w:rFonts w:ascii="Times New Roman" w:cs="Times New Roman" w:eastAsia="Times New Roman" w:hAnsi="Times New Roman"/>
                <w:sz w:val="9"/>
                <w:szCs w:val="9"/>
                <w:b w:val="1"/>
                <w:bCs w:val="1"/>
                <w:color w:val="auto"/>
              </w:rPr>
              <w:t>(State or other jurisdiction of</w:t>
            </w:r>
          </w:p>
        </w:tc>
        <w:tc>
          <w:tcPr>
            <w:tcW w:w="2460" w:type="dxa"/>
            <w:vAlign w:val="bottom"/>
          </w:tcPr>
          <w:p>
            <w:pPr>
              <w:jc w:val="center"/>
              <w:ind w:left="1490"/>
              <w:spacing w:after="0" w:line="101" w:lineRule="exact"/>
              <w:rPr>
                <w:sz w:val="20"/>
                <w:szCs w:val="20"/>
                <w:color w:val="auto"/>
              </w:rPr>
            </w:pPr>
            <w:r>
              <w:rPr>
                <w:rFonts w:ascii="Times New Roman" w:cs="Times New Roman" w:eastAsia="Times New Roman" w:hAnsi="Times New Roman"/>
                <w:sz w:val="9"/>
                <w:szCs w:val="9"/>
                <w:b w:val="1"/>
                <w:bCs w:val="1"/>
                <w:color w:val="auto"/>
              </w:rPr>
              <w:t>(I.R.S. Employer</w:t>
            </w:r>
          </w:p>
        </w:tc>
      </w:tr>
      <w:tr>
        <w:trPr>
          <w:trHeight w:val="124"/>
        </w:trPr>
        <w:tc>
          <w:tcPr>
            <w:tcW w:w="2760" w:type="dxa"/>
            <w:vAlign w:val="bottom"/>
          </w:tcPr>
          <w:p>
            <w:pPr>
              <w:jc w:val="center"/>
              <w:ind w:right="149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tc>
        <w:tc>
          <w:tcPr>
            <w:tcW w:w="2460" w:type="dxa"/>
            <w:vAlign w:val="bottom"/>
          </w:tcPr>
          <w:p>
            <w:pPr>
              <w:jc w:val="center"/>
              <w:ind w:left="1470"/>
              <w:spacing w:after="0"/>
              <w:rPr>
                <w:sz w:val="20"/>
                <w:szCs w:val="20"/>
                <w:color w:val="auto"/>
              </w:rPr>
            </w:pPr>
            <w:r>
              <w:rPr>
                <w:rFonts w:ascii="Times New Roman" w:cs="Times New Roman" w:eastAsia="Times New Roman" w:hAnsi="Times New Roman"/>
                <w:sz w:val="9"/>
                <w:szCs w:val="9"/>
                <w:b w:val="1"/>
                <w:bCs w:val="1"/>
                <w:color w:val="auto"/>
              </w:rPr>
              <w:t>Identification Number)</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345 Park Avenue South, Floor 6</w:t>
      </w:r>
    </w:p>
    <w:p>
      <w:pPr>
        <w:jc w:val="center"/>
        <w:spacing w:after="0" w:line="209" w:lineRule="auto"/>
        <w:rPr>
          <w:sz w:val="20"/>
          <w:szCs w:val="20"/>
          <w:color w:val="auto"/>
        </w:rPr>
      </w:pPr>
      <w:r>
        <w:rPr>
          <w:rFonts w:ascii="Times New Roman" w:cs="Times New Roman" w:eastAsia="Times New Roman" w:hAnsi="Times New Roman"/>
          <w:sz w:val="11"/>
          <w:szCs w:val="11"/>
          <w:b w:val="1"/>
          <w:bCs w:val="1"/>
          <w:color w:val="auto"/>
        </w:rPr>
        <w:t>New York, New York, 10010</w:t>
      </w:r>
    </w:p>
    <w:p>
      <w:pPr>
        <w:jc w:val="center"/>
        <w:spacing w:after="0" w:line="214" w:lineRule="auto"/>
        <w:rPr>
          <w:sz w:val="20"/>
          <w:szCs w:val="20"/>
          <w:color w:val="auto"/>
        </w:rPr>
      </w:pPr>
      <w:r>
        <w:rPr>
          <w:rFonts w:ascii="Times New Roman" w:cs="Times New Roman" w:eastAsia="Times New Roman" w:hAnsi="Times New Roman"/>
          <w:sz w:val="11"/>
          <w:szCs w:val="11"/>
          <w:b w:val="1"/>
          <w:bCs w:val="1"/>
          <w:color w:val="auto"/>
        </w:rPr>
        <w:t>Tel: (212) 547-9879</w:t>
      </w:r>
    </w:p>
    <w:p>
      <w:pPr>
        <w:jc w:val="center"/>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172720</wp:posOffset>
            </wp:positionV>
            <wp:extent cx="10915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 Nolan Townsend</w:t>
      </w:r>
    </w:p>
    <w:p>
      <w:pPr>
        <w:jc w:val="center"/>
        <w:spacing w:after="0" w:line="209"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jc w:val="center"/>
        <w:spacing w:after="0" w:line="210" w:lineRule="auto"/>
        <w:rPr>
          <w:sz w:val="20"/>
          <w:szCs w:val="20"/>
          <w:color w:val="auto"/>
        </w:rPr>
      </w:pPr>
      <w:r>
        <w:rPr>
          <w:rFonts w:ascii="Times New Roman" w:cs="Times New Roman" w:eastAsia="Times New Roman" w:hAnsi="Times New Roman"/>
          <w:sz w:val="11"/>
          <w:szCs w:val="11"/>
          <w:b w:val="1"/>
          <w:bCs w:val="1"/>
          <w:color w:val="auto"/>
        </w:rPr>
        <w:t>Lexeo Therapeutics, Inc.</w:t>
      </w:r>
    </w:p>
    <w:p>
      <w:pPr>
        <w:jc w:val="center"/>
        <w:spacing w:after="0" w:line="210" w:lineRule="auto"/>
        <w:rPr>
          <w:sz w:val="20"/>
          <w:szCs w:val="20"/>
          <w:color w:val="auto"/>
        </w:rPr>
      </w:pPr>
      <w:r>
        <w:rPr>
          <w:rFonts w:ascii="Times New Roman" w:cs="Times New Roman" w:eastAsia="Times New Roman" w:hAnsi="Times New Roman"/>
          <w:sz w:val="11"/>
          <w:szCs w:val="11"/>
          <w:b w:val="1"/>
          <w:bCs w:val="1"/>
          <w:color w:val="auto"/>
        </w:rPr>
        <w:t>345 Park Avenue South, Floor 6</w:t>
      </w:r>
    </w:p>
    <w:p>
      <w:pPr>
        <w:jc w:val="center"/>
        <w:spacing w:after="0" w:line="210" w:lineRule="auto"/>
        <w:rPr>
          <w:sz w:val="20"/>
          <w:szCs w:val="20"/>
          <w:color w:val="auto"/>
        </w:rPr>
      </w:pPr>
      <w:r>
        <w:rPr>
          <w:rFonts w:ascii="Times New Roman" w:cs="Times New Roman" w:eastAsia="Times New Roman" w:hAnsi="Times New Roman"/>
          <w:sz w:val="11"/>
          <w:szCs w:val="11"/>
          <w:b w:val="1"/>
          <w:bCs w:val="1"/>
          <w:color w:val="auto"/>
        </w:rPr>
        <w:t>New York, New York, 10010</w:t>
      </w:r>
    </w:p>
    <w:p>
      <w:pPr>
        <w:jc w:val="center"/>
        <w:spacing w:after="0" w:line="213" w:lineRule="auto"/>
        <w:rPr>
          <w:sz w:val="20"/>
          <w:szCs w:val="20"/>
          <w:color w:val="auto"/>
        </w:rPr>
      </w:pPr>
      <w:r>
        <w:rPr>
          <w:rFonts w:ascii="Times New Roman" w:cs="Times New Roman" w:eastAsia="Times New Roman" w:hAnsi="Times New Roman"/>
          <w:sz w:val="11"/>
          <w:szCs w:val="11"/>
          <w:b w:val="1"/>
          <w:bCs w:val="1"/>
          <w:color w:val="auto"/>
        </w:rPr>
        <w:t>(212) 547-9879</w:t>
      </w:r>
    </w:p>
    <w:p>
      <w:pPr>
        <w:jc w:val="center"/>
        <w:spacing w:after="0"/>
        <w:rPr>
          <w:sz w:val="20"/>
          <w:szCs w:val="20"/>
          <w:color w:val="auto"/>
        </w:rPr>
      </w:pPr>
      <w:r>
        <w:rPr>
          <w:rFonts w:ascii="Times New Roman" w:cs="Times New Roman" w:eastAsia="Times New Roman" w:hAnsi="Times New Roman"/>
          <w:sz w:val="9"/>
          <w:szCs w:val="9"/>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165735</wp:posOffset>
            </wp:positionV>
            <wp:extent cx="109156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393" w:lineRule="exact"/>
        <w:rPr>
          <w:sz w:val="24"/>
          <w:szCs w:val="24"/>
          <w:color w:val="auto"/>
        </w:rPr>
      </w:pPr>
    </w:p>
    <w:tbl>
      <w:tblPr>
        <w:tblLayout w:type="fixed"/>
        <w:tblInd w:w="156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3500" w:type="dxa"/>
            <w:vAlign w:val="bottom"/>
          </w:tcPr>
          <w:p>
            <w:pPr>
              <w:ind w:left="44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r>
      <w:tr>
        <w:trPr>
          <w:trHeight w:val="261"/>
        </w:trPr>
        <w:tc>
          <w:tcPr>
            <w:tcW w:w="2280" w:type="dxa"/>
            <w:vAlign w:val="bottom"/>
          </w:tcPr>
          <w:p>
            <w:pPr>
              <w:jc w:val="center"/>
              <w:ind w:right="406"/>
              <w:spacing w:after="0"/>
              <w:rPr>
                <w:sz w:val="20"/>
                <w:szCs w:val="20"/>
                <w:color w:val="auto"/>
              </w:rPr>
            </w:pPr>
            <w:r>
              <w:rPr>
                <w:rFonts w:ascii="Times New Roman" w:cs="Times New Roman" w:eastAsia="Times New Roman" w:hAnsi="Times New Roman"/>
                <w:sz w:val="11"/>
                <w:szCs w:val="11"/>
                <w:b w:val="1"/>
                <w:bCs w:val="1"/>
                <w:color w:val="auto"/>
                <w:w w:val="97"/>
              </w:rPr>
              <w:t>Megan J. Baier</w:t>
            </w:r>
          </w:p>
        </w:tc>
        <w:tc>
          <w:tcPr>
            <w:tcW w:w="3500" w:type="dxa"/>
            <w:vAlign w:val="bottom"/>
          </w:tcPr>
          <w:p>
            <w:pPr>
              <w:jc w:val="center"/>
              <w:ind w:left="2006"/>
              <w:spacing w:after="0"/>
              <w:rPr>
                <w:sz w:val="20"/>
                <w:szCs w:val="20"/>
                <w:color w:val="auto"/>
              </w:rPr>
            </w:pPr>
            <w:r>
              <w:rPr>
                <w:rFonts w:ascii="Times New Roman" w:cs="Times New Roman" w:eastAsia="Times New Roman" w:hAnsi="Times New Roman"/>
                <w:sz w:val="11"/>
                <w:szCs w:val="11"/>
                <w:b w:val="1"/>
                <w:bCs w:val="1"/>
                <w:color w:val="auto"/>
                <w:w w:val="94"/>
              </w:rPr>
              <w:t>Louis Tamayo</w:t>
            </w:r>
          </w:p>
        </w:tc>
      </w:tr>
      <w:tr>
        <w:trPr>
          <w:trHeight w:val="111"/>
        </w:trPr>
        <w:tc>
          <w:tcPr>
            <w:tcW w:w="2280" w:type="dxa"/>
            <w:vAlign w:val="bottom"/>
          </w:tcPr>
          <w:p>
            <w:pPr>
              <w:jc w:val="center"/>
              <w:ind w:right="406"/>
              <w:spacing w:after="0" w:line="111" w:lineRule="exact"/>
              <w:rPr>
                <w:sz w:val="20"/>
                <w:szCs w:val="20"/>
                <w:color w:val="auto"/>
              </w:rPr>
            </w:pPr>
            <w:r>
              <w:rPr>
                <w:rFonts w:ascii="Times New Roman" w:cs="Times New Roman" w:eastAsia="Times New Roman" w:hAnsi="Times New Roman"/>
                <w:sz w:val="11"/>
                <w:szCs w:val="11"/>
                <w:b w:val="1"/>
                <w:bCs w:val="1"/>
                <w:color w:val="auto"/>
                <w:w w:val="98"/>
              </w:rPr>
              <w:t>David G. Sharon</w:t>
            </w:r>
          </w:p>
        </w:tc>
        <w:tc>
          <w:tcPr>
            <w:tcW w:w="3500" w:type="dxa"/>
            <w:vAlign w:val="bottom"/>
          </w:tcPr>
          <w:p>
            <w:pPr>
              <w:jc w:val="center"/>
              <w:ind w:left="1986"/>
              <w:spacing w:after="0" w:line="111" w:lineRule="exact"/>
              <w:rPr>
                <w:sz w:val="20"/>
                <w:szCs w:val="20"/>
                <w:color w:val="auto"/>
              </w:rPr>
            </w:pPr>
            <w:r>
              <w:rPr>
                <w:rFonts w:ascii="Times New Roman" w:cs="Times New Roman" w:eastAsia="Times New Roman" w:hAnsi="Times New Roman"/>
                <w:sz w:val="11"/>
                <w:szCs w:val="11"/>
                <w:b w:val="1"/>
                <w:bCs w:val="1"/>
                <w:color w:val="auto"/>
                <w:w w:val="97"/>
              </w:rPr>
              <w:t>Chief Financial Officer</w:t>
            </w:r>
          </w:p>
        </w:tc>
      </w:tr>
      <w:tr>
        <w:trPr>
          <w:trHeight w:val="111"/>
        </w:trPr>
        <w:tc>
          <w:tcPr>
            <w:tcW w:w="2280" w:type="dxa"/>
            <w:vAlign w:val="bottom"/>
          </w:tcPr>
          <w:p>
            <w:pPr>
              <w:jc w:val="center"/>
              <w:ind w:right="406"/>
              <w:spacing w:after="0" w:line="111" w:lineRule="exact"/>
              <w:rPr>
                <w:sz w:val="20"/>
                <w:szCs w:val="20"/>
                <w:color w:val="auto"/>
              </w:rPr>
            </w:pPr>
            <w:r>
              <w:rPr>
                <w:rFonts w:ascii="Times New Roman" w:cs="Times New Roman" w:eastAsia="Times New Roman" w:hAnsi="Times New Roman"/>
                <w:sz w:val="11"/>
                <w:szCs w:val="11"/>
                <w:b w:val="1"/>
                <w:bCs w:val="1"/>
                <w:color w:val="auto"/>
                <w:w w:val="96"/>
              </w:rPr>
              <w:t>Wilson Sonsini Goodrich &amp; Rosati, P.C.</w:t>
            </w:r>
          </w:p>
        </w:tc>
        <w:tc>
          <w:tcPr>
            <w:tcW w:w="3500" w:type="dxa"/>
            <w:vAlign w:val="bottom"/>
          </w:tcPr>
          <w:p>
            <w:pPr>
              <w:jc w:val="center"/>
              <w:ind w:left="1986"/>
              <w:spacing w:after="0" w:line="111" w:lineRule="exact"/>
              <w:rPr>
                <w:sz w:val="20"/>
                <w:szCs w:val="20"/>
                <w:color w:val="auto"/>
              </w:rPr>
            </w:pPr>
            <w:r>
              <w:rPr>
                <w:rFonts w:ascii="Times New Roman" w:cs="Times New Roman" w:eastAsia="Times New Roman" w:hAnsi="Times New Roman"/>
                <w:sz w:val="11"/>
                <w:szCs w:val="11"/>
                <w:b w:val="1"/>
                <w:bCs w:val="1"/>
                <w:color w:val="auto"/>
                <w:w w:val="98"/>
              </w:rPr>
              <w:t>Lexeo Therapeutics, Inc.</w:t>
            </w:r>
          </w:p>
        </w:tc>
      </w:tr>
      <w:tr>
        <w:trPr>
          <w:trHeight w:val="111"/>
        </w:trPr>
        <w:tc>
          <w:tcPr>
            <w:tcW w:w="2280" w:type="dxa"/>
            <w:vAlign w:val="bottom"/>
          </w:tcPr>
          <w:p>
            <w:pPr>
              <w:jc w:val="center"/>
              <w:ind w:right="406"/>
              <w:spacing w:after="0" w:line="111" w:lineRule="exact"/>
              <w:rPr>
                <w:sz w:val="20"/>
                <w:szCs w:val="20"/>
                <w:color w:val="auto"/>
              </w:rPr>
            </w:pPr>
            <w:r>
              <w:rPr>
                <w:rFonts w:ascii="Times New Roman" w:cs="Times New Roman" w:eastAsia="Times New Roman" w:hAnsi="Times New Roman"/>
                <w:sz w:val="11"/>
                <w:szCs w:val="11"/>
                <w:b w:val="1"/>
                <w:bCs w:val="1"/>
                <w:color w:val="auto"/>
                <w:w w:val="96"/>
              </w:rPr>
              <w:t>31 West 52nd Street, Fifth Floor</w:t>
            </w:r>
          </w:p>
        </w:tc>
        <w:tc>
          <w:tcPr>
            <w:tcW w:w="3500" w:type="dxa"/>
            <w:vAlign w:val="bottom"/>
          </w:tcPr>
          <w:p>
            <w:pPr>
              <w:jc w:val="center"/>
              <w:ind w:left="1986"/>
              <w:spacing w:after="0" w:line="111" w:lineRule="exact"/>
              <w:rPr>
                <w:sz w:val="20"/>
                <w:szCs w:val="20"/>
                <w:color w:val="auto"/>
              </w:rPr>
            </w:pPr>
            <w:r>
              <w:rPr>
                <w:rFonts w:ascii="Times New Roman" w:cs="Times New Roman" w:eastAsia="Times New Roman" w:hAnsi="Times New Roman"/>
                <w:sz w:val="11"/>
                <w:szCs w:val="11"/>
                <w:b w:val="1"/>
                <w:bCs w:val="1"/>
                <w:color w:val="auto"/>
                <w:w w:val="97"/>
              </w:rPr>
              <w:t>345 Park Avenue South, Floor 6</w:t>
            </w:r>
          </w:p>
        </w:tc>
      </w:tr>
      <w:tr>
        <w:trPr>
          <w:trHeight w:val="111"/>
        </w:trPr>
        <w:tc>
          <w:tcPr>
            <w:tcW w:w="2280" w:type="dxa"/>
            <w:vAlign w:val="bottom"/>
          </w:tcPr>
          <w:p>
            <w:pPr>
              <w:jc w:val="center"/>
              <w:ind w:right="406"/>
              <w:spacing w:after="0" w:line="111" w:lineRule="exact"/>
              <w:rPr>
                <w:sz w:val="20"/>
                <w:szCs w:val="20"/>
                <w:color w:val="auto"/>
              </w:rPr>
            </w:pPr>
            <w:r>
              <w:rPr>
                <w:rFonts w:ascii="Times New Roman" w:cs="Times New Roman" w:eastAsia="Times New Roman" w:hAnsi="Times New Roman"/>
                <w:sz w:val="11"/>
                <w:szCs w:val="11"/>
                <w:b w:val="1"/>
                <w:bCs w:val="1"/>
                <w:color w:val="auto"/>
                <w:w w:val="95"/>
              </w:rPr>
              <w:t>New York, New York 10019</w:t>
            </w:r>
          </w:p>
        </w:tc>
        <w:tc>
          <w:tcPr>
            <w:tcW w:w="3500" w:type="dxa"/>
            <w:vAlign w:val="bottom"/>
          </w:tcPr>
          <w:p>
            <w:pPr>
              <w:jc w:val="center"/>
              <w:ind w:left="1986"/>
              <w:spacing w:after="0" w:line="111" w:lineRule="exact"/>
              <w:rPr>
                <w:sz w:val="20"/>
                <w:szCs w:val="20"/>
                <w:color w:val="auto"/>
              </w:rPr>
            </w:pPr>
            <w:r>
              <w:rPr>
                <w:rFonts w:ascii="Times New Roman" w:cs="Times New Roman" w:eastAsia="Times New Roman" w:hAnsi="Times New Roman"/>
                <w:sz w:val="11"/>
                <w:szCs w:val="11"/>
                <w:b w:val="1"/>
                <w:bCs w:val="1"/>
                <w:color w:val="auto"/>
                <w:w w:val="95"/>
              </w:rPr>
              <w:t>New York, New York 10010</w:t>
            </w:r>
          </w:p>
        </w:tc>
      </w:tr>
      <w:tr>
        <w:trPr>
          <w:trHeight w:val="141"/>
        </w:trPr>
        <w:tc>
          <w:tcPr>
            <w:tcW w:w="2280" w:type="dxa"/>
            <w:vAlign w:val="bottom"/>
          </w:tcPr>
          <w:p>
            <w:pPr>
              <w:jc w:val="center"/>
              <w:ind w:right="386"/>
              <w:spacing w:after="0"/>
              <w:rPr>
                <w:sz w:val="20"/>
                <w:szCs w:val="20"/>
                <w:color w:val="auto"/>
              </w:rPr>
            </w:pPr>
            <w:r>
              <w:rPr>
                <w:rFonts w:ascii="Times New Roman" w:cs="Times New Roman" w:eastAsia="Times New Roman" w:hAnsi="Times New Roman"/>
                <w:sz w:val="11"/>
                <w:szCs w:val="11"/>
                <w:b w:val="1"/>
                <w:bCs w:val="1"/>
                <w:color w:val="auto"/>
                <w:w w:val="96"/>
              </w:rPr>
              <w:t>Telephone: (212) 999-5800</w:t>
            </w:r>
          </w:p>
        </w:tc>
        <w:tc>
          <w:tcPr>
            <w:tcW w:w="3500" w:type="dxa"/>
            <w:vAlign w:val="bottom"/>
          </w:tcPr>
          <w:p>
            <w:pPr>
              <w:jc w:val="center"/>
              <w:ind w:left="1986"/>
              <w:spacing w:after="0"/>
              <w:rPr>
                <w:sz w:val="20"/>
                <w:szCs w:val="20"/>
                <w:color w:val="auto"/>
              </w:rPr>
            </w:pPr>
            <w:r>
              <w:rPr>
                <w:rFonts w:ascii="Times New Roman" w:cs="Times New Roman" w:eastAsia="Times New Roman" w:hAnsi="Times New Roman"/>
                <w:sz w:val="11"/>
                <w:szCs w:val="11"/>
                <w:b w:val="1"/>
                <w:bCs w:val="1"/>
                <w:color w:val="auto"/>
                <w:w w:val="95"/>
              </w:rPr>
              <w:t>(212) 547-9879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164465</wp:posOffset>
            </wp:positionV>
            <wp:extent cx="109156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39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the effective date of this Registration Statement.</w:t>
      </w:r>
    </w:p>
    <w:p>
      <w:pPr>
        <w:spacing w:after="0" w:line="133" w:lineRule="exact"/>
        <w:rPr>
          <w:sz w:val="24"/>
          <w:szCs w:val="24"/>
          <w:color w:val="auto"/>
        </w:rPr>
      </w:pPr>
    </w:p>
    <w:p>
      <w:pPr>
        <w:ind w:left="74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79" w:lineRule="exact"/>
        <w:rPr>
          <w:sz w:val="24"/>
          <w:szCs w:val="24"/>
          <w:color w:val="auto"/>
        </w:rPr>
      </w:pPr>
    </w:p>
    <w:p>
      <w:pPr>
        <w:ind w:left="400" w:right="699" w:firstLine="328"/>
        <w:spacing w:after="0" w:line="138"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27" w:lineRule="exact"/>
        <w:rPr>
          <w:sz w:val="24"/>
          <w:szCs w:val="24"/>
          <w:color w:val="auto"/>
        </w:rPr>
      </w:pPr>
    </w:p>
    <w:p>
      <w:pPr>
        <w:ind w:left="400" w:right="839" w:firstLine="328"/>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7" w:lineRule="exact"/>
        <w:rPr>
          <w:sz w:val="24"/>
          <w:szCs w:val="24"/>
          <w:color w:val="auto"/>
        </w:rPr>
      </w:pPr>
    </w:p>
    <w:p>
      <w:pPr>
        <w:ind w:left="400" w:right="679" w:firstLine="328"/>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7" w:lineRule="exact"/>
        <w:rPr>
          <w:sz w:val="24"/>
          <w:szCs w:val="24"/>
          <w:color w:val="auto"/>
        </w:rPr>
      </w:pPr>
    </w:p>
    <w:p>
      <w:pPr>
        <w:ind w:left="400" w:right="759" w:firstLine="328"/>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Securities and Exchange Commission, or the Commission, pursuant to Rule 462(e) under the Securities Act, check the following box.  </w:t>
      </w:r>
      <w:r>
        <w:rPr>
          <w:rFonts w:ascii="MS PGothic" w:cs="MS PGothic" w:eastAsia="MS PGothic" w:hAnsi="MS PGothic"/>
          <w:sz w:val="11"/>
          <w:szCs w:val="11"/>
          <w:color w:val="auto"/>
        </w:rPr>
        <w:t>☐</w:t>
      </w:r>
    </w:p>
    <w:p>
      <w:pPr>
        <w:spacing w:after="0" w:line="127" w:lineRule="exact"/>
        <w:rPr>
          <w:sz w:val="24"/>
          <w:szCs w:val="24"/>
          <w:color w:val="auto"/>
        </w:rPr>
      </w:pPr>
    </w:p>
    <w:p>
      <w:pPr>
        <w:ind w:left="400" w:right="539" w:firstLine="328"/>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27" w:lineRule="exact"/>
        <w:rPr>
          <w:sz w:val="24"/>
          <w:szCs w:val="24"/>
          <w:color w:val="auto"/>
        </w:rPr>
      </w:pPr>
    </w:p>
    <w:p>
      <w:pPr>
        <w:jc w:val="both"/>
        <w:ind w:left="400" w:right="599" w:firstLine="328"/>
        <w:spacing w:after="0" w:line="22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38" w:lineRule="exact"/>
        <w:rPr>
          <w:sz w:val="24"/>
          <w:szCs w:val="24"/>
          <w:color w:val="auto"/>
        </w:rPr>
      </w:pPr>
    </w:p>
    <w:tbl>
      <w:tblPr>
        <w:tblLayout w:type="fixed"/>
        <w:tblInd w:w="400" w:type="dxa"/>
        <w:tblCellMar>
          <w:top w:w="0" w:type="dxa"/>
          <w:left w:w="0" w:type="dxa"/>
          <w:bottom w:w="0" w:type="dxa"/>
          <w:right w:w="0" w:type="dxa"/>
        </w:tblCellMar>
      </w:tblPr>
      <w:tr>
        <w:trPr>
          <w:trHeight w:val="179"/>
        </w:trPr>
        <w:tc>
          <w:tcPr>
            <w:tcW w:w="11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7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860" w:type="dxa"/>
            <w:vAlign w:val="bottom"/>
          </w:tcPr>
          <w:p>
            <w:pPr>
              <w:ind w:left="2440"/>
              <w:spacing w:after="0"/>
              <w:rPr>
                <w:sz w:val="20"/>
                <w:szCs w:val="20"/>
                <w:color w:val="auto"/>
              </w:rPr>
            </w:pPr>
            <w:r>
              <w:rPr>
                <w:rFonts w:ascii="Times New Roman" w:cs="Times New Roman" w:eastAsia="Times New Roman" w:hAnsi="Times New Roman"/>
                <w:sz w:val="11"/>
                <w:szCs w:val="11"/>
                <w:color w:val="auto"/>
              </w:rPr>
              <w:t>Accelerated filer</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1"/>
        </w:trPr>
        <w:tc>
          <w:tcPr>
            <w:tcW w:w="11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7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860" w:type="dxa"/>
            <w:vAlign w:val="bottom"/>
          </w:tcPr>
          <w:p>
            <w:pPr>
              <w:ind w:left="24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1"/>
        </w:trPr>
        <w:tc>
          <w:tcPr>
            <w:tcW w:w="1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860" w:type="dxa"/>
            <w:vAlign w:val="bottom"/>
          </w:tcPr>
          <w:p>
            <w:pPr>
              <w:ind w:left="2440"/>
              <w:spacing w:after="0"/>
              <w:rPr>
                <w:sz w:val="20"/>
                <w:szCs w:val="20"/>
                <w:color w:val="auto"/>
              </w:rPr>
            </w:pPr>
            <w:r>
              <w:rPr>
                <w:rFonts w:ascii="Times New Roman" w:cs="Times New Roman" w:eastAsia="Times New Roman" w:hAnsi="Times New Roman"/>
                <w:sz w:val="11"/>
                <w:szCs w:val="11"/>
                <w:color w:val="auto"/>
              </w:rPr>
              <w:t>Emerging growth company</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26" w:lineRule="exact"/>
        <w:rPr>
          <w:sz w:val="24"/>
          <w:szCs w:val="24"/>
          <w:color w:val="auto"/>
        </w:rPr>
      </w:pPr>
    </w:p>
    <w:p>
      <w:pPr>
        <w:ind w:left="400" w:right="839" w:firstLine="328"/>
        <w:spacing w:after="0" w:line="13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161290</wp:posOffset>
            </wp:positionV>
            <wp:extent cx="10915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386" w:lineRule="exact"/>
        <w:rPr>
          <w:sz w:val="24"/>
          <w:szCs w:val="24"/>
          <w:color w:val="auto"/>
        </w:rPr>
      </w:pPr>
    </w:p>
    <w:p>
      <w:pPr>
        <w:ind w:left="400" w:right="519" w:firstLine="328"/>
        <w:spacing w:after="0" w:line="229"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130" w:lineRule="exact"/>
        <w:rPr>
          <w:sz w:val="24"/>
          <w:szCs w:val="24"/>
          <w:color w:val="auto"/>
        </w:rPr>
      </w:pPr>
    </w:p>
    <w:p>
      <w:pPr>
        <w:ind w:left="400" w:right="419" w:firstLine="328"/>
        <w:spacing w:after="0" w:line="217" w:lineRule="auto"/>
        <w:rPr>
          <w:sz w:val="20"/>
          <w:szCs w:val="20"/>
          <w:color w:val="auto"/>
        </w:rPr>
      </w:pPr>
      <w:r>
        <w:rPr>
          <w:rFonts w:ascii="Times New Roman" w:cs="Times New Roman" w:eastAsia="Times New Roman" w:hAnsi="Times New Roman"/>
          <w:sz w:val="11"/>
          <w:szCs w:val="11"/>
          <w:b w:val="1"/>
          <w:bCs w:val="1"/>
          <w:color w:val="auto"/>
        </w:rPr>
        <w:t>Pursuant to Rule 415(a)(6), the securities being registered hereunder include $135,387,220.20 of unsold securities which remain unsold as of the date hereof (collectively, the “Unsold Securities”) previously registered by the registrant’s registration statement on Form S-3 (File No. 333-283781), which was originally filed with the Commission on December 13, 2024, and declared effective by the Commission on December 19, 2024 (the “Prior Registration Statement”). The aggregate filing fee paid in connection with such Unsold Securities was $20,727.78.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 If the registrant sells any of the Unsold Securities pursuant to the Prior Registration Statement after the date of the initial filing, and prior to the date of effectiveness, of this registration statement, the registrant will file a pre-effective amendment to this registration statement, which will reduce the number of Unsold Securities included on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wp:posOffset>
            </wp:positionH>
            <wp:positionV relativeFrom="paragraph">
              <wp:posOffset>18415</wp:posOffset>
            </wp:positionV>
            <wp:extent cx="52082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8270" cy="635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50165</wp:posOffset>
            </wp:positionV>
            <wp:extent cx="520827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8270" cy="6350"/>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 w:name="page2"/>
    <w:bookmarkEnd w:id="1"/>
    <w:p>
      <w:pPr>
        <w:spacing w:after="0" w:line="47" w:lineRule="exact"/>
        <w:rPr>
          <w:sz w:val="20"/>
          <w:szCs w:val="20"/>
          <w:color w:val="auto"/>
        </w:rPr>
      </w:pPr>
    </w:p>
    <w:tbl>
      <w:tblPr>
        <w:tblLayout w:type="fixed"/>
        <w:tblInd w:w="400" w:type="dxa"/>
        <w:tblCellMar>
          <w:top w:w="0" w:type="dxa"/>
          <w:left w:w="0" w:type="dxa"/>
          <w:bottom w:w="0" w:type="dxa"/>
          <w:right w:w="0" w:type="dxa"/>
        </w:tblCellMar>
      </w:tblPr>
      <w:tr>
        <w:trPr>
          <w:trHeight w:val="2478"/>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securities until the registration statement</w:t>
            </w:r>
          </w:p>
        </w:tc>
        <w:tc>
          <w:tcPr>
            <w:tcW w:w="180" w:type="dxa"/>
            <w:vAlign w:val="bottom"/>
            <w:textDirection w:val="btLr"/>
          </w:tcPr>
          <w:p>
            <w:pPr>
              <w:ind w:left="31"/>
              <w:spacing w:after="0"/>
              <w:rPr>
                <w:sz w:val="20"/>
                <w:szCs w:val="20"/>
                <w:color w:val="auto"/>
              </w:rPr>
            </w:pPr>
            <w:r>
              <w:rPr>
                <w:rFonts w:ascii="Times New Roman" w:cs="Times New Roman" w:eastAsia="Times New Roman" w:hAnsi="Times New Roman"/>
                <w:sz w:val="13"/>
                <w:szCs w:val="13"/>
                <w:b w:val="1"/>
                <w:bCs w:val="1"/>
                <w:color w:val="FF4338"/>
              </w:rPr>
              <w:t>to sell these securities and it is not soliciting</w:t>
            </w:r>
          </w:p>
        </w:tc>
        <w:tc>
          <w:tcPr>
            <w:tcW w:w="140" w:type="dxa"/>
            <w:vAlign w:val="bottom"/>
          </w:tcPr>
          <w:p>
            <w:pPr>
              <w:spacing w:after="0"/>
              <w:rPr>
                <w:sz w:val="24"/>
                <w:szCs w:val="24"/>
                <w:color w:val="auto"/>
              </w:rPr>
            </w:pPr>
          </w:p>
        </w:tc>
      </w:tr>
      <w:tr>
        <w:trPr>
          <w:trHeight w:val="3049"/>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complete and may be changed. We may not sell these</w:t>
            </w:r>
          </w:p>
        </w:tc>
        <w:tc>
          <w:tcPr>
            <w:tcW w:w="180" w:type="dxa"/>
            <w:vAlign w:val="bottom"/>
            <w:textDirection w:val="btLr"/>
          </w:tcPr>
          <w:p>
            <w:pPr>
              <w:ind w:left="31"/>
              <w:spacing w:after="0"/>
              <w:rPr>
                <w:sz w:val="20"/>
                <w:szCs w:val="20"/>
                <w:color w:val="auto"/>
              </w:rPr>
            </w:pPr>
            <w:r>
              <w:rPr>
                <w:rFonts w:ascii="Times New Roman" w:cs="Times New Roman" w:eastAsia="Times New Roman" w:hAnsi="Times New Roman"/>
                <w:sz w:val="13"/>
                <w:szCs w:val="13"/>
                <w:b w:val="1"/>
                <w:bCs w:val="1"/>
                <w:color w:val="FF4338"/>
              </w:rPr>
              <w:t>effective. This preliminary prospectus is not an offer</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offer or sale is not permitted.</w:t>
            </w:r>
          </w:p>
        </w:tc>
      </w:tr>
      <w:tr>
        <w:trPr>
          <w:trHeight w:val="3052"/>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The information in this preliminary prospectus is not</w:t>
            </w:r>
          </w:p>
        </w:tc>
        <w:tc>
          <w:tcPr>
            <w:tcW w:w="180" w:type="dxa"/>
            <w:vAlign w:val="bottom"/>
            <w:textDirection w:val="btLr"/>
          </w:tcPr>
          <w:p>
            <w:pPr>
              <w:ind w:left="31"/>
              <w:spacing w:after="0"/>
              <w:rPr>
                <w:sz w:val="20"/>
                <w:szCs w:val="20"/>
                <w:color w:val="auto"/>
              </w:rPr>
            </w:pPr>
            <w:r>
              <w:rPr>
                <w:rFonts w:ascii="Times New Roman" w:cs="Times New Roman" w:eastAsia="Times New Roman" w:hAnsi="Times New Roman"/>
                <w:sz w:val="13"/>
                <w:szCs w:val="13"/>
                <w:b w:val="1"/>
                <w:bCs w:val="1"/>
                <w:color w:val="FF4338"/>
              </w:rPr>
              <w:t>filed with the Securities and Exchange Commission 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an offer to buy these securities in any state where the</w:t>
            </w:r>
          </w:p>
        </w:tc>
      </w:tr>
    </w:tbl>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Times New Roman" w:cs="Times New Roman" w:eastAsia="Times New Roman" w:hAnsi="Times New Roman"/>
          <w:sz w:val="12"/>
          <w:szCs w:val="12"/>
          <w:b w:val="1"/>
          <w:bCs w:val="1"/>
          <w:color w:val="FF4338"/>
        </w:rPr>
        <w:t>Subject to Completion, dated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-219075</wp:posOffset>
            </wp:positionV>
            <wp:extent cx="7205345"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5345" cy="3175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116840</wp:posOffset>
            </wp:positionV>
            <wp:extent cx="951230" cy="382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230"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9"/>
          <w:szCs w:val="29"/>
          <w:b w:val="1"/>
          <w:bCs w:val="1"/>
          <w:color w:val="auto"/>
        </w:rPr>
        <w:t>Lexeo Therapeutics, Inc.</w:t>
      </w:r>
    </w:p>
    <w:p>
      <w:pPr>
        <w:spacing w:after="0" w:line="17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b w:val="1"/>
          <w:bCs w:val="1"/>
          <w:color w:val="auto"/>
        </w:rPr>
        <w:t>$300,000,000</w:t>
      </w:r>
    </w:p>
    <w:p>
      <w:pPr>
        <w:spacing w:after="0" w:line="157"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8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8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8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8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Subscription Rights</w:t>
      </w:r>
    </w:p>
    <w:p>
      <w:pPr>
        <w:spacing w:after="0" w:line="8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Purchase Contracts</w:t>
      </w:r>
    </w:p>
    <w:p>
      <w:pPr>
        <w:spacing w:after="0" w:line="8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186055</wp:posOffset>
            </wp:positionV>
            <wp:extent cx="92519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195" cy="63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119" w:firstLine="277"/>
        <w:spacing w:after="0" w:line="292" w:lineRule="auto"/>
        <w:rPr>
          <w:sz w:val="20"/>
          <w:szCs w:val="20"/>
          <w:color w:val="auto"/>
        </w:rPr>
      </w:pPr>
      <w:r>
        <w:rPr>
          <w:rFonts w:ascii="Times New Roman" w:cs="Times New Roman" w:eastAsia="Times New Roman" w:hAnsi="Times New Roman"/>
          <w:sz w:val="12"/>
          <w:szCs w:val="12"/>
          <w:color w:val="auto"/>
        </w:rPr>
        <w:t>The securities covered by this prospectus may be sold by Lexeo Therapeutics, Inc. from time to time. This prospectus provides you with a general description of these securities.</w:t>
      </w:r>
    </w:p>
    <w:p>
      <w:pPr>
        <w:spacing w:after="0" w:line="127" w:lineRule="exact"/>
        <w:rPr>
          <w:sz w:val="20"/>
          <w:szCs w:val="20"/>
          <w:color w:val="auto"/>
        </w:rPr>
      </w:pPr>
    </w:p>
    <w:p>
      <w:pPr>
        <w:ind w:right="1059" w:firstLine="277"/>
        <w:spacing w:after="0" w:line="269" w:lineRule="auto"/>
        <w:rPr>
          <w:sz w:val="20"/>
          <w:szCs w:val="20"/>
          <w:color w:val="auto"/>
        </w:rPr>
      </w:pPr>
      <w:r>
        <w:rPr>
          <w:rFonts w:ascii="Times New Roman" w:cs="Times New Roman" w:eastAsia="Times New Roman" w:hAnsi="Times New Roman"/>
          <w:sz w:val="12"/>
          <w:szCs w:val="12"/>
          <w:color w:val="auto"/>
        </w:rPr>
        <w:t>We may issue securities from time to time in one or more offerings, in amounts, at prices and on terms determined at the time of offering, of up to $300,000,000 in the aggregate.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41" w:lineRule="exact"/>
        <w:rPr>
          <w:sz w:val="20"/>
          <w:szCs w:val="20"/>
          <w:color w:val="auto"/>
        </w:rPr>
      </w:pPr>
    </w:p>
    <w:p>
      <w:pPr>
        <w:ind w:right="1079" w:firstLine="277"/>
        <w:spacing w:after="0" w:line="277" w:lineRule="auto"/>
        <w:rPr>
          <w:sz w:val="20"/>
          <w:szCs w:val="20"/>
          <w:color w:val="auto"/>
        </w:rPr>
      </w:pPr>
      <w:r>
        <w:rPr>
          <w:rFonts w:ascii="Times New Roman" w:cs="Times New Roman" w:eastAsia="Times New Roman" w:hAnsi="Times New Roman"/>
          <w:sz w:val="12"/>
          <w:szCs w:val="12"/>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35" w:lineRule="exact"/>
        <w:rPr>
          <w:sz w:val="20"/>
          <w:szCs w:val="20"/>
          <w:color w:val="auto"/>
        </w:rPr>
      </w:pPr>
    </w:p>
    <w:p>
      <w:pPr>
        <w:jc w:val="both"/>
        <w:ind w:right="1159" w:firstLine="277"/>
        <w:spacing w:after="0" w:line="277" w:lineRule="auto"/>
        <w:rPr>
          <w:sz w:val="20"/>
          <w:szCs w:val="20"/>
          <w:color w:val="auto"/>
        </w:rPr>
      </w:pPr>
      <w:r>
        <w:rPr>
          <w:rFonts w:ascii="Times New Roman" w:cs="Times New Roman" w:eastAsia="Times New Roman" w:hAnsi="Times New Roman"/>
          <w:sz w:val="12"/>
          <w:szCs w:val="12"/>
          <w:color w:val="auto"/>
        </w:rPr>
        <w:t>Our common stock is listed on the Nasdaq Global Market, or Nasdaq, under the symbol “LXEO.” On October 28, 2026, the last quoted sale price of our common stock as reported on Nasdaq was $3.13 per share. Each prospectus supplement will indicate whether the securities offered thereby will be listed on any securities exchange.</w:t>
      </w:r>
    </w:p>
    <w:p>
      <w:pPr>
        <w:spacing w:after="0" w:line="135" w:lineRule="exact"/>
        <w:rPr>
          <w:sz w:val="20"/>
          <w:szCs w:val="20"/>
          <w:color w:val="auto"/>
        </w:rPr>
      </w:pPr>
    </w:p>
    <w:p>
      <w:pPr>
        <w:jc w:val="both"/>
        <w:ind w:right="1239" w:firstLine="277"/>
        <w:spacing w:after="0" w:line="277" w:lineRule="auto"/>
        <w:rPr>
          <w:sz w:val="20"/>
          <w:szCs w:val="20"/>
          <w:color w:val="auto"/>
        </w:rPr>
      </w:pPr>
      <w:r>
        <w:rPr>
          <w:rFonts w:ascii="Times New Roman" w:cs="Times New Roman" w:eastAsia="Times New Roman" w:hAnsi="Times New Roman"/>
          <w:sz w:val="12"/>
          <w:szCs w:val="12"/>
          <w:color w:val="auto"/>
        </w:rPr>
        <w:t>We are an “emerging growth company” and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155575</wp:posOffset>
            </wp:positionV>
            <wp:extent cx="92519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5195" cy="6350"/>
                    </a:xfrm>
                    <a:prstGeom prst="rect">
                      <a:avLst/>
                    </a:prstGeom>
                    <a:noFill/>
                  </pic:spPr>
                </pic:pic>
              </a:graphicData>
            </a:graphic>
          </wp:anchor>
        </w:drawing>
      </w:r>
    </w:p>
    <w:p>
      <w:pPr>
        <w:spacing w:after="0" w:line="377" w:lineRule="exact"/>
        <w:rPr>
          <w:sz w:val="20"/>
          <w:szCs w:val="20"/>
          <w:color w:val="auto"/>
        </w:rPr>
      </w:pPr>
    </w:p>
    <w:p>
      <w:pPr>
        <w:ind w:right="1359" w:firstLine="346"/>
        <w:spacing w:after="0" w:line="244"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Before buying any securities, you should carefully read the discussion of the risks and uncertainties of investing in our securities described in the section titled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6 of this prospectus, and under similar headings in any amendments or supplements to this prospectus as well as the documents incorporated by reference in this prospectus.</w:t>
      </w:r>
    </w:p>
    <w:p>
      <w:pPr>
        <w:spacing w:after="0" w:line="148" w:lineRule="exact"/>
        <w:rPr>
          <w:sz w:val="20"/>
          <w:szCs w:val="20"/>
          <w:color w:val="auto"/>
        </w:rPr>
      </w:pPr>
    </w:p>
    <w:p>
      <w:pPr>
        <w:ind w:right="1199" w:firstLine="277"/>
        <w:spacing w:after="0" w:line="292" w:lineRule="auto"/>
        <w:rPr>
          <w:sz w:val="20"/>
          <w:szCs w:val="20"/>
          <w:color w:val="auto"/>
        </w:rPr>
      </w:pPr>
      <w:r>
        <w:rPr>
          <w:rFonts w:ascii="Times New Roman" w:cs="Times New Roman" w:eastAsia="Times New Roman" w:hAnsi="Times New Roman"/>
          <w:sz w:val="12"/>
          <w:szCs w:val="12"/>
          <w:color w:val="auto"/>
        </w:rPr>
        <w:t>You should rely only on the information contained in this prospectus or any prospectus supplement or amendment hereto. We have not authorized anyone to provide you with different information.</w:t>
      </w:r>
    </w:p>
    <w:p>
      <w:pPr>
        <w:spacing w:after="0" w:line="123" w:lineRule="exact"/>
        <w:rPr>
          <w:sz w:val="20"/>
          <w:szCs w:val="20"/>
          <w:color w:val="auto"/>
        </w:rPr>
      </w:pPr>
    </w:p>
    <w:p>
      <w:pPr>
        <w:ind w:right="1119"/>
        <w:spacing w:after="0" w:line="299"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153670</wp:posOffset>
            </wp:positionV>
            <wp:extent cx="92519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5195" cy="6350"/>
                    </a:xfrm>
                    <a:prstGeom prst="rect">
                      <a:avLst/>
                    </a:prstGeom>
                    <a:noFill/>
                  </pic:spPr>
                </pic:pic>
              </a:graphicData>
            </a:graphic>
          </wp:anchor>
        </w:drawing>
      </w:r>
    </w:p>
    <w:p>
      <w:pPr>
        <w:spacing w:after="0" w:line="3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2"/>
          <w:szCs w:val="12"/>
          <w:b w:val="1"/>
          <w:bCs w:val="1"/>
          <w:color w:val="auto"/>
        </w:rPr>
        <w:t>Prospectus dated             , 2026.</w:t>
      </w:r>
    </w:p>
    <w:p>
      <w:pPr>
        <w:sectPr>
          <w:pgSz w:w="11900" w:h="16838" w:orient="portrait"/>
          <w:cols w:equalWidth="0" w:num="2">
            <w:col w:w="860" w:space="180"/>
            <w:col w:w="7979"/>
          </w:cols>
          <w:pgMar w:left="1440" w:top="3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41"/>
        </w:trPr>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99"/>
        </w:trPr>
        <w:tc>
          <w:tcPr>
            <w:tcW w:w="5960" w:type="dxa"/>
            <w:vAlign w:val="bottom"/>
            <w:gridSpan w:val="17"/>
          </w:tcPr>
          <w:p>
            <w:pPr>
              <w:spacing w:after="0"/>
              <w:rPr>
                <w:sz w:val="20"/>
                <w:szCs w:val="20"/>
                <w:color w:val="auto"/>
              </w:rPr>
            </w:pPr>
            <w:r>
              <w:rPr>
                <w:rFonts w:ascii="Times New Roman" w:cs="Times New Roman" w:eastAsia="Times New Roman" w:hAnsi="Times New Roman"/>
                <w:sz w:val="13"/>
                <w:szCs w:val="13"/>
                <w:color w:val="0000EE"/>
              </w:rPr>
              <w:t>ABOUT THIS PROSPECTUS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ii</w:t>
            </w:r>
          </w:p>
        </w:tc>
      </w:tr>
      <w:tr>
        <w:trPr>
          <w:trHeight w:val="141"/>
        </w:trPr>
        <w:tc>
          <w:tcPr>
            <w:tcW w:w="1560" w:type="dxa"/>
            <w:vAlign w:val="bottom"/>
            <w:tcBorders>
              <w:top w:val="single" w:sz="8" w:color="0000EE"/>
              <w:bottom w:val="single" w:sz="8" w:color="0000EE"/>
            </w:tcBorders>
            <w:gridSpan w:val="7"/>
          </w:tcPr>
          <w:p>
            <w:pPr>
              <w:spacing w:after="0" w:line="141" w:lineRule="exact"/>
              <w:rPr>
                <w:sz w:val="20"/>
                <w:szCs w:val="20"/>
                <w:color w:val="auto"/>
              </w:rPr>
            </w:pPr>
            <w:r>
              <w:rPr>
                <w:rFonts w:ascii="Times New Roman" w:cs="Times New Roman" w:eastAsia="Times New Roman" w:hAnsi="Times New Roman"/>
                <w:sz w:val="13"/>
                <w:szCs w:val="13"/>
                <w:color w:val="0000EE"/>
              </w:rPr>
              <w:t>PROSPECTUS SUMMARY</w:t>
            </w:r>
          </w:p>
        </w:tc>
        <w:tc>
          <w:tcPr>
            <w:tcW w:w="100" w:type="dxa"/>
            <w:vAlign w:val="bottom"/>
            <w:tcBorders>
              <w:top w:val="single" w:sz="8" w:color="0000EE"/>
            </w:tcBorders>
          </w:tcPr>
          <w:p>
            <w:pPr>
              <w:spacing w:after="0"/>
              <w:rPr>
                <w:sz w:val="12"/>
                <w:szCs w:val="12"/>
                <w:color w:val="auto"/>
              </w:rPr>
            </w:pPr>
          </w:p>
        </w:tc>
        <w:tc>
          <w:tcPr>
            <w:tcW w:w="4300" w:type="dxa"/>
            <w:vAlign w:val="bottom"/>
            <w:gridSpan w:val="9"/>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w:t>
            </w:r>
          </w:p>
        </w:tc>
      </w:tr>
      <w:tr>
        <w:trPr>
          <w:trHeight w:val="141"/>
        </w:trPr>
        <w:tc>
          <w:tcPr>
            <w:tcW w:w="940" w:type="dxa"/>
            <w:vAlign w:val="bottom"/>
            <w:tcBorders>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RISK FACTORS</w:t>
            </w:r>
          </w:p>
        </w:tc>
        <w:tc>
          <w:tcPr>
            <w:tcW w:w="5020" w:type="dxa"/>
            <w:vAlign w:val="bottom"/>
            <w:gridSpan w:val="15"/>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6</w:t>
            </w:r>
          </w:p>
        </w:tc>
      </w:tr>
      <w:tr>
        <w:trPr>
          <w:trHeight w:val="141"/>
        </w:trPr>
        <w:tc>
          <w:tcPr>
            <w:tcW w:w="3980" w:type="dxa"/>
            <w:vAlign w:val="bottom"/>
            <w:tcBorders>
              <w:bottom w:val="single" w:sz="8" w:color="0000EE"/>
            </w:tcBorders>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SPECIAL NOTE REGARDING FORWARD-LOOKING STATEMENTS</w:t>
            </w:r>
          </w:p>
        </w:tc>
        <w:tc>
          <w:tcPr>
            <w:tcW w:w="1980" w:type="dxa"/>
            <w:vAlign w:val="bottom"/>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7</w:t>
            </w:r>
          </w:p>
        </w:tc>
      </w:tr>
      <w:tr>
        <w:trPr>
          <w:trHeight w:val="141"/>
        </w:trPr>
        <w:tc>
          <w:tcPr>
            <w:tcW w:w="1180" w:type="dxa"/>
            <w:vAlign w:val="bottom"/>
            <w:tcBorders>
              <w:bottom w:val="single" w:sz="8" w:color="0000EE"/>
            </w:tcBorders>
            <w:gridSpan w:val="4"/>
          </w:tcPr>
          <w:p>
            <w:pPr>
              <w:spacing w:after="0" w:line="141" w:lineRule="exact"/>
              <w:rPr>
                <w:sz w:val="20"/>
                <w:szCs w:val="20"/>
                <w:color w:val="auto"/>
              </w:rPr>
            </w:pPr>
            <w:r>
              <w:rPr>
                <w:rFonts w:ascii="Times New Roman" w:cs="Times New Roman" w:eastAsia="Times New Roman" w:hAnsi="Times New Roman"/>
                <w:sz w:val="13"/>
                <w:szCs w:val="13"/>
                <w:color w:val="0000EE"/>
              </w:rPr>
              <w:t>USE OF PROCEEDS</w:t>
            </w:r>
          </w:p>
        </w:tc>
        <w:tc>
          <w:tcPr>
            <w:tcW w:w="4780" w:type="dxa"/>
            <w:vAlign w:val="bottom"/>
            <w:gridSpan w:val="13"/>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8</w:t>
            </w:r>
          </w:p>
        </w:tc>
      </w:tr>
      <w:tr>
        <w:trPr>
          <w:trHeight w:val="141"/>
        </w:trPr>
        <w:tc>
          <w:tcPr>
            <w:tcW w:w="2140" w:type="dxa"/>
            <w:vAlign w:val="bottom"/>
            <w:tcBorders>
              <w:bottom w:val="single" w:sz="8" w:color="0000EE"/>
            </w:tcBorders>
            <w:gridSpan w:val="11"/>
          </w:tcPr>
          <w:p>
            <w:pPr>
              <w:spacing w:after="0" w:line="141" w:lineRule="exact"/>
              <w:rPr>
                <w:sz w:val="20"/>
                <w:szCs w:val="20"/>
                <w:color w:val="auto"/>
              </w:rPr>
            </w:pPr>
            <w:r>
              <w:rPr>
                <w:rFonts w:ascii="Times New Roman" w:cs="Times New Roman" w:eastAsia="Times New Roman" w:hAnsi="Times New Roman"/>
                <w:sz w:val="13"/>
                <w:szCs w:val="13"/>
                <w:color w:val="0000EE"/>
              </w:rPr>
              <w:t>DESCRIPTION OF CAPITAL STOCK</w:t>
            </w:r>
          </w:p>
        </w:tc>
        <w:tc>
          <w:tcPr>
            <w:tcW w:w="3820" w:type="dxa"/>
            <w:vAlign w:val="bottom"/>
            <w:gridSpan w:val="6"/>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9</w:t>
            </w:r>
          </w:p>
        </w:tc>
      </w:tr>
      <w:tr>
        <w:trPr>
          <w:trHeight w:val="141"/>
        </w:trPr>
        <w:tc>
          <w:tcPr>
            <w:tcW w:w="2260" w:type="dxa"/>
            <w:vAlign w:val="bottom"/>
            <w:tcBorders>
              <w:bottom w:val="single" w:sz="8" w:color="0000EE"/>
            </w:tcBorders>
            <w:gridSpan w:val="12"/>
          </w:tcPr>
          <w:p>
            <w:pPr>
              <w:spacing w:after="0" w:line="141" w:lineRule="exact"/>
              <w:rPr>
                <w:sz w:val="20"/>
                <w:szCs w:val="20"/>
                <w:color w:val="auto"/>
              </w:rPr>
            </w:pPr>
            <w:r>
              <w:rPr>
                <w:rFonts w:ascii="Times New Roman" w:cs="Times New Roman" w:eastAsia="Times New Roman" w:hAnsi="Times New Roman"/>
                <w:sz w:val="13"/>
                <w:szCs w:val="13"/>
                <w:color w:val="0000EE"/>
              </w:rPr>
              <w:t>DESCRIPTION OF DEBT SECURITIES</w:t>
            </w:r>
          </w:p>
        </w:tc>
        <w:tc>
          <w:tcPr>
            <w:tcW w:w="3700" w:type="dxa"/>
            <w:vAlign w:val="bottom"/>
            <w:gridSpan w:val="5"/>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10</w:t>
            </w:r>
          </w:p>
        </w:tc>
      </w:tr>
      <w:tr>
        <w:trPr>
          <w:trHeight w:val="141"/>
        </w:trPr>
        <w:tc>
          <w:tcPr>
            <w:tcW w:w="5960" w:type="dxa"/>
            <w:vAlign w:val="bottom"/>
            <w:gridSpan w:val="17"/>
          </w:tcPr>
          <w:p>
            <w:pPr>
              <w:spacing w:after="0" w:line="141" w:lineRule="exact"/>
              <w:rPr>
                <w:sz w:val="20"/>
                <w:szCs w:val="20"/>
                <w:color w:val="auto"/>
              </w:rPr>
            </w:pPr>
            <w:r>
              <w:rPr>
                <w:rFonts w:ascii="Times New Roman" w:cs="Times New Roman" w:eastAsia="Times New Roman" w:hAnsi="Times New Roman"/>
                <w:sz w:val="13"/>
                <w:szCs w:val="13"/>
                <w:color w:val="0000EE"/>
              </w:rPr>
              <w:t>DESCRIPTION OF WARRANTS</w:t>
            </w: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18</w:t>
            </w: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41"/>
        </w:trPr>
        <w:tc>
          <w:tcPr>
            <w:tcW w:w="5960" w:type="dxa"/>
            <w:vAlign w:val="bottom"/>
            <w:gridSpan w:val="17"/>
          </w:tcPr>
          <w:p>
            <w:pPr>
              <w:spacing w:after="0" w:line="141" w:lineRule="exact"/>
              <w:rPr>
                <w:sz w:val="20"/>
                <w:szCs w:val="20"/>
                <w:color w:val="auto"/>
              </w:rPr>
            </w:pPr>
            <w:r>
              <w:rPr>
                <w:rFonts w:ascii="Times New Roman" w:cs="Times New Roman" w:eastAsia="Times New Roman" w:hAnsi="Times New Roman"/>
                <w:sz w:val="13"/>
                <w:szCs w:val="13"/>
                <w:color w:val="0000EE"/>
              </w:rPr>
              <w:t>DESCRIPTION OF SUBSCRIPTION RIGHTS</w:t>
            </w: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19</w:t>
            </w: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41"/>
        </w:trPr>
        <w:tc>
          <w:tcPr>
            <w:tcW w:w="5960" w:type="dxa"/>
            <w:vAlign w:val="bottom"/>
            <w:gridSpan w:val="17"/>
          </w:tcPr>
          <w:p>
            <w:pPr>
              <w:spacing w:after="0" w:line="141" w:lineRule="exact"/>
              <w:rPr>
                <w:sz w:val="20"/>
                <w:szCs w:val="20"/>
                <w:color w:val="auto"/>
              </w:rPr>
            </w:pPr>
            <w:r>
              <w:rPr>
                <w:rFonts w:ascii="Times New Roman" w:cs="Times New Roman" w:eastAsia="Times New Roman" w:hAnsi="Times New Roman"/>
                <w:sz w:val="13"/>
                <w:szCs w:val="13"/>
                <w:color w:val="0000EE"/>
              </w:rPr>
              <w:t>DESCRIPTION OF PURCHASE CONTRACTS</w:t>
            </w: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20</w:t>
            </w:r>
          </w:p>
        </w:tc>
      </w:tr>
      <w:tr>
        <w:trPr>
          <w:trHeight w:val="141"/>
        </w:trPr>
        <w:tc>
          <w:tcPr>
            <w:tcW w:w="2640" w:type="dxa"/>
            <w:vAlign w:val="bottom"/>
            <w:tcBorders>
              <w:top w:val="single" w:sz="8" w:color="0000EE"/>
            </w:tcBorders>
            <w:gridSpan w:val="14"/>
          </w:tcPr>
          <w:p>
            <w:pPr>
              <w:spacing w:after="0" w:line="141" w:lineRule="exact"/>
              <w:rPr>
                <w:sz w:val="20"/>
                <w:szCs w:val="20"/>
                <w:color w:val="auto"/>
              </w:rPr>
            </w:pPr>
            <w:r>
              <w:rPr>
                <w:rFonts w:ascii="Times New Roman" w:cs="Times New Roman" w:eastAsia="Times New Roman" w:hAnsi="Times New Roman"/>
                <w:sz w:val="13"/>
                <w:szCs w:val="13"/>
                <w:color w:val="0000EE"/>
              </w:rPr>
              <w:t>DESCRIPTION OF UNITS</w:t>
            </w:r>
          </w:p>
        </w:tc>
        <w:tc>
          <w:tcPr>
            <w:tcW w:w="3320" w:type="dxa"/>
            <w:vAlign w:val="bottom"/>
            <w:gridSpan w:val="3"/>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21</w:t>
            </w: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41"/>
        </w:trPr>
        <w:tc>
          <w:tcPr>
            <w:tcW w:w="5960" w:type="dxa"/>
            <w:vAlign w:val="bottom"/>
            <w:gridSpan w:val="17"/>
          </w:tcPr>
          <w:p>
            <w:pPr>
              <w:spacing w:after="0" w:line="141" w:lineRule="exact"/>
              <w:rPr>
                <w:sz w:val="20"/>
                <w:szCs w:val="20"/>
                <w:color w:val="auto"/>
              </w:rPr>
            </w:pPr>
            <w:r>
              <w:rPr>
                <w:rFonts w:ascii="Times New Roman" w:cs="Times New Roman" w:eastAsia="Times New Roman" w:hAnsi="Times New Roman"/>
                <w:sz w:val="13"/>
                <w:szCs w:val="13"/>
                <w:color w:val="0000EE"/>
              </w:rPr>
              <w:t>PLAN OF DISTRIBUTION</w:t>
            </w: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22</w:t>
            </w:r>
          </w:p>
        </w:tc>
      </w:tr>
      <w:tr>
        <w:trPr>
          <w:trHeight w:val="141"/>
        </w:trPr>
        <w:tc>
          <w:tcPr>
            <w:tcW w:w="1520" w:type="dxa"/>
            <w:vAlign w:val="bottom"/>
            <w:tcBorders>
              <w:top w:val="single" w:sz="8" w:color="0000EE"/>
            </w:tcBorders>
            <w:gridSpan w:val="6"/>
          </w:tcPr>
          <w:p>
            <w:pPr>
              <w:spacing w:after="0" w:line="141" w:lineRule="exact"/>
              <w:rPr>
                <w:sz w:val="20"/>
                <w:szCs w:val="20"/>
                <w:color w:val="auto"/>
              </w:rPr>
            </w:pPr>
            <w:r>
              <w:rPr>
                <w:rFonts w:ascii="Times New Roman" w:cs="Times New Roman" w:eastAsia="Times New Roman" w:hAnsi="Times New Roman"/>
                <w:sz w:val="13"/>
                <w:szCs w:val="13"/>
                <w:color w:val="0000EE"/>
              </w:rPr>
              <w:t>LEGAL MATTERS</w:t>
            </w:r>
          </w:p>
        </w:tc>
        <w:tc>
          <w:tcPr>
            <w:tcW w:w="4440" w:type="dxa"/>
            <w:vAlign w:val="bottom"/>
            <w:gridSpan w:val="11"/>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24</w:t>
            </w:r>
          </w:p>
        </w:tc>
      </w:tr>
      <w:tr>
        <w:trPr>
          <w:trHeight w:val="141"/>
        </w:trPr>
        <w:tc>
          <w:tcPr>
            <w:tcW w:w="580" w:type="dxa"/>
            <w:vAlign w:val="bottom"/>
            <w:tcBorders>
              <w:top w:val="single" w:sz="8" w:color="0000EE"/>
              <w:bottom w:val="single" w:sz="8" w:color="0000EE"/>
            </w:tcBorders>
          </w:tcPr>
          <w:p>
            <w:pPr>
              <w:spacing w:after="0" w:line="141" w:lineRule="exact"/>
              <w:rPr>
                <w:sz w:val="20"/>
                <w:szCs w:val="20"/>
                <w:color w:val="auto"/>
              </w:rPr>
            </w:pPr>
            <w:r>
              <w:rPr>
                <w:rFonts w:ascii="Times New Roman" w:cs="Times New Roman" w:eastAsia="Times New Roman" w:hAnsi="Times New Roman"/>
                <w:sz w:val="13"/>
                <w:szCs w:val="13"/>
                <w:color w:val="0000EE"/>
                <w:w w:val="99"/>
              </w:rPr>
              <w:t>EXPERTS</w:t>
            </w:r>
          </w:p>
        </w:tc>
        <w:tc>
          <w:tcPr>
            <w:tcW w:w="500" w:type="dxa"/>
            <w:vAlign w:val="bottom"/>
            <w:tcBorders>
              <w:top w:val="single" w:sz="8" w:color="0000EE"/>
            </w:tcBorders>
            <w:gridSpan w:val="2"/>
          </w:tcPr>
          <w:p>
            <w:pPr>
              <w:spacing w:after="0"/>
              <w:rPr>
                <w:sz w:val="12"/>
                <w:szCs w:val="12"/>
                <w:color w:val="auto"/>
              </w:rPr>
            </w:pPr>
          </w:p>
        </w:tc>
        <w:tc>
          <w:tcPr>
            <w:tcW w:w="4880" w:type="dxa"/>
            <w:vAlign w:val="bottom"/>
            <w:gridSpan w:val="14"/>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24</w:t>
            </w:r>
          </w:p>
        </w:tc>
      </w:tr>
      <w:tr>
        <w:trPr>
          <w:trHeight w:val="141"/>
        </w:trPr>
        <w:tc>
          <w:tcPr>
            <w:tcW w:w="5960" w:type="dxa"/>
            <w:vAlign w:val="bottom"/>
            <w:gridSpan w:val="17"/>
          </w:tcPr>
          <w:p>
            <w:pPr>
              <w:spacing w:after="0" w:line="141"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24</w:t>
            </w:r>
          </w:p>
        </w:tc>
      </w:tr>
      <w:tr>
        <w:trPr>
          <w:trHeight w:val="141"/>
        </w:trPr>
        <w:tc>
          <w:tcPr>
            <w:tcW w:w="2840" w:type="dxa"/>
            <w:vAlign w:val="bottom"/>
            <w:tcBorders>
              <w:top w:val="single" w:sz="8" w:color="0000EE"/>
            </w:tcBorders>
            <w:gridSpan w:val="15"/>
          </w:tcPr>
          <w:p>
            <w:pPr>
              <w:spacing w:after="0" w:line="141" w:lineRule="exact"/>
              <w:rPr>
                <w:sz w:val="20"/>
                <w:szCs w:val="20"/>
                <w:color w:val="auto"/>
              </w:rPr>
            </w:pPr>
            <w:r>
              <w:rPr>
                <w:rFonts w:ascii="Times New Roman" w:cs="Times New Roman" w:eastAsia="Times New Roman" w:hAnsi="Times New Roman"/>
                <w:sz w:val="13"/>
                <w:szCs w:val="13"/>
                <w:color w:val="0000EE"/>
              </w:rPr>
              <w:t>INCORPORATION BY REFERENCE</w:t>
            </w:r>
          </w:p>
        </w:tc>
        <w:tc>
          <w:tcPr>
            <w:tcW w:w="3120" w:type="dxa"/>
            <w:vAlign w:val="bottom"/>
            <w:gridSpan w:val="2"/>
          </w:tcPr>
          <w:p>
            <w:pPr>
              <w:spacing w:after="0"/>
              <w:rPr>
                <w:sz w:val="12"/>
                <w:szCs w:val="12"/>
                <w:color w:val="auto"/>
              </w:rPr>
            </w:pPr>
          </w:p>
        </w:tc>
        <w:tc>
          <w:tcPr>
            <w:tcW w:w="2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25</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33"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ABOUT THIS PROSPECTUS</w:t>
      </w:r>
    </w:p>
    <w:p>
      <w:pPr>
        <w:spacing w:after="0" w:line="176" w:lineRule="exact"/>
        <w:rPr>
          <w:sz w:val="20"/>
          <w:szCs w:val="20"/>
          <w:color w:val="auto"/>
        </w:rPr>
      </w:pPr>
    </w:p>
    <w:p>
      <w:pPr>
        <w:ind w:left="400" w:right="479" w:firstLine="328"/>
        <w:spacing w:after="0" w:line="262"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filed with the U.S. Securities and Exchange Commission, or the SEC, under the Securities Act of 1933, as amended, or the Securities Act, using a “shelf” registration process. By using a shelf registration statement, we may sell securities from time to time and in one or more offerings as described in this prospectus for an aggregate offering amount of up to $300,000,000.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in the sections titled “</w:t>
      </w:r>
      <w:r>
        <w:rPr>
          <w:rFonts w:ascii="Times New Roman" w:cs="Times New Roman" w:eastAsia="Times New Roman" w:hAnsi="Times New Roman"/>
          <w:sz w:val="13"/>
          <w:szCs w:val="13"/>
          <w:i w:val="1"/>
          <w:iCs w:val="1"/>
          <w:color w:val="auto"/>
        </w:rPr>
        <w:t>Where You Can Find More Information</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Incorporation by Reference</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400" w:right="519" w:firstLine="328"/>
        <w:spacing w:after="0" w:line="262" w:lineRule="auto"/>
        <w:rPr>
          <w:sz w:val="20"/>
          <w:szCs w:val="20"/>
          <w:color w:val="auto"/>
        </w:rPr>
      </w:pPr>
      <w:r>
        <w:rPr>
          <w:rFonts w:ascii="Times New Roman" w:cs="Times New Roman" w:eastAsia="Times New Roman" w:hAnsi="Times New Roman"/>
          <w:sz w:val="13"/>
          <w:szCs w:val="13"/>
          <w:color w:val="auto"/>
        </w:rPr>
        <w:t>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3"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PROSPECTUS SUMMARY</w:t>
      </w:r>
    </w:p>
    <w:p>
      <w:pPr>
        <w:spacing w:after="0" w:line="174" w:lineRule="exact"/>
        <w:rPr>
          <w:sz w:val="20"/>
          <w:szCs w:val="20"/>
          <w:color w:val="auto"/>
        </w:rPr>
      </w:pPr>
    </w:p>
    <w:p>
      <w:pPr>
        <w:ind w:left="400" w:right="439" w:firstLine="328"/>
        <w:spacing w:after="0" w:line="266"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of this prospectus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“Lexeo,” “we,” “our” and “us” refer, collectively, to Lexeo Therapeutics, Inc., a Delaware corporation.</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96" w:lineRule="exact"/>
        <w:rPr>
          <w:sz w:val="20"/>
          <w:szCs w:val="20"/>
          <w:color w:val="auto"/>
        </w:rPr>
      </w:pPr>
    </w:p>
    <w:p>
      <w:pPr>
        <w:ind w:left="400" w:right="559"/>
        <w:spacing w:after="0" w:line="270" w:lineRule="auto"/>
        <w:rPr>
          <w:sz w:val="20"/>
          <w:szCs w:val="20"/>
          <w:color w:val="auto"/>
        </w:rPr>
      </w:pPr>
      <w:r>
        <w:rPr>
          <w:rFonts w:ascii="Times New Roman" w:cs="Times New Roman" w:eastAsia="Times New Roman" w:hAnsi="Times New Roman"/>
          <w:sz w:val="13"/>
          <w:szCs w:val="13"/>
          <w:color w:val="auto"/>
        </w:rPr>
        <w:t>We are a clinical stage company dedicated to reshaping the path of genetic disease. By advancing pioneering science, we seek to set a new standard in the treatment of cardiovascular and neurological genetic diseases, charting the path to patient outcomes once thought out of reach. We are advancing a portfolio of therapeutic candidates designed to address the underlying genetic causes of disease, including Friedreich ataxia, or FA, cardiomyopathy, plakophilin-2, or PKP2, arrhythmogenic cardiomyopathy, or ACM, and other devastating diseases with high unmet need.</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LX2006 for the treatment of FA cardiomyopathy</w:t>
      </w:r>
    </w:p>
    <w:p>
      <w:pPr>
        <w:spacing w:after="0" w:line="96" w:lineRule="exact"/>
        <w:rPr>
          <w:sz w:val="20"/>
          <w:szCs w:val="20"/>
          <w:color w:val="auto"/>
        </w:rPr>
      </w:pPr>
    </w:p>
    <w:p>
      <w:pPr>
        <w:ind w:left="400" w:right="639"/>
        <w:spacing w:after="0" w:line="296" w:lineRule="auto"/>
        <w:rPr>
          <w:sz w:val="20"/>
          <w:szCs w:val="20"/>
          <w:color w:val="auto"/>
        </w:rPr>
      </w:pPr>
      <w:r>
        <w:rPr>
          <w:rFonts w:ascii="Times New Roman" w:cs="Times New Roman" w:eastAsia="Times New Roman" w:hAnsi="Times New Roman"/>
          <w:sz w:val="13"/>
          <w:szCs w:val="13"/>
          <w:color w:val="auto"/>
        </w:rPr>
        <w:t>Our most advanced cardiovascular product candidate is LX2006 for the treatment of FA cardiomyopathy. LX2006 is currently being evaluated in the SUNRISE-FA 2 pivotal study, which is currently enrolling.</w:t>
      </w:r>
    </w:p>
    <w:p>
      <w:pPr>
        <w:spacing w:after="0" w:line="114" w:lineRule="exact"/>
        <w:rPr>
          <w:sz w:val="20"/>
          <w:szCs w:val="20"/>
          <w:color w:val="auto"/>
        </w:rPr>
      </w:pPr>
    </w:p>
    <w:p>
      <w:pPr>
        <w:ind w:left="400" w:right="519"/>
        <w:spacing w:after="0" w:line="277" w:lineRule="auto"/>
        <w:rPr>
          <w:sz w:val="20"/>
          <w:szCs w:val="20"/>
          <w:color w:val="auto"/>
        </w:rPr>
      </w:pPr>
      <w:r>
        <w:rPr>
          <w:rFonts w:ascii="Times New Roman" w:cs="Times New Roman" w:eastAsia="Times New Roman" w:hAnsi="Times New Roman"/>
          <w:sz w:val="13"/>
          <w:szCs w:val="13"/>
          <w:color w:val="auto"/>
        </w:rPr>
        <w:t>In October 2025, we provided an interim clinical update, which included baseline characteristics and safety data from the 17 treated participants across the two studies, and clinical efficacy data from the 16 participants who had reached at least six months follow-up as of that time. A summary of key observations from the October 2025 interim update is set forth below.</w:t>
      </w:r>
    </w:p>
    <w:p>
      <w:pPr>
        <w:spacing w:after="0" w:line="55" w:lineRule="exact"/>
        <w:rPr>
          <w:sz w:val="20"/>
          <w:szCs w:val="20"/>
          <w:color w:val="auto"/>
        </w:rPr>
      </w:pPr>
    </w:p>
    <w:p>
      <w:pPr>
        <w:ind w:left="1120" w:right="439" w:hanging="315"/>
        <w:spacing w:after="0" w:line="263" w:lineRule="auto"/>
        <w:tabs>
          <w:tab w:leader="none" w:pos="11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Improvements in LVMI among participants with abnormal baseline LVMI (n=6). Five of six participants achieved &gt;10% by 12-month visit or sooner and six of six participants achieved LVMI measurements within the normal range as of latest visit. An 18% mean improvement in LVMI was observed at 6-month visit and a 23% mean improvement in LVMI was observed at 12-month visit, exceeding 10% FDA-aligned threshold for pivotal study. In the mid- and high-dose cohorts (n=3), a 28% mean improvement in LVMI was observed at</w:t>
      </w:r>
    </w:p>
    <w:p>
      <w:pPr>
        <w:ind w:left="1120" w:right="559"/>
        <w:spacing w:after="0" w:line="27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6-month visit and a 33% mean improvement in LVMI was observed at 12-month visit, suggesting dose-dependent improvement. Among participants with normal baseline LVMI (n=10), the majority demonstrated LVMI improvement or stabilization over time.</w:t>
      </w:r>
    </w:p>
    <w:p>
      <w:pPr>
        <w:spacing w:after="0" w:line="55" w:lineRule="exact"/>
        <w:rPr>
          <w:rFonts w:ascii="Times New Roman" w:cs="Times New Roman" w:eastAsia="Times New Roman" w:hAnsi="Times New Roman"/>
          <w:sz w:val="13"/>
          <w:szCs w:val="13"/>
          <w:color w:val="auto"/>
        </w:rPr>
      </w:pPr>
    </w:p>
    <w:p>
      <w:pPr>
        <w:ind w:left="1120" w:right="619" w:hanging="315"/>
        <w:spacing w:after="0" w:line="296" w:lineRule="auto"/>
        <w:tabs>
          <w:tab w:leader="none" w:pos="11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Improvements in secondary cardiac biomarkers. Fourteen of sixteen participants achieved &gt;25% reduction in high-sensitivity troponin I from baseline at latest visit. Fourteen of sixteen participants achieved reduction or stabilization in LWT from baseline at latest visit.</w:t>
      </w:r>
    </w:p>
    <w:p>
      <w:pPr>
        <w:spacing w:after="0" w:line="43" w:lineRule="exact"/>
        <w:rPr>
          <w:rFonts w:ascii="Times New Roman" w:cs="Times New Roman" w:eastAsia="Times New Roman" w:hAnsi="Times New Roman"/>
          <w:sz w:val="13"/>
          <w:szCs w:val="13"/>
          <w:color w:val="auto"/>
        </w:rPr>
      </w:pPr>
    </w:p>
    <w:p>
      <w:pPr>
        <w:ind w:left="1120" w:right="519" w:hanging="315"/>
        <w:spacing w:after="0" w:line="296" w:lineRule="auto"/>
        <w:tabs>
          <w:tab w:leader="none" w:pos="11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Improvements in mFARS as demonstrated by a 2.0-point mean improvement from baseline at latest visit across all participants. Eleven of sixteen participants achieved reduction or stabilization in mFARS from baseline at latest visit.</w:t>
      </w:r>
    </w:p>
    <w:p>
      <w:pPr>
        <w:spacing w:after="0" w:line="43" w:lineRule="exact"/>
        <w:rPr>
          <w:rFonts w:ascii="Times New Roman" w:cs="Times New Roman" w:eastAsia="Times New Roman" w:hAnsi="Times New Roman"/>
          <w:sz w:val="13"/>
          <w:szCs w:val="13"/>
          <w:color w:val="auto"/>
        </w:rPr>
      </w:pPr>
    </w:p>
    <w:p>
      <w:pPr>
        <w:ind w:left="1120" w:right="679" w:hanging="315"/>
        <w:spacing w:after="0" w:line="296" w:lineRule="auto"/>
        <w:tabs>
          <w:tab w:leader="none" w:pos="11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reported data in April 2025 from ongoing SUNRISE-FA trial (n=8) showed that all study participants achieved increases in frataxin protein expression from baseline at 3-month visit, with dose-dependent increases observed across cohorts.</w:t>
      </w:r>
    </w:p>
    <w:p>
      <w:pPr>
        <w:spacing w:after="0" w:line="114" w:lineRule="exact"/>
        <w:rPr>
          <w:sz w:val="20"/>
          <w:szCs w:val="20"/>
          <w:color w:val="auto"/>
        </w:rPr>
      </w:pPr>
    </w:p>
    <w:p>
      <w:pPr>
        <w:jc w:val="both"/>
        <w:ind w:left="400" w:right="419"/>
        <w:spacing w:after="0" w:line="270" w:lineRule="auto"/>
        <w:rPr>
          <w:sz w:val="20"/>
          <w:szCs w:val="20"/>
          <w:color w:val="auto"/>
        </w:rPr>
      </w:pPr>
      <w:r>
        <w:rPr>
          <w:rFonts w:ascii="Times New Roman" w:cs="Times New Roman" w:eastAsia="Times New Roman" w:hAnsi="Times New Roman"/>
          <w:sz w:val="13"/>
          <w:szCs w:val="13"/>
          <w:color w:val="auto"/>
        </w:rPr>
        <w:t>In March 2026, we shared updated interim clinical data for LX2006 at the American College of Cardiology, or ACC, Annual Meeting. Phase 1/2 interim clinical data presented at the ACC Annual Meeting continue to show sustained or deepening improvements across both cardiac and neurologic measures of FA, including statistically significant improvement in mean mFARS scores for LX2006-treated participants compared to a propensity-matched control cohort from the UNIFAI natural history study.</w:t>
      </w:r>
    </w:p>
    <w:p>
      <w:pPr>
        <w:sectPr>
          <w:pgSz w:w="11900" w:h="16838" w:orient="portrait"/>
          <w:cols w:equalWidth="0" w:num="1">
            <w:col w:w="9019"/>
          </w:cols>
          <w:pgMar w:left="1440" w:top="233" w:right="1440" w:bottom="1440" w:gutter="0" w:footer="0" w:header="0"/>
        </w:sectPr>
      </w:pPr>
    </w:p>
    <w:bookmarkStart w:id="5" w:name="page6"/>
    <w:bookmarkEnd w:id="5"/>
    <w:p>
      <w:pPr>
        <w:ind w:left="400" w:right="499"/>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Treatment with LX2006 has been generally well tolerated with no Grade 3 treatment-related SAEs to date, no clinically significant complement activation, minimal, transient liver function test, or LFT, elevations, and no signs of frataxin over-expression observed in cardiac tissue. One previously disclosed, possibly treatment-related Grade 2 event of asymptomatic myocarditis observed one year after dosing. No participants discontinued from either study.</w:t>
      </w:r>
    </w:p>
    <w:p>
      <w:pPr>
        <w:spacing w:after="0" w:line="3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i w:val="1"/>
          <w:iCs w:val="1"/>
          <w:color w:val="auto"/>
        </w:rPr>
        <w:t>Regulatory Alignment</w:t>
      </w:r>
    </w:p>
    <w:p>
      <w:pPr>
        <w:spacing w:after="0" w:line="94" w:lineRule="exact"/>
        <w:rPr>
          <w:sz w:val="20"/>
          <w:szCs w:val="20"/>
          <w:color w:val="auto"/>
        </w:rPr>
      </w:pPr>
    </w:p>
    <w:p>
      <w:pPr>
        <w:ind w:left="400" w:right="439"/>
        <w:spacing w:after="0" w:line="270" w:lineRule="auto"/>
        <w:rPr>
          <w:sz w:val="20"/>
          <w:szCs w:val="20"/>
          <w:color w:val="auto"/>
        </w:rPr>
      </w:pPr>
      <w:r>
        <w:rPr>
          <w:rFonts w:ascii="Times New Roman" w:cs="Times New Roman" w:eastAsia="Times New Roman" w:hAnsi="Times New Roman"/>
          <w:sz w:val="13"/>
          <w:szCs w:val="13"/>
          <w:color w:val="auto"/>
        </w:rPr>
        <w:t>In February 2026, we submitted the final registrational trial design and statistical analysis plan, or SAP, for the SUNRISE-FA 2 pivotal study to the FDA following a Type B meeting. In June 2026, we announced that we have finalized the SUNRISE-FA 2 pivotal study protocol and SAP for LX2006, each incorporating the FDA’s feedback to date and intended to support a BLA submission to the FDA in the first half of 2028 under the accelerated approval pathway. The SUNRISE-FA 2 study was initiated in June and the first patient has been enrolled.</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LX2020 for the treatment of arrhythmogenic cardiomyopathy</w:t>
      </w:r>
    </w:p>
    <w:p>
      <w:pPr>
        <w:spacing w:after="0" w:line="96" w:lineRule="exact"/>
        <w:rPr>
          <w:sz w:val="20"/>
          <w:szCs w:val="20"/>
          <w:color w:val="auto"/>
        </w:rPr>
      </w:pPr>
    </w:p>
    <w:p>
      <w:pPr>
        <w:ind w:left="400" w:right="499"/>
        <w:spacing w:after="0" w:line="267" w:lineRule="auto"/>
        <w:rPr>
          <w:sz w:val="20"/>
          <w:szCs w:val="20"/>
          <w:color w:val="auto"/>
        </w:rPr>
      </w:pPr>
      <w:r>
        <w:rPr>
          <w:rFonts w:ascii="Times New Roman" w:cs="Times New Roman" w:eastAsia="Times New Roman" w:hAnsi="Times New Roman"/>
          <w:sz w:val="13"/>
          <w:szCs w:val="13"/>
          <w:color w:val="auto"/>
        </w:rPr>
        <w:t>Our second most advanced cardiovascular product candidate, LX2020 for the treatment of ACM caused by mutations in the PKP2 gene, referred to as PKP2-ACM, is currently being evaluated in HEROIC-PKP2, an ongoing Phase 1/2 clinical trial. In January 2026, we provided an interim clinical data update, which included baseline characteristics and safety data from the ten participants dosed, including three participants in cohort 1 at the low dose and seven participants in cohorts 2 and 3 at the high dose. Clinical efficacy data were inclusive of those participants with at least 6 months of follow-up (n=8). A summary of key observations from the January 2026 interim update is set forth below.</w:t>
      </w:r>
    </w:p>
    <w:p>
      <w:pPr>
        <w:spacing w:after="0" w:line="63" w:lineRule="exact"/>
        <w:rPr>
          <w:sz w:val="20"/>
          <w:szCs w:val="20"/>
          <w:color w:val="auto"/>
        </w:rPr>
      </w:pPr>
    </w:p>
    <w:p>
      <w:pPr>
        <w:ind w:left="1120" w:right="479" w:hanging="315"/>
        <w:spacing w:after="0" w:line="270" w:lineRule="auto"/>
        <w:tabs>
          <w:tab w:leader="none" w:pos="11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Arrhythmia burden stabilized or improved in majority of participants with dose-dependent response in non-sustained ventricular tachycardia, or NSVT, and premature ventricular contractions, or PVCs. NSVT reduced or stabilized in the majority of participants, with a 22% mean improvement in high-dose cohorts at latest visit (n=5). PVCs reduced or stabilized in the majority of participants, with a 14% mean improvement in high-dose cohorts at latest visit.</w:t>
      </w:r>
    </w:p>
    <w:p>
      <w:pPr>
        <w:spacing w:after="0" w:line="61" w:lineRule="exact"/>
        <w:rPr>
          <w:rFonts w:ascii="Times New Roman" w:cs="Times New Roman" w:eastAsia="Times New Roman" w:hAnsi="Times New Roman"/>
          <w:sz w:val="13"/>
          <w:szCs w:val="13"/>
          <w:color w:val="auto"/>
        </w:rPr>
      </w:pPr>
    </w:p>
    <w:p>
      <w:pPr>
        <w:ind w:left="1120" w:right="759" w:hanging="315"/>
        <w:spacing w:after="0" w:line="296" w:lineRule="auto"/>
        <w:tabs>
          <w:tab w:leader="none" w:pos="11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Four of five participants in high-dose cohorts report improvement relative to baseline on the Patient Global Impression of Change, or PGIC, scale, a patient-reported outcome measure.</w:t>
      </w:r>
    </w:p>
    <w:p>
      <w:pPr>
        <w:spacing w:after="0" w:line="43" w:lineRule="exact"/>
        <w:rPr>
          <w:rFonts w:ascii="Times New Roman" w:cs="Times New Roman" w:eastAsia="Times New Roman" w:hAnsi="Times New Roman"/>
          <w:sz w:val="13"/>
          <w:szCs w:val="13"/>
          <w:color w:val="auto"/>
        </w:rPr>
      </w:pPr>
    </w:p>
    <w:p>
      <w:pPr>
        <w:ind w:left="1120" w:right="559" w:hanging="315"/>
        <w:spacing w:after="0" w:line="296" w:lineRule="auto"/>
        <w:tabs>
          <w:tab w:leader="none" w:pos="11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Participants stable across other clinical measures including QRS duration, T-wave inversion, right ventricular ejection fraction, or RVEF, and New York Heart Association, or NYHA, Class.</w:t>
      </w:r>
    </w:p>
    <w:p>
      <w:pPr>
        <w:spacing w:after="0" w:line="43" w:lineRule="exact"/>
        <w:rPr>
          <w:rFonts w:ascii="Times New Roman" w:cs="Times New Roman" w:eastAsia="Times New Roman" w:hAnsi="Times New Roman"/>
          <w:sz w:val="13"/>
          <w:szCs w:val="13"/>
          <w:color w:val="auto"/>
        </w:rPr>
      </w:pPr>
    </w:p>
    <w:p>
      <w:pPr>
        <w:jc w:val="both"/>
        <w:ind w:left="1120" w:right="459" w:hanging="315"/>
        <w:spacing w:after="0" w:line="277" w:lineRule="auto"/>
        <w:tabs>
          <w:tab w:leader="none" w:pos="11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PKP2 protein expression versus baseline at three months in all participants that had undergone cardiac biopsies (n=7) assessed by western blot. Dose-dependent increases observed, with mean increase of 93% in the low-dose cohort (n=2) and 162% mean increase in the high-dose cohorts (n=5).</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Across all participants dosed, LX2020 has been generally well-tolerated to date with no clinically significant complement activation.</w:t>
      </w:r>
    </w:p>
    <w:p>
      <w:pPr>
        <w:spacing w:after="0" w:line="172" w:lineRule="exact"/>
        <w:rPr>
          <w:sz w:val="20"/>
          <w:szCs w:val="20"/>
          <w:color w:val="auto"/>
        </w:rPr>
      </w:pPr>
    </w:p>
    <w:p>
      <w:pPr>
        <w:ind w:left="400" w:right="699"/>
        <w:spacing w:after="0" w:line="277" w:lineRule="auto"/>
        <w:rPr>
          <w:sz w:val="20"/>
          <w:szCs w:val="20"/>
          <w:color w:val="auto"/>
        </w:rPr>
      </w:pPr>
      <w:r>
        <w:rPr>
          <w:rFonts w:ascii="Times New Roman" w:cs="Times New Roman" w:eastAsia="Times New Roman" w:hAnsi="Times New Roman"/>
          <w:sz w:val="13"/>
          <w:szCs w:val="13"/>
          <w:color w:val="auto"/>
        </w:rPr>
        <w:t>In August 2026, we announced that we received Regenerative Medicine Advanced Therapy, or RMAT, designation for LX2020 for the treatment of PKP2-ACM from the FDA based on recent interim data from our ongoing Phase I/II clinical trial in PKP2-ACM. RMAT designation provides opportunities for increased FDA interaction and may help expedite the development of LX2020.</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We remain on track to provide a clinical and regulatory update for LX2020 in the fourth quarter of 2026.</w:t>
      </w:r>
    </w:p>
    <w:p>
      <w:pPr>
        <w:spacing w:after="0" w:line="172" w:lineRule="exact"/>
        <w:rPr>
          <w:sz w:val="20"/>
          <w:szCs w:val="20"/>
          <w:color w:val="auto"/>
        </w:rPr>
      </w:pPr>
    </w:p>
    <w:p>
      <w:pPr>
        <w:ind w:left="400" w:right="779"/>
        <w:spacing w:after="0" w:line="296" w:lineRule="auto"/>
        <w:rPr>
          <w:sz w:val="20"/>
          <w:szCs w:val="20"/>
          <w:color w:val="auto"/>
        </w:rPr>
      </w:pPr>
      <w:r>
        <w:rPr>
          <w:rFonts w:ascii="Times New Roman" w:cs="Times New Roman" w:eastAsia="Times New Roman" w:hAnsi="Times New Roman"/>
          <w:sz w:val="13"/>
          <w:szCs w:val="13"/>
          <w:color w:val="auto"/>
        </w:rPr>
        <w:t>Each of our gene therapy candidates utilizes the vector construct, dose and route of administration that we believe will result in the most favorable biodistribution and safety profile for our product candidate for each</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7" w:right="1440" w:bottom="1440" w:gutter="0" w:footer="0" w:header="0"/>
        </w:sectPr>
      </w:pPr>
    </w:p>
    <w:bookmarkStart w:id="6" w:name="page7"/>
    <w:bookmarkEnd w:id="6"/>
    <w:p>
      <w:pPr>
        <w:ind w:left="400" w:right="639"/>
        <w:spacing w:after="0" w:line="29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disease. Our most advanced programs use the AAVrh10 vector due to its high transduction efficiency in myocardial cells, potential for lower toxicity given the opportunity to utilize lower doses compared to other well-established AAV serotypes, and low pre-existing immunity.</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Corporate History and Information</w:t>
      </w:r>
    </w:p>
    <w:p>
      <w:pPr>
        <w:spacing w:after="0" w:line="96" w:lineRule="exact"/>
        <w:rPr>
          <w:sz w:val="20"/>
          <w:szCs w:val="20"/>
          <w:color w:val="auto"/>
        </w:rPr>
      </w:pPr>
    </w:p>
    <w:p>
      <w:pPr>
        <w:ind w:left="400" w:right="459" w:firstLine="328"/>
        <w:spacing w:after="0" w:line="262" w:lineRule="auto"/>
        <w:rPr>
          <w:sz w:val="20"/>
          <w:szCs w:val="20"/>
          <w:color w:val="auto"/>
        </w:rPr>
      </w:pPr>
      <w:r>
        <w:rPr>
          <w:rFonts w:ascii="Times New Roman" w:cs="Times New Roman" w:eastAsia="Times New Roman" w:hAnsi="Times New Roman"/>
          <w:sz w:val="13"/>
          <w:szCs w:val="13"/>
          <w:color w:val="auto"/>
        </w:rPr>
        <w:t>In February 2017, we were formed as a Delaware limited liability company under the name LEXEO Therapeutics, LLC. In November 2020, we converted into a Delaware corporation and were renamed Lexeo Therapeutics, Inc. Our principal executive offices are located at 345 Park Avenue South, Floor 6, New York, New York 10010, and our telephone number is (212) 547-9879. Our website address is www.lexeotx.com. The information contained on, or accessible through, our website is not incorporated by reference in this prospectus. 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ir.lexeotx.com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prospectus and in the documents that are incorporated by reference in this prospectus is not incorporated by reference in this filing. Further, our references to website URLs are intended to be inactive textual references only.</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The Securities That May Be Offered</w:t>
      </w:r>
    </w:p>
    <w:p>
      <w:pPr>
        <w:spacing w:after="0" w:line="96" w:lineRule="exact"/>
        <w:rPr>
          <w:sz w:val="20"/>
          <w:szCs w:val="20"/>
          <w:color w:val="auto"/>
        </w:rPr>
      </w:pPr>
    </w:p>
    <w:p>
      <w:pPr>
        <w:ind w:left="400" w:right="479" w:firstLine="328"/>
        <w:spacing w:after="0" w:line="270" w:lineRule="auto"/>
        <w:rPr>
          <w:sz w:val="20"/>
          <w:szCs w:val="20"/>
          <w:color w:val="auto"/>
        </w:rPr>
      </w:pPr>
      <w:r>
        <w:rPr>
          <w:rFonts w:ascii="Times New Roman" w:cs="Times New Roman" w:eastAsia="Times New Roman" w:hAnsi="Times New Roman"/>
          <w:sz w:val="13"/>
          <w:szCs w:val="13"/>
          <w:color w:val="auto"/>
        </w:rPr>
        <w:t>We may offer or sell common stock, preferred stock, debt securities, warrants, subscription rights, purchase contracts and units in one or more offerings and in any combination for an aggregate offering amount of up to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31" w:lineRule="exact"/>
        <w:rPr>
          <w:sz w:val="20"/>
          <w:szCs w:val="20"/>
          <w:color w:val="auto"/>
        </w:rPr>
      </w:pPr>
    </w:p>
    <w:p>
      <w:pPr>
        <w:ind w:left="400" w:right="679" w:firstLine="328"/>
        <w:spacing w:after="0" w:line="277" w:lineRule="auto"/>
        <w:rPr>
          <w:sz w:val="20"/>
          <w:szCs w:val="20"/>
          <w:color w:val="auto"/>
        </w:rPr>
      </w:pPr>
      <w:r>
        <w:rPr>
          <w:rFonts w:ascii="Times New Roman" w:cs="Times New Roman" w:eastAsia="Times New Roman" w:hAnsi="Times New Roman"/>
          <w:sz w:val="13"/>
          <w:szCs w:val="13"/>
          <w:color w:val="auto"/>
        </w:rPr>
        <w:t>The securities may be sold to or through underwriters, dealers or agents or directly to purchasers or as otherwise set forth in the section of this prospectus titled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p>
      <w:pPr>
        <w:spacing w:after="0" w:line="96" w:lineRule="exact"/>
        <w:rPr>
          <w:sz w:val="20"/>
          <w:szCs w:val="20"/>
          <w:color w:val="auto"/>
        </w:rPr>
      </w:pPr>
    </w:p>
    <w:p>
      <w:pPr>
        <w:ind w:left="400" w:right="419" w:firstLine="328"/>
        <w:spacing w:after="0" w:line="269" w:lineRule="auto"/>
        <w:rPr>
          <w:sz w:val="20"/>
          <w:szCs w:val="20"/>
          <w:color w:val="auto"/>
        </w:rPr>
      </w:pPr>
      <w:r>
        <w:rPr>
          <w:rFonts w:ascii="Times New Roman" w:cs="Times New Roman" w:eastAsia="Times New Roman" w:hAnsi="Times New Roman"/>
          <w:sz w:val="13"/>
          <w:szCs w:val="13"/>
          <w:color w:val="auto"/>
        </w:rPr>
        <w:t>We may offer shares of our common stock, par value $0.0001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Preferred Stock</w:t>
      </w:r>
    </w:p>
    <w:p>
      <w:pPr>
        <w:spacing w:after="0" w:line="96" w:lineRule="exact"/>
        <w:rPr>
          <w:sz w:val="20"/>
          <w:szCs w:val="20"/>
          <w:color w:val="auto"/>
        </w:rPr>
      </w:pPr>
    </w:p>
    <w:p>
      <w:pPr>
        <w:ind w:left="400" w:right="479" w:firstLine="328"/>
        <w:spacing w:after="0" w:line="267" w:lineRule="auto"/>
        <w:rPr>
          <w:sz w:val="20"/>
          <w:szCs w:val="20"/>
          <w:color w:val="auto"/>
        </w:rPr>
      </w:pPr>
      <w:r>
        <w:rPr>
          <w:rFonts w:ascii="Times New Roman" w:cs="Times New Roman" w:eastAsia="Times New Roman" w:hAnsi="Times New Roman"/>
          <w:sz w:val="13"/>
          <w:szCs w:val="13"/>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7" w:right="1440"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Debt Securities</w:t>
      </w:r>
    </w:p>
    <w:p>
      <w:pPr>
        <w:spacing w:after="0" w:line="96" w:lineRule="exact"/>
        <w:rPr>
          <w:sz w:val="20"/>
          <w:szCs w:val="20"/>
          <w:color w:val="auto"/>
        </w:rPr>
      </w:pPr>
    </w:p>
    <w:p>
      <w:pPr>
        <w:ind w:left="400" w:right="439" w:firstLine="328"/>
        <w:spacing w:after="0" w:line="267" w:lineRule="auto"/>
        <w:rPr>
          <w:sz w:val="20"/>
          <w:szCs w:val="20"/>
          <w:color w:val="auto"/>
        </w:rPr>
      </w:pPr>
      <w:r>
        <w:rPr>
          <w:rFonts w:ascii="Times New Roman" w:cs="Times New Roman" w:eastAsia="Times New Roman" w:hAnsi="Times New Roman"/>
          <w:sz w:val="13"/>
          <w:szCs w:val="13"/>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any subordinated debt. We may issue debt securities that are convertible into shares of our common stock or other securities.</w:t>
      </w:r>
    </w:p>
    <w:p>
      <w:pPr>
        <w:spacing w:after="0" w:line="133" w:lineRule="exact"/>
        <w:rPr>
          <w:sz w:val="20"/>
          <w:szCs w:val="20"/>
          <w:color w:val="auto"/>
        </w:rPr>
      </w:pPr>
    </w:p>
    <w:p>
      <w:pPr>
        <w:ind w:left="400" w:right="419" w:firstLine="328"/>
        <w:spacing w:after="0" w:line="277" w:lineRule="auto"/>
        <w:rPr>
          <w:sz w:val="20"/>
          <w:szCs w:val="20"/>
          <w:color w:val="auto"/>
        </w:rPr>
      </w:pPr>
      <w:r>
        <w:rPr>
          <w:rFonts w:ascii="Times New Roman" w:cs="Times New Roman" w:eastAsia="Times New Roman" w:hAnsi="Times New Roman"/>
          <w:sz w:val="13"/>
          <w:szCs w:val="13"/>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Warrants</w:t>
      </w:r>
    </w:p>
    <w:p>
      <w:pPr>
        <w:spacing w:after="0" w:line="96" w:lineRule="exact"/>
        <w:rPr>
          <w:sz w:val="20"/>
          <w:szCs w:val="20"/>
          <w:color w:val="auto"/>
        </w:rPr>
      </w:pPr>
    </w:p>
    <w:p>
      <w:pPr>
        <w:ind w:left="400" w:right="679" w:firstLine="328"/>
        <w:spacing w:after="0" w:line="296" w:lineRule="auto"/>
        <w:rPr>
          <w:sz w:val="20"/>
          <w:szCs w:val="20"/>
          <w:color w:val="auto"/>
        </w:rPr>
      </w:pPr>
      <w:r>
        <w:rPr>
          <w:rFonts w:ascii="Times New Roman" w:cs="Times New Roman" w:eastAsia="Times New Roman" w:hAnsi="Times New Roman"/>
          <w:sz w:val="13"/>
          <w:szCs w:val="13"/>
          <w:color w:val="auto"/>
        </w:rPr>
        <w:t>We may offer warrants for the purchase of common stock, preferred stock or debt securities. We may offer warrants independently or together with other securities.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Subscription Rights</w:t>
      </w:r>
    </w:p>
    <w:p>
      <w:pPr>
        <w:spacing w:after="0" w:line="96" w:lineRule="exact"/>
        <w:rPr>
          <w:sz w:val="20"/>
          <w:szCs w:val="20"/>
          <w:color w:val="auto"/>
        </w:rPr>
      </w:pPr>
    </w:p>
    <w:p>
      <w:pPr>
        <w:ind w:left="400" w:right="679" w:firstLine="328"/>
        <w:spacing w:after="0" w:line="277" w:lineRule="auto"/>
        <w:rPr>
          <w:sz w:val="20"/>
          <w:szCs w:val="20"/>
          <w:color w:val="auto"/>
        </w:rPr>
      </w:pPr>
      <w:r>
        <w:rPr>
          <w:rFonts w:ascii="Times New Roman" w:cs="Times New Roman" w:eastAsia="Times New Roman" w:hAnsi="Times New Roman"/>
          <w:sz w:val="13"/>
          <w:szCs w:val="13"/>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Purchase Contracts</w:t>
      </w:r>
    </w:p>
    <w:p>
      <w:pPr>
        <w:spacing w:after="0" w:line="96" w:lineRule="exact"/>
        <w:rPr>
          <w:sz w:val="20"/>
          <w:szCs w:val="20"/>
          <w:color w:val="auto"/>
        </w:rPr>
      </w:pPr>
    </w:p>
    <w:p>
      <w:pPr>
        <w:ind w:left="400" w:right="959" w:firstLine="328"/>
        <w:spacing w:after="0" w:line="296" w:lineRule="auto"/>
        <w:rPr>
          <w:sz w:val="20"/>
          <w:szCs w:val="20"/>
          <w:color w:val="auto"/>
        </w:rPr>
      </w:pPr>
      <w:r>
        <w:rPr>
          <w:rFonts w:ascii="Times New Roman" w:cs="Times New Roman" w:eastAsia="Times New Roman" w:hAnsi="Times New Roman"/>
          <w:sz w:val="13"/>
          <w:szCs w:val="13"/>
          <w:color w:val="auto"/>
        </w:rPr>
        <w:t>We may offer purchase contracts, including contracts obligating holders or us to purchase from the other a specific or variable number of securities at a future date or dates.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Units</w:t>
      </w:r>
    </w:p>
    <w:p>
      <w:pPr>
        <w:spacing w:after="0" w:line="96" w:lineRule="exact"/>
        <w:rPr>
          <w:sz w:val="20"/>
          <w:szCs w:val="20"/>
          <w:color w:val="auto"/>
        </w:rPr>
      </w:pPr>
    </w:p>
    <w:p>
      <w:pPr>
        <w:ind w:left="400" w:right="539" w:firstLine="328"/>
        <w:spacing w:after="0" w:line="296" w:lineRule="auto"/>
        <w:rPr>
          <w:sz w:val="20"/>
          <w:szCs w:val="20"/>
          <w:color w:val="auto"/>
        </w:rPr>
      </w:pPr>
      <w:r>
        <w:rPr>
          <w:rFonts w:ascii="Times New Roman" w:cs="Times New Roman" w:eastAsia="Times New Roman" w:hAnsi="Times New Roman"/>
          <w:sz w:val="13"/>
          <w:szCs w:val="13"/>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Implications of being an emerging growth company and a smaller reporting company</w:t>
      </w:r>
    </w:p>
    <w:p>
      <w:pPr>
        <w:spacing w:after="0" w:line="96" w:lineRule="exact"/>
        <w:rPr>
          <w:sz w:val="20"/>
          <w:szCs w:val="20"/>
          <w:color w:val="auto"/>
        </w:rPr>
      </w:pPr>
    </w:p>
    <w:p>
      <w:pPr>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55" w:lineRule="exact"/>
        <w:rPr>
          <w:sz w:val="20"/>
          <w:szCs w:val="20"/>
          <w:color w:val="auto"/>
        </w:rPr>
      </w:pPr>
    </w:p>
    <w:p>
      <w:pPr>
        <w:ind w:left="1120" w:right="519" w:hanging="315"/>
        <w:spacing w:after="0" w:line="277" w:lineRule="auto"/>
        <w:tabs>
          <w:tab w:leader="none" w:pos="1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55" w:lineRule="exact"/>
        <w:rPr>
          <w:rFonts w:ascii="Times New Roman" w:cs="Times New Roman" w:eastAsia="Times New Roman" w:hAnsi="Times New Roman"/>
          <w:sz w:val="13"/>
          <w:szCs w:val="13"/>
          <w:color w:val="auto"/>
        </w:rPr>
      </w:pPr>
    </w:p>
    <w:p>
      <w:pPr>
        <w:ind w:left="4480" w:right="619" w:hanging="3675"/>
        <w:spacing w:after="0" w:line="357" w:lineRule="auto"/>
        <w:tabs>
          <w:tab w:leader="none" w:pos="113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exception from compliance with the auditor attestation requirements of Section 404 of the Sarbanes-Oxley Act of 2002, as amended; 4</w:t>
      </w:r>
    </w:p>
    <w:p>
      <w:pPr>
        <w:sectPr>
          <w:pgSz w:w="11900" w:h="16838" w:orient="portrait"/>
          <w:cols w:equalWidth="0" w:num="1">
            <w:col w:w="9019"/>
          </w:cols>
          <w:pgMar w:left="1440" w:top="233" w:right="1440" w:bottom="1440" w:gutter="0" w:footer="0" w:header="0"/>
        </w:sectPr>
      </w:pPr>
    </w:p>
    <w:bookmarkStart w:id="8" w:name="page9"/>
    <w:bookmarkEnd w:id="8"/>
    <w:p>
      <w:pPr>
        <w:ind w:left="1120" w:hanging="315"/>
        <w:spacing w:after="0"/>
        <w:tabs>
          <w:tab w:leader="none" w:pos="11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reduced disclosure about our executive compensation arrangements in our periodic reports, proxy statements and registration statements;</w:t>
      </w:r>
    </w:p>
    <w:p>
      <w:pPr>
        <w:spacing w:after="0" w:line="101" w:lineRule="exact"/>
        <w:rPr>
          <w:rFonts w:ascii="Times New Roman" w:cs="Times New Roman" w:eastAsia="Times New Roman" w:hAnsi="Times New Roman"/>
          <w:sz w:val="13"/>
          <w:szCs w:val="13"/>
          <w:color w:val="auto"/>
        </w:rPr>
      </w:pPr>
    </w:p>
    <w:p>
      <w:pPr>
        <w:ind w:left="1120" w:right="579" w:hanging="315"/>
        <w:spacing w:after="0" w:line="268" w:lineRule="auto"/>
        <w:tabs>
          <w:tab w:leader="none" w:pos="11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exemptions from the requirements of holding non-binding advisory votes on executive compensation or golden parachute arrangements; and</w:t>
      </w:r>
    </w:p>
    <w:p>
      <w:pPr>
        <w:spacing w:after="0" w:line="245" w:lineRule="exact"/>
        <w:rPr>
          <w:rFonts w:ascii="Times New Roman" w:cs="Times New Roman" w:eastAsia="Times New Roman" w:hAnsi="Times New Roman"/>
          <w:sz w:val="13"/>
          <w:szCs w:val="13"/>
          <w:color w:val="auto"/>
        </w:rPr>
      </w:pPr>
    </w:p>
    <w:p>
      <w:pPr>
        <w:ind w:left="1120" w:right="559" w:hanging="315"/>
        <w:spacing w:after="0" w:line="296" w:lineRule="auto"/>
        <w:tabs>
          <w:tab w:leader="none" w:pos="11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exemption from compliance with the requirements of the Public Company Accounting Oversight Board regarding the communication of critical audit matters in the auditor’s report on financial statements.</w:t>
      </w:r>
    </w:p>
    <w:p>
      <w:pPr>
        <w:spacing w:after="0" w:line="114" w:lineRule="exact"/>
        <w:rPr>
          <w:sz w:val="20"/>
          <w:szCs w:val="20"/>
          <w:color w:val="auto"/>
        </w:rPr>
      </w:pPr>
    </w:p>
    <w:p>
      <w:pPr>
        <w:ind w:left="400" w:right="439" w:firstLine="328"/>
        <w:spacing w:after="0" w:line="263" w:lineRule="auto"/>
        <w:rPr>
          <w:sz w:val="20"/>
          <w:szCs w:val="20"/>
          <w:color w:val="auto"/>
        </w:rPr>
      </w:pPr>
      <w:r>
        <w:rPr>
          <w:rFonts w:ascii="Times New Roman" w:cs="Times New Roman" w:eastAsia="Times New Roman" w:hAnsi="Times New Roman"/>
          <w:sz w:val="13"/>
          <w:szCs w:val="13"/>
          <w:color w:val="auto"/>
        </w:rPr>
        <w:t>We may take advantage of these provisions until we no longer qualify as an emerging growth company. We will cease to qualify as an emerging growth company on the date that is the earliest of: (i) December 31, 2028, (ii) the last day of the fiscal year in which we have more than $1.235 billion in total annual gross revenues, (iii) the date on which we are deemed to be a “large accelerated filer” under the rules of the U.S. Securities and Exchange Commission, which means the market value of our Common Stock that is held by non-affiliates exceeds $700.0 million as of the prior June 30, or</w:t>
      </w:r>
    </w:p>
    <w:p>
      <w:pPr>
        <w:spacing w:after="0" w:line="1" w:lineRule="exact"/>
        <w:rPr>
          <w:sz w:val="20"/>
          <w:szCs w:val="20"/>
          <w:color w:val="auto"/>
        </w:rPr>
      </w:pPr>
    </w:p>
    <w:p>
      <w:pPr>
        <w:ind w:left="400" w:right="479" w:firstLine="3"/>
        <w:spacing w:after="0" w:line="276" w:lineRule="auto"/>
        <w:tabs>
          <w:tab w:leader="none" w:pos="627"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we have issued more than $1.0 billion of non-convertible debt over the prior three-year period. We may choose to take advantage of some but not all of these reduced reporting burdens.</w:t>
      </w:r>
    </w:p>
    <w:p>
      <w:pPr>
        <w:spacing w:after="0" w:line="126" w:lineRule="exact"/>
        <w:rPr>
          <w:sz w:val="20"/>
          <w:szCs w:val="20"/>
          <w:color w:val="auto"/>
        </w:rPr>
      </w:pPr>
    </w:p>
    <w:p>
      <w:pPr>
        <w:ind w:left="400" w:right="479" w:firstLine="328"/>
        <w:spacing w:after="0" w:line="296" w:lineRule="auto"/>
        <w:rPr>
          <w:sz w:val="20"/>
          <w:szCs w:val="20"/>
          <w:color w:val="auto"/>
        </w:rPr>
      </w:pPr>
      <w:r>
        <w:rPr>
          <w:rFonts w:ascii="Times New Roman" w:cs="Times New Roman" w:eastAsia="Times New Roman" w:hAnsi="Times New Roman"/>
          <w:sz w:val="13"/>
          <w:szCs w:val="13"/>
          <w:color w:val="auto"/>
        </w:rPr>
        <w:t>We have taken advantage of certain reduced reporting requirements in the documents incorporated by reference into this prospectus. Accordingly, the information contained herein may be different than you might obtain from other public companies in which you hold equity interests.</w:t>
      </w:r>
    </w:p>
    <w:p>
      <w:pPr>
        <w:spacing w:after="0" w:line="114" w:lineRule="exact"/>
        <w:rPr>
          <w:sz w:val="20"/>
          <w:szCs w:val="20"/>
          <w:color w:val="auto"/>
        </w:rPr>
      </w:pPr>
    </w:p>
    <w:p>
      <w:pPr>
        <w:ind w:left="400" w:right="559" w:firstLine="328"/>
        <w:spacing w:after="0" w:line="263" w:lineRule="auto"/>
        <w:rPr>
          <w:sz w:val="20"/>
          <w:szCs w:val="20"/>
          <w:color w:val="auto"/>
        </w:rPr>
      </w:pPr>
      <w:r>
        <w:rPr>
          <w:rFonts w:ascii="Times New Roman" w:cs="Times New Roman" w:eastAsia="Times New Roman" w:hAnsi="Times New Roman"/>
          <w:sz w:val="13"/>
          <w:szCs w:val="13"/>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We are also a “smaller reporting company,” meaning that the market value of our shares held by non-affiliates as of June 30 in the most recently</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completed fiscal year was less than $700.0 million and our annual revenue was less than $100.0 million during the most recently completed fiscal year.</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We may continue to be a smaller reporting company after this offering if either (i) the market value of our shares held by non-affiliates is less than</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$250.0 million or (ii) our annual revenue was less than $100.0 million during the most recently completed fiscal year and the market value of our shares</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held by non-affiliates is less than $700.0 million. If we are a smaller reporting company at the time we cease to be an emerging growth company, we</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may continue to rely on exemptions from certain disclosure requirements that are available to smaller reporting companies. Specifically, as a smaller</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reporting company, we may choose to present only the two most recent fiscal years of audited financial statements in our Annual Report on Form 10-K</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and, similar to emerging growth companies, smaller reporting companies have reduced disclosure obligations regarding executive compensation.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7"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RISK FACTORS</w:t>
      </w:r>
    </w:p>
    <w:p>
      <w:pPr>
        <w:spacing w:after="0" w:line="176" w:lineRule="exact"/>
        <w:rPr>
          <w:sz w:val="20"/>
          <w:szCs w:val="20"/>
          <w:color w:val="auto"/>
        </w:rPr>
      </w:pPr>
    </w:p>
    <w:p>
      <w:pPr>
        <w:ind w:left="400" w:right="459" w:firstLine="328"/>
        <w:spacing w:after="0" w:line="262" w:lineRule="auto"/>
        <w:rPr>
          <w:sz w:val="20"/>
          <w:szCs w:val="20"/>
          <w:color w:val="auto"/>
        </w:rPr>
      </w:pPr>
      <w:r>
        <w:rPr>
          <w:rFonts w:ascii="Times New Roman" w:cs="Times New Roman" w:eastAsia="Times New Roman" w:hAnsi="Times New Roman"/>
          <w:sz w:val="13"/>
          <w:szCs w:val="13"/>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w:t>
      </w:r>
      <w:r>
        <w:rPr>
          <w:rFonts w:ascii="Times New Roman" w:cs="Times New Roman" w:eastAsia="Times New Roman" w:hAnsi="Times New Roman"/>
          <w:sz w:val="13"/>
          <w:szCs w:val="13"/>
          <w:i w:val="1"/>
          <w:iCs w:val="1"/>
          <w:color w:val="auto"/>
        </w:rPr>
        <w:t>Part I—Item 1A—Risk Factors</w:t>
      </w:r>
      <w:r>
        <w:rPr>
          <w:rFonts w:ascii="Times New Roman" w:cs="Times New Roman" w:eastAsia="Times New Roman" w:hAnsi="Times New Roman"/>
          <w:sz w:val="13"/>
          <w:szCs w:val="13"/>
          <w:color w:val="auto"/>
        </w:rPr>
        <w:t>” of our most recent Annual Report on Form 10-K and in “</w:t>
      </w:r>
      <w:r>
        <w:rPr>
          <w:rFonts w:ascii="Times New Roman" w:cs="Times New Roman" w:eastAsia="Times New Roman" w:hAnsi="Times New Roman"/>
          <w:sz w:val="13"/>
          <w:szCs w:val="13"/>
          <w:i w:val="1"/>
          <w:iCs w:val="1"/>
          <w:color w:val="auto"/>
        </w:rPr>
        <w:t>Part II—Item 1A—Risk Factors</w:t>
      </w:r>
      <w:r>
        <w:rPr>
          <w:rFonts w:ascii="Times New Roman" w:cs="Times New Roman" w:eastAsia="Times New Roman" w:hAnsi="Times New Roman"/>
          <w:sz w:val="13"/>
          <w:szCs w:val="13"/>
          <w:color w:val="auto"/>
        </w:rPr>
        <w:t>” in our most recent Quarterly Report on Form 10-Q 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Please also carefully read the sections titled “</w:t>
      </w:r>
      <w:r>
        <w:rPr>
          <w:rFonts w:ascii="Times New Roman" w:cs="Times New Roman" w:eastAsia="Times New Roman" w:hAnsi="Times New Roman"/>
          <w:sz w:val="13"/>
          <w:szCs w:val="13"/>
          <w:i w:val="1"/>
          <w:iCs w:val="1"/>
          <w:color w:val="auto"/>
        </w:rPr>
        <w:t>Special Note Regarding Forward-Looking Statements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Incorporation by Reference</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3"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SPECIAL NOTE REGARDING FORWARD-LOOKING STATEMENTS</w:t>
      </w:r>
    </w:p>
    <w:p>
      <w:pPr>
        <w:spacing w:after="0" w:line="176" w:lineRule="exact"/>
        <w:rPr>
          <w:sz w:val="20"/>
          <w:szCs w:val="20"/>
          <w:color w:val="auto"/>
        </w:rPr>
      </w:pPr>
    </w:p>
    <w:p>
      <w:pPr>
        <w:ind w:left="400" w:right="419" w:firstLine="328"/>
        <w:spacing w:after="0" w:line="262" w:lineRule="auto"/>
        <w:rPr>
          <w:sz w:val="20"/>
          <w:szCs w:val="20"/>
          <w:color w:val="auto"/>
        </w:rPr>
      </w:pPr>
      <w:r>
        <w:rPr>
          <w:rFonts w:ascii="Times New Roman" w:cs="Times New Roman" w:eastAsia="Times New Roman" w:hAnsi="Times New Roman"/>
          <w:sz w:val="13"/>
          <w:szCs w:val="13"/>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and Section 21E of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Management’s Discussion and Analysis of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Condition and Results of Operations</w:t>
      </w:r>
      <w:r>
        <w:rPr>
          <w:rFonts w:ascii="Times New Roman" w:cs="Times New Roman" w:eastAsia="Times New Roman" w:hAnsi="Times New Roman"/>
          <w:sz w:val="13"/>
          <w:szCs w:val="13"/>
          <w:color w:val="auto"/>
        </w:rPr>
        <w:t>” and include statements regarding the intent, belief or current expectations of our management that are subject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300" w:lineRule="exact"/>
        <w:rPr>
          <w:sz w:val="20"/>
          <w:szCs w:val="20"/>
          <w:color w:val="auto"/>
        </w:rPr>
      </w:pPr>
    </w:p>
    <w:p>
      <w:pPr>
        <w:ind w:left="400" w:right="459" w:firstLine="328"/>
        <w:spacing w:after="0" w:line="266" w:lineRule="auto"/>
        <w:rPr>
          <w:sz w:val="20"/>
          <w:szCs w:val="20"/>
          <w:color w:val="auto"/>
        </w:rPr>
      </w:pPr>
      <w:r>
        <w:rPr>
          <w:rFonts w:ascii="Times New Roman" w:cs="Times New Roman" w:eastAsia="Times New Roman" w:hAnsi="Times New Roman"/>
          <w:sz w:val="13"/>
          <w:szCs w:val="13"/>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297" w:lineRule="exact"/>
        <w:rPr>
          <w:sz w:val="20"/>
          <w:szCs w:val="20"/>
          <w:color w:val="auto"/>
        </w:rPr>
      </w:pPr>
    </w:p>
    <w:p>
      <w:pPr>
        <w:ind w:left="400" w:right="459" w:firstLine="328"/>
        <w:spacing w:after="0" w:line="267" w:lineRule="auto"/>
        <w:rPr>
          <w:sz w:val="20"/>
          <w:szCs w:val="20"/>
          <w:color w:val="auto"/>
        </w:rPr>
      </w:pPr>
      <w:r>
        <w:rPr>
          <w:rFonts w:ascii="Times New Roman" w:cs="Times New Roman" w:eastAsia="Times New Roman" w:hAnsi="Times New Roman"/>
          <w:sz w:val="13"/>
          <w:szCs w:val="13"/>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33" w:lineRule="exact"/>
        <w:rPr>
          <w:sz w:val="20"/>
          <w:szCs w:val="20"/>
          <w:color w:val="auto"/>
        </w:rPr>
      </w:pPr>
    </w:p>
    <w:p>
      <w:pPr>
        <w:ind w:left="400" w:right="519" w:firstLine="328"/>
        <w:spacing w:after="0" w:line="270" w:lineRule="auto"/>
        <w:rPr>
          <w:sz w:val="20"/>
          <w:szCs w:val="20"/>
          <w:color w:val="auto"/>
        </w:rPr>
      </w:pPr>
      <w:r>
        <w:rPr>
          <w:rFonts w:ascii="Times New Roman" w:cs="Times New Roman" w:eastAsia="Times New Roman" w:hAnsi="Times New Roman"/>
          <w:sz w:val="13"/>
          <w:szCs w:val="13"/>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3"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USE OF PROCEEDS</w:t>
      </w:r>
    </w:p>
    <w:p>
      <w:pPr>
        <w:spacing w:after="0" w:line="176" w:lineRule="exact"/>
        <w:rPr>
          <w:sz w:val="20"/>
          <w:szCs w:val="20"/>
          <w:color w:val="auto"/>
        </w:rPr>
      </w:pPr>
    </w:p>
    <w:p>
      <w:pPr>
        <w:jc w:val="both"/>
        <w:ind w:left="400" w:right="599" w:firstLine="328"/>
        <w:spacing w:after="0" w:line="270" w:lineRule="auto"/>
        <w:rPr>
          <w:sz w:val="20"/>
          <w:szCs w:val="20"/>
          <w:color w:val="auto"/>
        </w:rPr>
      </w:pPr>
      <w:r>
        <w:rPr>
          <w:rFonts w:ascii="Times New Roman" w:cs="Times New Roman" w:eastAsia="Times New Roman" w:hAnsi="Times New Roman"/>
          <w:sz w:val="13"/>
          <w:szCs w:val="13"/>
          <w:color w:val="auto"/>
        </w:rPr>
        <w:t>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3"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DESCRIPTION OF CAPITAL STOCK</w:t>
      </w:r>
    </w:p>
    <w:p>
      <w:pPr>
        <w:spacing w:after="0" w:line="176" w:lineRule="exact"/>
        <w:rPr>
          <w:sz w:val="20"/>
          <w:szCs w:val="20"/>
          <w:color w:val="auto"/>
        </w:rPr>
      </w:pPr>
    </w:p>
    <w:p>
      <w:pPr>
        <w:ind w:left="400" w:right="499" w:firstLine="328"/>
        <w:spacing w:after="0" w:line="296" w:lineRule="auto"/>
        <w:rPr>
          <w:sz w:val="20"/>
          <w:szCs w:val="20"/>
          <w:color w:val="auto"/>
        </w:rPr>
      </w:pPr>
      <w:r>
        <w:rPr>
          <w:rFonts w:ascii="Times New Roman" w:cs="Times New Roman" w:eastAsia="Times New Roman" w:hAnsi="Times New Roman"/>
          <w:sz w:val="13"/>
          <w:szCs w:val="13"/>
          <w:color w:val="auto"/>
        </w:rPr>
        <w:t>The description of our securities is incorporated by reference to Exhibit 4.6 to our Annual Report on Form 10-K for the year ended December 31, 2025, filed with the SEC on March 30, 2026.</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3"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DESCRIPTION OF DEBT SECURITIES</w:t>
      </w:r>
    </w:p>
    <w:p>
      <w:pPr>
        <w:spacing w:after="0" w:line="176" w:lineRule="exact"/>
        <w:rPr>
          <w:sz w:val="20"/>
          <w:szCs w:val="20"/>
          <w:color w:val="auto"/>
        </w:rPr>
      </w:pPr>
    </w:p>
    <w:p>
      <w:pPr>
        <w:ind w:left="400" w:right="599" w:firstLine="328"/>
        <w:spacing w:after="0" w:line="270" w:lineRule="auto"/>
        <w:rPr>
          <w:sz w:val="20"/>
          <w:szCs w:val="20"/>
          <w:color w:val="auto"/>
        </w:rPr>
      </w:pPr>
      <w:r>
        <w:rPr>
          <w:rFonts w:ascii="Times New Roman" w:cs="Times New Roman" w:eastAsia="Times New Roman" w:hAnsi="Times New Roman"/>
          <w:sz w:val="13"/>
          <w:szCs w:val="13"/>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31" w:lineRule="exact"/>
        <w:rPr>
          <w:sz w:val="20"/>
          <w:szCs w:val="20"/>
          <w:color w:val="auto"/>
        </w:rPr>
      </w:pPr>
    </w:p>
    <w:p>
      <w:pPr>
        <w:jc w:val="both"/>
        <w:ind w:left="400" w:right="419" w:firstLine="328"/>
        <w:spacing w:after="0" w:line="277" w:lineRule="auto"/>
        <w:rPr>
          <w:sz w:val="20"/>
          <w:szCs w:val="20"/>
          <w:color w:val="auto"/>
        </w:rPr>
      </w:pPr>
      <w:r>
        <w:rPr>
          <w:rFonts w:ascii="Times New Roman" w:cs="Times New Roman" w:eastAsia="Times New Roman" w:hAnsi="Times New Roman"/>
          <w:sz w:val="13"/>
          <w:szCs w:val="13"/>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26" w:lineRule="exact"/>
        <w:rPr>
          <w:sz w:val="20"/>
          <w:szCs w:val="20"/>
          <w:color w:val="auto"/>
        </w:rPr>
      </w:pPr>
    </w:p>
    <w:p>
      <w:pPr>
        <w:ind w:left="400" w:right="499" w:firstLine="328"/>
        <w:spacing w:after="0" w:line="263" w:lineRule="auto"/>
        <w:rPr>
          <w:sz w:val="20"/>
          <w:szCs w:val="20"/>
          <w:color w:val="auto"/>
        </w:rPr>
      </w:pPr>
      <w:r>
        <w:rPr>
          <w:rFonts w:ascii="Times New Roman" w:cs="Times New Roman" w:eastAsia="Times New Roman" w:hAnsi="Times New Roman"/>
          <w:sz w:val="13"/>
          <w:szCs w:val="13"/>
          <w:color w:val="auto"/>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The form of the indenture has been filed as an exhibit to the registration statement of which this prospectus forms a part and you should read the indenture for provisions that may be important to you. Supplemental indentures, if applicable,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are also referring to any supplemental indentures or forms of debt securities that specify the terms of a particular series of debt securities.</w:t>
      </w:r>
    </w:p>
    <w:p>
      <w:pPr>
        <w:spacing w:after="0" w:line="3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6" w:lineRule="exact"/>
        <w:rPr>
          <w:sz w:val="20"/>
          <w:szCs w:val="20"/>
          <w:color w:val="auto"/>
        </w:rPr>
      </w:pPr>
    </w:p>
    <w:p>
      <w:pPr>
        <w:ind w:left="400" w:right="439" w:firstLine="328"/>
        <w:spacing w:after="0" w:line="277" w:lineRule="auto"/>
        <w:rPr>
          <w:sz w:val="20"/>
          <w:szCs w:val="20"/>
          <w:color w:val="auto"/>
        </w:rPr>
      </w:pPr>
      <w:r>
        <w:rPr>
          <w:rFonts w:ascii="Times New Roman" w:cs="Times New Roman" w:eastAsia="Times New Roman" w:hAnsi="Times New Roman"/>
          <w:sz w:val="13"/>
          <w:szCs w:val="13"/>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26" w:lineRule="exact"/>
        <w:rPr>
          <w:sz w:val="20"/>
          <w:szCs w:val="20"/>
          <w:color w:val="auto"/>
        </w:rPr>
      </w:pPr>
    </w:p>
    <w:p>
      <w:pPr>
        <w:jc w:val="both"/>
        <w:ind w:left="400" w:right="519" w:firstLine="328"/>
        <w:spacing w:after="0" w:line="277" w:lineRule="auto"/>
        <w:rPr>
          <w:sz w:val="20"/>
          <w:szCs w:val="20"/>
          <w:color w:val="auto"/>
        </w:rPr>
      </w:pPr>
      <w:r>
        <w:rPr>
          <w:rFonts w:ascii="Times New Roman" w:cs="Times New Roman" w:eastAsia="Times New Roman" w:hAnsi="Times New Roman"/>
          <w:sz w:val="13"/>
          <w:szCs w:val="13"/>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spacing w:after="0" w:line="55" w:lineRule="exact"/>
        <w:rPr>
          <w:sz w:val="20"/>
          <w:szCs w:val="20"/>
          <w:color w:val="auto"/>
        </w:rPr>
      </w:pPr>
    </w:p>
    <w:p>
      <w:pPr>
        <w:ind w:left="1120" w:hanging="315"/>
        <w:spacing w:after="0"/>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and ranking of the debt securities (including the terms of any subordination provisions);</w:t>
      </w:r>
    </w:p>
    <w:p>
      <w:pPr>
        <w:spacing w:after="0" w:line="101" w:lineRule="exact"/>
        <w:rPr>
          <w:rFonts w:ascii="Times New Roman" w:cs="Times New Roman" w:eastAsia="Times New Roman" w:hAnsi="Times New Roman"/>
          <w:sz w:val="13"/>
          <w:szCs w:val="13"/>
          <w:color w:val="auto"/>
        </w:rPr>
      </w:pPr>
    </w:p>
    <w:p>
      <w:pPr>
        <w:ind w:left="1120" w:right="699" w:hanging="315"/>
        <w:spacing w:after="0" w:line="296" w:lineRule="auto"/>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(expressed as a percentage of the principal amount) at which we will sell the debt securities, which may be sold at a discount below their stated principal amount;</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 upon the aggregate principal amount of the debt securities;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on which the principal of the securities of the series is payable;</w:t>
      </w:r>
    </w:p>
    <w:p>
      <w:pPr>
        <w:spacing w:after="0" w:line="101" w:lineRule="exact"/>
        <w:rPr>
          <w:rFonts w:ascii="Times New Roman" w:cs="Times New Roman" w:eastAsia="Times New Roman" w:hAnsi="Times New Roman"/>
          <w:sz w:val="13"/>
          <w:szCs w:val="13"/>
          <w:color w:val="auto"/>
        </w:rPr>
      </w:pPr>
    </w:p>
    <w:p>
      <w:pPr>
        <w:ind w:left="1120" w:right="519" w:hanging="315"/>
        <w:spacing w:after="0" w:line="270" w:lineRule="auto"/>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if any, to defer payment of interest and the maximum length of any such deferral period;</w:t>
      </w:r>
    </w:p>
    <w:p>
      <w:pPr>
        <w:spacing w:after="0" w:line="101" w:lineRule="exact"/>
        <w:rPr>
          <w:rFonts w:ascii="Times New Roman" w:cs="Times New Roman" w:eastAsia="Times New Roman" w:hAnsi="Times New Roman"/>
          <w:sz w:val="13"/>
          <w:szCs w:val="13"/>
          <w:color w:val="auto"/>
        </w:rPr>
      </w:pPr>
    </w:p>
    <w:p>
      <w:pPr>
        <w:ind w:left="1120" w:right="519" w:hanging="315"/>
        <w:spacing w:after="0" w:line="296" w:lineRule="auto"/>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principal of, and interest, if any, on the debt securities will be payable (and the method of such payment), where the securities of such series may be surrendered for registration of</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3" w:right="1440" w:bottom="1440" w:gutter="0" w:footer="0" w:header="0"/>
        </w:sectPr>
      </w:pPr>
    </w:p>
    <w:bookmarkStart w:id="14" w:name="page15"/>
    <w:bookmarkEnd w:id="14"/>
    <w:p>
      <w:pPr>
        <w:ind w:left="11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transfer or exchange, and where notices and demands to us in respect of the debt securities may be delivered;</w:t>
      </w:r>
    </w:p>
    <w:p>
      <w:pPr>
        <w:spacing w:after="0" w:line="102" w:lineRule="exact"/>
        <w:rPr>
          <w:sz w:val="20"/>
          <w:szCs w:val="20"/>
          <w:color w:val="auto"/>
        </w:rPr>
      </w:pPr>
    </w:p>
    <w:p>
      <w:pPr>
        <w:ind w:left="1120" w:right="939" w:hanging="315"/>
        <w:spacing w:after="0" w:line="296"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period or periods within which, the price or prices at which and the terms and conditions upon which we may redeem the debt securities;</w:t>
      </w:r>
    </w:p>
    <w:p>
      <w:pPr>
        <w:spacing w:after="0" w:line="43" w:lineRule="exact"/>
        <w:rPr>
          <w:rFonts w:ascii="Times New Roman" w:cs="Times New Roman" w:eastAsia="Times New Roman" w:hAnsi="Times New Roman"/>
          <w:sz w:val="13"/>
          <w:szCs w:val="13"/>
          <w:color w:val="auto"/>
        </w:rPr>
      </w:pPr>
    </w:p>
    <w:p>
      <w:pPr>
        <w:ind w:left="1120" w:right="419" w:hanging="315"/>
        <w:spacing w:after="0" w:line="277"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spacing w:after="0" w:line="55" w:lineRule="exact"/>
        <w:rPr>
          <w:rFonts w:ascii="Times New Roman" w:cs="Times New Roman" w:eastAsia="Times New Roman" w:hAnsi="Times New Roman"/>
          <w:sz w:val="13"/>
          <w:szCs w:val="13"/>
          <w:color w:val="auto"/>
        </w:rPr>
      </w:pPr>
    </w:p>
    <w:p>
      <w:pPr>
        <w:ind w:left="1120" w:right="439" w:hanging="315"/>
        <w:spacing w:after="0" w:line="270"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denominations in which the debt securities will be issued, if other than denominations of $1,000 and any integral multiple thereof;</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will be issued in the form of certificated debt securities or global debt securities;</w:t>
      </w:r>
    </w:p>
    <w:p>
      <w:pPr>
        <w:spacing w:after="0" w:line="101" w:lineRule="exact"/>
        <w:rPr>
          <w:rFonts w:ascii="Times New Roman" w:cs="Times New Roman" w:eastAsia="Times New Roman" w:hAnsi="Times New Roman"/>
          <w:sz w:val="13"/>
          <w:szCs w:val="13"/>
          <w:color w:val="auto"/>
        </w:rPr>
      </w:pPr>
    </w:p>
    <w:p>
      <w:pPr>
        <w:ind w:left="1120" w:right="859" w:hanging="315"/>
        <w:spacing w:after="0" w:line="296"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principal amount of the debt securities payable upon declaration of acceleration of the maturity date, if other than the principal amount;</w:t>
      </w:r>
    </w:p>
    <w:p>
      <w:pPr>
        <w:spacing w:after="0" w:line="43" w:lineRule="exact"/>
        <w:rPr>
          <w:rFonts w:ascii="Times New Roman" w:cs="Times New Roman" w:eastAsia="Times New Roman" w:hAnsi="Times New Roman"/>
          <w:sz w:val="13"/>
          <w:szCs w:val="13"/>
          <w:color w:val="auto"/>
        </w:rPr>
      </w:pPr>
    </w:p>
    <w:p>
      <w:pPr>
        <w:ind w:left="1120" w:right="619" w:hanging="315"/>
        <w:spacing w:after="0" w:line="296"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43" w:lineRule="exact"/>
        <w:rPr>
          <w:rFonts w:ascii="Times New Roman" w:cs="Times New Roman" w:eastAsia="Times New Roman" w:hAnsi="Times New Roman"/>
          <w:sz w:val="13"/>
          <w:szCs w:val="13"/>
          <w:color w:val="auto"/>
        </w:rPr>
      </w:pPr>
    </w:p>
    <w:p>
      <w:pPr>
        <w:ind w:left="1120" w:right="519" w:hanging="315"/>
        <w:spacing w:after="0" w:line="277"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spacing w:after="0" w:line="55" w:lineRule="exact"/>
        <w:rPr>
          <w:rFonts w:ascii="Times New Roman" w:cs="Times New Roman" w:eastAsia="Times New Roman" w:hAnsi="Times New Roman"/>
          <w:sz w:val="13"/>
          <w:szCs w:val="13"/>
          <w:color w:val="auto"/>
        </w:rPr>
      </w:pPr>
    </w:p>
    <w:p>
      <w:pPr>
        <w:ind w:left="1120" w:right="459" w:hanging="315"/>
        <w:spacing w:after="0" w:line="277"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spacing w:after="0" w:line="55"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relating to any security provided for the debt securities;</w:t>
      </w:r>
    </w:p>
    <w:p>
      <w:pPr>
        <w:spacing w:after="0" w:line="101" w:lineRule="exact"/>
        <w:rPr>
          <w:rFonts w:ascii="Times New Roman" w:cs="Times New Roman" w:eastAsia="Times New Roman" w:hAnsi="Times New Roman"/>
          <w:sz w:val="13"/>
          <w:szCs w:val="13"/>
          <w:color w:val="auto"/>
        </w:rPr>
      </w:pPr>
    </w:p>
    <w:p>
      <w:pPr>
        <w:ind w:left="1120" w:right="499" w:hanging="315"/>
        <w:spacing w:after="0" w:line="277"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spacing w:after="0" w:line="55"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depositaries, interest rate calculation agents, exchange rate calculation agents or other agents with respect to the debt securities;</w:t>
      </w:r>
    </w:p>
    <w:p>
      <w:pPr>
        <w:spacing w:after="0" w:line="101" w:lineRule="exact"/>
        <w:rPr>
          <w:rFonts w:ascii="Times New Roman" w:cs="Times New Roman" w:eastAsia="Times New Roman" w:hAnsi="Times New Roman"/>
          <w:sz w:val="13"/>
          <w:szCs w:val="13"/>
          <w:color w:val="auto"/>
        </w:rPr>
      </w:pPr>
    </w:p>
    <w:p>
      <w:pPr>
        <w:ind w:left="1120" w:right="439" w:hanging="315"/>
        <w:spacing w:after="0" w:line="296"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more than one trustee or a different trustee, the identity of the trustee and, if not the trustee, the identity of each security registrar, paying agent or authenticating agent with respect to such debt securities;</w:t>
      </w:r>
    </w:p>
    <w:p>
      <w:pPr>
        <w:spacing w:after="0" w:line="43" w:lineRule="exact"/>
        <w:rPr>
          <w:rFonts w:ascii="Times New Roman" w:cs="Times New Roman" w:eastAsia="Times New Roman" w:hAnsi="Times New Roman"/>
          <w:sz w:val="13"/>
          <w:szCs w:val="13"/>
          <w:color w:val="auto"/>
        </w:rPr>
      </w:pPr>
    </w:p>
    <w:p>
      <w:pPr>
        <w:ind w:left="1120" w:right="599" w:hanging="315"/>
        <w:spacing w:after="0" w:line="277"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5" w:lineRule="exact"/>
        <w:rPr>
          <w:rFonts w:ascii="Times New Roman" w:cs="Times New Roman" w:eastAsia="Times New Roman" w:hAnsi="Times New Roman"/>
          <w:sz w:val="13"/>
          <w:szCs w:val="13"/>
          <w:color w:val="auto"/>
        </w:rPr>
      </w:pPr>
    </w:p>
    <w:p>
      <w:pPr>
        <w:ind w:left="1120" w:right="599" w:hanging="315"/>
        <w:spacing w:after="0" w:line="296" w:lineRule="auto"/>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any of our direct or indirect subsidiaries will guarantee the debt securities of that series, including the terms of subordination, if any, of such guarantees.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7" w:right="1440" w:bottom="1440" w:gutter="0" w:footer="0" w:header="0"/>
        </w:sectPr>
      </w:pPr>
    </w:p>
    <w:bookmarkStart w:id="15" w:name="page16"/>
    <w:bookmarkEnd w:id="15"/>
    <w:p>
      <w:pPr>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26" w:lineRule="exact"/>
        <w:rPr>
          <w:sz w:val="20"/>
          <w:szCs w:val="20"/>
          <w:color w:val="auto"/>
        </w:rPr>
      </w:pPr>
    </w:p>
    <w:p>
      <w:pPr>
        <w:ind w:left="400" w:right="439" w:firstLine="328"/>
        <w:spacing w:after="0" w:line="270" w:lineRule="auto"/>
        <w:rPr>
          <w:sz w:val="20"/>
          <w:szCs w:val="20"/>
          <w:color w:val="auto"/>
        </w:rPr>
      </w:pPr>
      <w:r>
        <w:rPr>
          <w:rFonts w:ascii="Times New Roman" w:cs="Times New Roman" w:eastAsia="Times New Roman" w:hAnsi="Times New Roman"/>
          <w:sz w:val="13"/>
          <w:szCs w:val="13"/>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Transfer and Exchange</w:t>
      </w:r>
    </w:p>
    <w:p>
      <w:pPr>
        <w:spacing w:after="0" w:line="96" w:lineRule="exact"/>
        <w:rPr>
          <w:sz w:val="20"/>
          <w:szCs w:val="20"/>
          <w:color w:val="auto"/>
        </w:rPr>
      </w:pPr>
    </w:p>
    <w:p>
      <w:pPr>
        <w:ind w:left="400" w:right="639" w:firstLine="328"/>
        <w:spacing w:after="0" w:line="267" w:lineRule="auto"/>
        <w:rPr>
          <w:sz w:val="20"/>
          <w:szCs w:val="20"/>
          <w:color w:val="auto"/>
        </w:rPr>
      </w:pPr>
      <w:r>
        <w:rPr>
          <w:rFonts w:ascii="Times New Roman" w:cs="Times New Roman" w:eastAsia="Times New Roman" w:hAnsi="Times New Roman"/>
          <w:sz w:val="13"/>
          <w:szCs w:val="13"/>
          <w:color w:val="auto"/>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section titled “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Global Debt Securities and Book-Entry System</w:t>
      </w:r>
      <w:r>
        <w:rPr>
          <w:rFonts w:ascii="Times New Roman" w:cs="Times New Roman" w:eastAsia="Times New Roman" w:hAnsi="Times New Roman"/>
          <w:sz w:val="13"/>
          <w:szCs w:val="13"/>
          <w:color w:val="auto"/>
        </w:rPr>
        <w:t>,” below, book-entry debt securities will not be issuable in certificated form.</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Certificated Debt Securities</w:t>
      </w:r>
    </w:p>
    <w:p>
      <w:pPr>
        <w:spacing w:after="0" w:line="96" w:lineRule="exact"/>
        <w:rPr>
          <w:sz w:val="20"/>
          <w:szCs w:val="20"/>
          <w:color w:val="auto"/>
        </w:rPr>
      </w:pPr>
    </w:p>
    <w:p>
      <w:pPr>
        <w:jc w:val="both"/>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26" w:lineRule="exact"/>
        <w:rPr>
          <w:sz w:val="20"/>
          <w:szCs w:val="20"/>
          <w:color w:val="auto"/>
        </w:rPr>
      </w:pPr>
    </w:p>
    <w:p>
      <w:pPr>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i w:val="1"/>
          <w:iCs w:val="1"/>
          <w:color w:val="auto"/>
        </w:rPr>
        <w:t>Global Debt Securities and Book-Entry System</w:t>
      </w:r>
    </w:p>
    <w:p>
      <w:pPr>
        <w:spacing w:after="0" w:line="96" w:lineRule="exact"/>
        <w:rPr>
          <w:sz w:val="20"/>
          <w:szCs w:val="20"/>
          <w:color w:val="auto"/>
        </w:rPr>
      </w:pPr>
    </w:p>
    <w:p>
      <w:pPr>
        <w:ind w:left="400" w:right="439" w:firstLine="328"/>
        <w:spacing w:after="0" w:line="296" w:lineRule="auto"/>
        <w:rPr>
          <w:sz w:val="20"/>
          <w:szCs w:val="20"/>
          <w:color w:val="auto"/>
        </w:rPr>
      </w:pPr>
      <w:r>
        <w:rPr>
          <w:rFonts w:ascii="Times New Roman" w:cs="Times New Roman" w:eastAsia="Times New Roman" w:hAnsi="Times New Roman"/>
          <w:sz w:val="13"/>
          <w:szCs w:val="13"/>
          <w:color w:val="auto"/>
        </w:rPr>
        <w:t>Each global debt security representing book-entry debt securities will be deposited with, or on behalf of, the depositary, and registered in the name of the depositary or a nominee of the depositary.</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We will set forth in the applicable prospectus supplement any restrictive covenants applicable to any issue or series of debt securities.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No Protection in the Event of a Change of Control</w:t>
      </w:r>
    </w:p>
    <w:p>
      <w:pPr>
        <w:spacing w:after="0" w:line="96" w:lineRule="exact"/>
        <w:rPr>
          <w:sz w:val="20"/>
          <w:szCs w:val="20"/>
          <w:color w:val="auto"/>
        </w:rPr>
      </w:pPr>
    </w:p>
    <w:p>
      <w:pPr>
        <w:ind w:left="400" w:right="499" w:firstLine="328"/>
        <w:spacing w:after="0" w:line="277" w:lineRule="auto"/>
        <w:rPr>
          <w:sz w:val="20"/>
          <w:szCs w:val="20"/>
          <w:color w:val="auto"/>
        </w:rPr>
      </w:pPr>
      <w:r>
        <w:rPr>
          <w:rFonts w:ascii="Times New Roman" w:cs="Times New Roman" w:eastAsia="Times New Roman" w:hAnsi="Times New Roman"/>
          <w:sz w:val="13"/>
          <w:szCs w:val="13"/>
          <w:color w:val="auto"/>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7" w:right="1440"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Consolidation, Merger and Sale of Assets</w:t>
      </w:r>
    </w:p>
    <w:p>
      <w:pPr>
        <w:spacing w:after="0" w:line="96" w:lineRule="exact"/>
        <w:rPr>
          <w:sz w:val="20"/>
          <w:szCs w:val="20"/>
          <w:color w:val="auto"/>
        </w:rPr>
      </w:pPr>
    </w:p>
    <w:p>
      <w:pPr>
        <w:ind w:left="400" w:right="559" w:firstLine="328"/>
        <w:spacing w:after="0" w:line="296" w:lineRule="auto"/>
        <w:rPr>
          <w:sz w:val="20"/>
          <w:szCs w:val="20"/>
          <w:color w:val="auto"/>
        </w:rPr>
      </w:pPr>
      <w:r>
        <w:rPr>
          <w:rFonts w:ascii="Times New Roman" w:cs="Times New Roman" w:eastAsia="Times New Roman" w:hAnsi="Times New Roman"/>
          <w:sz w:val="13"/>
          <w:szCs w:val="13"/>
          <w:color w:val="auto"/>
        </w:rPr>
        <w:t>We may not consolidate with or merge with or into, or convey, transfer or lease all or substantially all of our properties and assets to any person, which we refer to as a successor person, unless:</w:t>
      </w:r>
    </w:p>
    <w:p>
      <w:pPr>
        <w:spacing w:after="0" w:line="43" w:lineRule="exact"/>
        <w:rPr>
          <w:sz w:val="20"/>
          <w:szCs w:val="20"/>
          <w:color w:val="auto"/>
        </w:rPr>
      </w:pPr>
    </w:p>
    <w:p>
      <w:pPr>
        <w:ind w:left="1120" w:right="459" w:hanging="315"/>
        <w:spacing w:after="0" w:line="296" w:lineRule="auto"/>
        <w:tabs>
          <w:tab w:leader="none" w:pos="1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43" w:lineRule="exact"/>
        <w:rPr>
          <w:rFonts w:ascii="Times New Roman" w:cs="Times New Roman" w:eastAsia="Times New Roman" w:hAnsi="Times New Roman"/>
          <w:sz w:val="13"/>
          <w:szCs w:val="13"/>
          <w:color w:val="auto"/>
        </w:rPr>
      </w:pPr>
    </w:p>
    <w:p>
      <w:pPr>
        <w:ind w:left="1120" w:right="1039" w:hanging="315"/>
        <w:spacing w:after="0" w:line="296" w:lineRule="auto"/>
        <w:tabs>
          <w:tab w:leader="none" w:pos="1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the transaction, no Default or Event of Default (as defined below), shall have occurred and be continuing.</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Notwithstanding the above, any of our subsidiaries may consolidate with, merge into or transfer all or part of its properties to us.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Events of Default</w:t>
      </w:r>
    </w:p>
    <w:p>
      <w:pPr>
        <w:spacing w:after="0" w:line="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“Event of Default” means with respect to any series of debt securities, any of the following:</w:t>
      </w:r>
    </w:p>
    <w:p>
      <w:pPr>
        <w:spacing w:after="0" w:line="102" w:lineRule="exact"/>
        <w:rPr>
          <w:sz w:val="20"/>
          <w:szCs w:val="20"/>
          <w:color w:val="auto"/>
        </w:rPr>
      </w:pPr>
    </w:p>
    <w:p>
      <w:pPr>
        <w:ind w:left="1120" w:right="539" w:hanging="315"/>
        <w:spacing w:after="0" w:line="277" w:lineRule="auto"/>
        <w:tabs>
          <w:tab w:leader="none" w:pos="1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55"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principal of any security of that series at its maturity;</w:t>
      </w:r>
    </w:p>
    <w:p>
      <w:pPr>
        <w:spacing w:after="0" w:line="101" w:lineRule="exact"/>
        <w:rPr>
          <w:rFonts w:ascii="Times New Roman" w:cs="Times New Roman" w:eastAsia="Times New Roman" w:hAnsi="Times New Roman"/>
          <w:sz w:val="13"/>
          <w:szCs w:val="13"/>
          <w:color w:val="auto"/>
        </w:rPr>
      </w:pPr>
    </w:p>
    <w:p>
      <w:pPr>
        <w:ind w:left="1120" w:right="519" w:hanging="315"/>
        <w:spacing w:after="0" w:line="270" w:lineRule="auto"/>
        <w:tabs>
          <w:tab w:leader="none" w:pos="1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voluntary or involuntary events of bankruptcy, insolvency or reorganization of us; and</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with respect to debt securities of that series that is described in the applicable prospectus supplement.</w:t>
      </w:r>
    </w:p>
    <w:p>
      <w:pPr>
        <w:spacing w:after="0" w:line="172" w:lineRule="exact"/>
        <w:rPr>
          <w:sz w:val="20"/>
          <w:szCs w:val="20"/>
          <w:color w:val="auto"/>
        </w:rPr>
      </w:pPr>
    </w:p>
    <w:p>
      <w:pPr>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26" w:lineRule="exact"/>
        <w:rPr>
          <w:sz w:val="20"/>
          <w:szCs w:val="20"/>
          <w:color w:val="auto"/>
        </w:rPr>
      </w:pPr>
    </w:p>
    <w:p>
      <w:pPr>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26" w:lineRule="exact"/>
        <w:rPr>
          <w:sz w:val="20"/>
          <w:szCs w:val="20"/>
          <w:color w:val="auto"/>
        </w:rPr>
      </w:pPr>
    </w:p>
    <w:p>
      <w:pPr>
        <w:ind w:left="400" w:right="419" w:firstLine="328"/>
        <w:spacing w:after="0" w:line="265" w:lineRule="auto"/>
        <w:rPr>
          <w:sz w:val="20"/>
          <w:szCs w:val="20"/>
          <w:color w:val="auto"/>
        </w:rPr>
      </w:pPr>
      <w:r>
        <w:rPr>
          <w:rFonts w:ascii="Times New Roman" w:cs="Times New Roman" w:eastAsia="Times New Roman" w:hAnsi="Times New Roman"/>
          <w:sz w:val="13"/>
          <w:szCs w:val="13"/>
          <w:color w:val="auto"/>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3" w:right="1440" w:bottom="1440" w:gutter="0" w:footer="0" w:header="0"/>
        </w:sectPr>
      </w:pPr>
    </w:p>
    <w:bookmarkStart w:id="17" w:name="page18"/>
    <w:bookmarkEnd w:id="17"/>
    <w:p>
      <w:pPr>
        <w:ind w:left="400" w:right="459"/>
        <w:spacing w:after="0" w:line="26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35" w:lineRule="exact"/>
        <w:rPr>
          <w:sz w:val="20"/>
          <w:szCs w:val="20"/>
          <w:color w:val="auto"/>
        </w:rPr>
      </w:pPr>
    </w:p>
    <w:p>
      <w:pPr>
        <w:ind w:left="400" w:right="519" w:firstLine="328"/>
        <w:spacing w:after="0" w:line="267" w:lineRule="auto"/>
        <w:rPr>
          <w:sz w:val="20"/>
          <w:szCs w:val="20"/>
          <w:color w:val="auto"/>
        </w:rPr>
      </w:pPr>
      <w:r>
        <w:rPr>
          <w:rFonts w:ascii="Times New Roman" w:cs="Times New Roman" w:eastAsia="Times New Roman" w:hAnsi="Times New Roman"/>
          <w:sz w:val="13"/>
          <w:szCs w:val="13"/>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33" w:lineRule="exact"/>
        <w:rPr>
          <w:sz w:val="20"/>
          <w:szCs w:val="20"/>
          <w:color w:val="auto"/>
        </w:rPr>
      </w:pPr>
    </w:p>
    <w:p>
      <w:pPr>
        <w:ind w:left="400" w:right="539" w:firstLine="328"/>
        <w:spacing w:after="0" w:line="296" w:lineRule="auto"/>
        <w:rPr>
          <w:sz w:val="20"/>
          <w:szCs w:val="20"/>
          <w:color w:val="auto"/>
        </w:rPr>
      </w:pPr>
      <w:r>
        <w:rPr>
          <w:rFonts w:ascii="Times New Roman" w:cs="Times New Roman" w:eastAsia="Times New Roman" w:hAnsi="Times New Roman"/>
          <w:sz w:val="13"/>
          <w:szCs w:val="13"/>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43" w:lineRule="exact"/>
        <w:rPr>
          <w:sz w:val="20"/>
          <w:szCs w:val="20"/>
          <w:color w:val="auto"/>
        </w:rPr>
      </w:pPr>
    </w:p>
    <w:p>
      <w:pPr>
        <w:ind w:left="1120" w:right="519" w:hanging="315"/>
        <w:spacing w:after="0" w:line="268" w:lineRule="auto"/>
        <w:tabs>
          <w:tab w:leader="none" w:pos="1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holder has previously given to the trustee written notice of a continuing Event of Default with respect to debt securities of that series; and</w:t>
      </w:r>
    </w:p>
    <w:p>
      <w:pPr>
        <w:spacing w:after="0" w:line="245" w:lineRule="exact"/>
        <w:rPr>
          <w:rFonts w:ascii="Times New Roman" w:cs="Times New Roman" w:eastAsia="Times New Roman" w:hAnsi="Times New Roman"/>
          <w:sz w:val="13"/>
          <w:szCs w:val="13"/>
          <w:color w:val="auto"/>
        </w:rPr>
      </w:pPr>
    </w:p>
    <w:p>
      <w:pPr>
        <w:ind w:left="1120" w:right="439" w:hanging="315"/>
        <w:spacing w:after="0" w:line="270" w:lineRule="auto"/>
        <w:tabs>
          <w:tab w:leader="none" w:pos="1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31" w:lineRule="exact"/>
        <w:rPr>
          <w:sz w:val="20"/>
          <w:szCs w:val="20"/>
          <w:color w:val="auto"/>
        </w:rPr>
      </w:pPr>
    </w:p>
    <w:p>
      <w:pPr>
        <w:ind w:left="400" w:right="559" w:firstLine="328"/>
        <w:spacing w:after="0" w:line="277" w:lineRule="auto"/>
        <w:rPr>
          <w:sz w:val="20"/>
          <w:szCs w:val="20"/>
          <w:color w:val="auto"/>
        </w:rPr>
      </w:pPr>
      <w:r>
        <w:rPr>
          <w:rFonts w:ascii="Times New Roman" w:cs="Times New Roman" w:eastAsia="Times New Roman" w:hAnsi="Times New Roman"/>
          <w:sz w:val="13"/>
          <w:szCs w:val="13"/>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26" w:lineRule="exact"/>
        <w:rPr>
          <w:sz w:val="20"/>
          <w:szCs w:val="20"/>
          <w:color w:val="auto"/>
        </w:rPr>
      </w:pPr>
    </w:p>
    <w:p>
      <w:pPr>
        <w:ind w:left="400" w:right="439" w:firstLine="328"/>
        <w:spacing w:after="0" w:line="265" w:lineRule="auto"/>
        <w:rPr>
          <w:sz w:val="20"/>
          <w:szCs w:val="20"/>
          <w:color w:val="auto"/>
        </w:rPr>
      </w:pPr>
      <w:r>
        <w:rPr>
          <w:rFonts w:ascii="Times New Roman" w:cs="Times New Roman" w:eastAsia="Times New Roman" w:hAnsi="Times New Roman"/>
          <w:sz w:val="13"/>
          <w:szCs w:val="13"/>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3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Modification and Waiver</w:t>
      </w:r>
    </w:p>
    <w:p>
      <w:pPr>
        <w:spacing w:after="0" w:line="96" w:lineRule="exact"/>
        <w:rPr>
          <w:sz w:val="20"/>
          <w:szCs w:val="20"/>
          <w:color w:val="auto"/>
        </w:rPr>
      </w:pPr>
    </w:p>
    <w:p>
      <w:pPr>
        <w:ind w:left="400" w:right="599" w:firstLine="328"/>
        <w:spacing w:after="0" w:line="296" w:lineRule="auto"/>
        <w:rPr>
          <w:sz w:val="20"/>
          <w:szCs w:val="20"/>
          <w:color w:val="auto"/>
        </w:rPr>
      </w:pPr>
      <w:r>
        <w:rPr>
          <w:rFonts w:ascii="Times New Roman" w:cs="Times New Roman" w:eastAsia="Times New Roman" w:hAnsi="Times New Roman"/>
          <w:sz w:val="13"/>
          <w:szCs w:val="13"/>
          <w:color w:val="auto"/>
        </w:rPr>
        <w:t>We and the trustee may modify, amend or supplement the indenture or the debt securities of any series without the consent of any holder of any debt security:</w:t>
      </w:r>
    </w:p>
    <w:p>
      <w:pPr>
        <w:spacing w:after="0" w:line="43" w:lineRule="exact"/>
        <w:rPr>
          <w:sz w:val="20"/>
          <w:szCs w:val="20"/>
          <w:color w:val="auto"/>
        </w:rPr>
      </w:pPr>
    </w:p>
    <w:p>
      <w:pPr>
        <w:ind w:left="1120" w:hanging="315"/>
        <w:spacing w:after="0"/>
        <w:tabs>
          <w:tab w:leader="none" w:pos="1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cure any ambiguity, defect or inconsistency;</w:t>
      </w:r>
    </w:p>
    <w:p>
      <w:pPr>
        <w:spacing w:after="0" w:line="101" w:lineRule="exact"/>
        <w:rPr>
          <w:rFonts w:ascii="Times New Roman" w:cs="Times New Roman" w:eastAsia="Times New Roman" w:hAnsi="Times New Roman"/>
          <w:sz w:val="13"/>
          <w:szCs w:val="13"/>
          <w:color w:val="auto"/>
        </w:rPr>
      </w:pPr>
    </w:p>
    <w:p>
      <w:pPr>
        <w:jc w:val="center"/>
        <w:ind w:left="4440" w:right="1319" w:hanging="3635"/>
        <w:spacing w:after="0" w:line="357" w:lineRule="auto"/>
        <w:tabs>
          <w:tab w:leader="none" w:pos="113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covenants in the indenture described above under the heading “Consolidation, Merger and Sale of Assets”; 14</w:t>
      </w:r>
    </w:p>
    <w:p>
      <w:pPr>
        <w:sectPr>
          <w:pgSz w:w="11900" w:h="16838" w:orient="portrait"/>
          <w:cols w:equalWidth="0" w:num="1">
            <w:col w:w="9019"/>
          </w:cols>
          <w:pgMar w:left="1440" w:top="237" w:right="1440" w:bottom="1440" w:gutter="0" w:footer="0" w:header="0"/>
        </w:sectPr>
      </w:pPr>
    </w:p>
    <w:bookmarkStart w:id="18" w:name="page19"/>
    <w:bookmarkEnd w:id="18"/>
    <w:p>
      <w:pPr>
        <w:ind w:left="1120" w:hanging="315"/>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to provide for uncertificated securities in addition to or in place of certificated securities;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guarantees with respect to debt securities of any series or secure debt securities of any series;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surrender any of our rights or powers under the indenture;</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covenants or events of default for the benefit of the holders of debt securities of any series;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the applicable procedures of the applicable depositary;</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any change that does not adversely affect the rights of any holder of debt securities;</w:t>
      </w:r>
    </w:p>
    <w:p>
      <w:pPr>
        <w:spacing w:after="0" w:line="101" w:lineRule="exact"/>
        <w:rPr>
          <w:rFonts w:ascii="Times New Roman" w:cs="Times New Roman" w:eastAsia="Times New Roman" w:hAnsi="Times New Roman"/>
          <w:sz w:val="13"/>
          <w:szCs w:val="13"/>
          <w:color w:val="auto"/>
        </w:rPr>
      </w:pPr>
    </w:p>
    <w:p>
      <w:pPr>
        <w:ind w:left="1120" w:right="939" w:hanging="315"/>
        <w:spacing w:after="0" w:line="296" w:lineRule="auto"/>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issuance of, and establish the form and terms and conditions of debt securities of, any series as permitted by the indenture;</w:t>
      </w:r>
    </w:p>
    <w:p>
      <w:pPr>
        <w:spacing w:after="0" w:line="43" w:lineRule="exact"/>
        <w:rPr>
          <w:rFonts w:ascii="Times New Roman" w:cs="Times New Roman" w:eastAsia="Times New Roman" w:hAnsi="Times New Roman"/>
          <w:sz w:val="13"/>
          <w:szCs w:val="13"/>
          <w:color w:val="auto"/>
        </w:rPr>
      </w:pPr>
    </w:p>
    <w:p>
      <w:pPr>
        <w:ind w:left="1120" w:right="979" w:hanging="315"/>
        <w:spacing w:after="0" w:line="296" w:lineRule="auto"/>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requirements of the SEC in order to effect or maintain the qualification of the indenture under the Trust Indenture Act.</w:t>
      </w:r>
    </w:p>
    <w:p>
      <w:pPr>
        <w:spacing w:after="0" w:line="172" w:lineRule="exact"/>
        <w:rPr>
          <w:sz w:val="20"/>
          <w:szCs w:val="20"/>
          <w:color w:val="auto"/>
        </w:rPr>
      </w:pPr>
    </w:p>
    <w:p>
      <w:pPr>
        <w:jc w:val="both"/>
        <w:ind w:left="400" w:right="659" w:firstLine="328"/>
        <w:spacing w:after="0" w:line="277" w:lineRule="auto"/>
        <w:rPr>
          <w:sz w:val="20"/>
          <w:szCs w:val="20"/>
          <w:color w:val="auto"/>
        </w:rPr>
      </w:pPr>
      <w:r>
        <w:rPr>
          <w:rFonts w:ascii="Times New Roman" w:cs="Times New Roman" w:eastAsia="Times New Roman" w:hAnsi="Times New Roman"/>
          <w:sz w:val="13"/>
          <w:szCs w:val="13"/>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55" w:lineRule="exact"/>
        <w:rPr>
          <w:sz w:val="20"/>
          <w:szCs w:val="20"/>
          <w:color w:val="auto"/>
        </w:rPr>
      </w:pPr>
    </w:p>
    <w:p>
      <w:pPr>
        <w:ind w:left="1120" w:hanging="315"/>
        <w:spacing w:after="0"/>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amount of debt securities whose holders must consent to an amendment, supplement or waiver;</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rate of or extend the time for payment of interest (including default interest) on any debt security;</w:t>
      </w:r>
    </w:p>
    <w:p>
      <w:pPr>
        <w:spacing w:after="0" w:line="101" w:lineRule="exact"/>
        <w:rPr>
          <w:rFonts w:ascii="Times New Roman" w:cs="Times New Roman" w:eastAsia="Times New Roman" w:hAnsi="Times New Roman"/>
          <w:sz w:val="13"/>
          <w:szCs w:val="13"/>
          <w:color w:val="auto"/>
        </w:rPr>
      </w:pPr>
    </w:p>
    <w:p>
      <w:pPr>
        <w:ind w:left="1120" w:right="679" w:hanging="315"/>
        <w:spacing w:after="0" w:line="296" w:lineRule="auto"/>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amount of discount securities payable upon acceleration of maturity;</w:t>
      </w:r>
    </w:p>
    <w:p>
      <w:pPr>
        <w:spacing w:after="0" w:line="101" w:lineRule="exact"/>
        <w:rPr>
          <w:rFonts w:ascii="Times New Roman" w:cs="Times New Roman" w:eastAsia="Times New Roman" w:hAnsi="Times New Roman"/>
          <w:sz w:val="13"/>
          <w:szCs w:val="13"/>
          <w:color w:val="auto"/>
        </w:rPr>
      </w:pPr>
    </w:p>
    <w:p>
      <w:pPr>
        <w:ind w:left="1120" w:right="499" w:hanging="315"/>
        <w:spacing w:after="0" w:line="277" w:lineRule="auto"/>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55"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the principal of or premium or interest on any debt security payable in currency other than that stated in the debt security;</w:t>
      </w:r>
    </w:p>
    <w:p>
      <w:pPr>
        <w:spacing w:after="0" w:line="101" w:lineRule="exact"/>
        <w:rPr>
          <w:rFonts w:ascii="Times New Roman" w:cs="Times New Roman" w:eastAsia="Times New Roman" w:hAnsi="Times New Roman"/>
          <w:sz w:val="13"/>
          <w:szCs w:val="13"/>
          <w:color w:val="auto"/>
        </w:rPr>
      </w:pPr>
    </w:p>
    <w:p>
      <w:pPr>
        <w:ind w:left="1120" w:right="419" w:hanging="315"/>
        <w:spacing w:after="0" w:line="277" w:lineRule="auto"/>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55"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redemption payment with respect to any debt security.</w:t>
      </w:r>
    </w:p>
    <w:p>
      <w:pPr>
        <w:spacing w:after="0" w:line="172" w:lineRule="exact"/>
        <w:rPr>
          <w:sz w:val="20"/>
          <w:szCs w:val="20"/>
          <w:color w:val="auto"/>
        </w:rPr>
      </w:pPr>
    </w:p>
    <w:p>
      <w:pPr>
        <w:ind w:left="400" w:right="439" w:firstLine="328"/>
        <w:spacing w:after="0" w:line="265" w:lineRule="auto"/>
        <w:rPr>
          <w:sz w:val="20"/>
          <w:szCs w:val="20"/>
          <w:color w:val="auto"/>
        </w:rPr>
      </w:pPr>
      <w:r>
        <w:rPr>
          <w:rFonts w:ascii="Times New Roman" w:cs="Times New Roman" w:eastAsia="Times New Roman" w:hAnsi="Times New Roman"/>
          <w:sz w:val="13"/>
          <w:szCs w:val="13"/>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7" w:right="1440" w:bottom="1440" w:gutter="0" w:footer="0" w:header="0"/>
        </w:sectPr>
      </w:pPr>
    </w:p>
    <w:bookmarkStart w:id="19" w:name="page20"/>
    <w:bookmarkEnd w:id="19"/>
    <w:p>
      <w:pPr>
        <w:ind w:left="400" w:right="4079"/>
        <w:spacing w:after="0" w:line="39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Defeasance of Debt Securities and Certain Covenants in Certain Circumstances </w:t>
      </w:r>
      <w:r>
        <w:rPr>
          <w:rFonts w:ascii="Times New Roman" w:cs="Times New Roman" w:eastAsia="Times New Roman" w:hAnsi="Times New Roman"/>
          <w:sz w:val="13"/>
          <w:szCs w:val="13"/>
          <w:b w:val="1"/>
          <w:bCs w:val="1"/>
          <w:i w:val="1"/>
          <w:iCs w:val="1"/>
          <w:color w:val="auto"/>
        </w:rPr>
        <w:t>Legal Defeasance</w:t>
      </w:r>
    </w:p>
    <w:p>
      <w:pPr>
        <w:spacing w:after="0" w:line="1" w:lineRule="exact"/>
        <w:rPr>
          <w:sz w:val="20"/>
          <w:szCs w:val="20"/>
          <w:color w:val="auto"/>
        </w:rPr>
      </w:pPr>
    </w:p>
    <w:p>
      <w:pPr>
        <w:ind w:left="400" w:right="439" w:firstLine="328"/>
        <w:spacing w:after="0" w:line="263" w:lineRule="auto"/>
        <w:rPr>
          <w:sz w:val="20"/>
          <w:szCs w:val="20"/>
          <w:color w:val="auto"/>
        </w:rPr>
      </w:pPr>
      <w:r>
        <w:rPr>
          <w:rFonts w:ascii="Times New Roman" w:cs="Times New Roman" w:eastAsia="Times New Roman" w:hAnsi="Times New Roman"/>
          <w:sz w:val="13"/>
          <w:szCs w:val="13"/>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United States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37" w:lineRule="exact"/>
        <w:rPr>
          <w:sz w:val="20"/>
          <w:szCs w:val="20"/>
          <w:color w:val="auto"/>
        </w:rPr>
      </w:pPr>
    </w:p>
    <w:p>
      <w:pPr>
        <w:ind w:left="400" w:right="519" w:firstLine="328"/>
        <w:spacing w:after="0" w:line="265" w:lineRule="auto"/>
        <w:rPr>
          <w:sz w:val="20"/>
          <w:szCs w:val="20"/>
          <w:color w:val="auto"/>
        </w:rPr>
      </w:pPr>
      <w:r>
        <w:rPr>
          <w:rFonts w:ascii="Times New Roman" w:cs="Times New Roman" w:eastAsia="Times New Roman" w:hAnsi="Times New Roman"/>
          <w:sz w:val="13"/>
          <w:szCs w:val="13"/>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Defeasance of Certain Covenants</w:t>
      </w:r>
    </w:p>
    <w:p>
      <w:pPr>
        <w:spacing w:after="0" w:line="96" w:lineRule="exact"/>
        <w:rPr>
          <w:sz w:val="20"/>
          <w:szCs w:val="20"/>
          <w:color w:val="auto"/>
        </w:rPr>
      </w:pPr>
    </w:p>
    <w:p>
      <w:pPr>
        <w:ind w:left="400" w:right="779" w:firstLine="328"/>
        <w:spacing w:after="0" w:line="296" w:lineRule="auto"/>
        <w:rPr>
          <w:sz w:val="20"/>
          <w:szCs w:val="20"/>
          <w:color w:val="auto"/>
        </w:rPr>
      </w:pPr>
      <w:r>
        <w:rPr>
          <w:rFonts w:ascii="Times New Roman" w:cs="Times New Roman" w:eastAsia="Times New Roman" w:hAnsi="Times New Roman"/>
          <w:sz w:val="13"/>
          <w:szCs w:val="13"/>
          <w:color w:val="auto"/>
        </w:rPr>
        <w:t>The indenture provides that, unless otherwise provided by the terms of the applicable series of debt securities, upon compliance with certain conditions:</w:t>
      </w:r>
    </w:p>
    <w:p>
      <w:pPr>
        <w:spacing w:after="0" w:line="43" w:lineRule="exact"/>
        <w:rPr>
          <w:sz w:val="20"/>
          <w:szCs w:val="20"/>
          <w:color w:val="auto"/>
        </w:rPr>
      </w:pPr>
    </w:p>
    <w:p>
      <w:pPr>
        <w:ind w:left="1120" w:right="579" w:hanging="315"/>
        <w:spacing w:after="0" w:line="289" w:lineRule="auto"/>
        <w:tabs>
          <w:tab w:leader="none" w:pos="11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212" w:lineRule="exact"/>
        <w:rPr>
          <w:rFonts w:ascii="Times New Roman" w:cs="Times New Roman" w:eastAsia="Times New Roman" w:hAnsi="Times New Roman"/>
          <w:sz w:val="13"/>
          <w:szCs w:val="13"/>
          <w:color w:val="auto"/>
        </w:rPr>
      </w:pPr>
    </w:p>
    <w:p>
      <w:pPr>
        <w:ind w:left="1120" w:right="479" w:hanging="315"/>
        <w:spacing w:after="0" w:line="296" w:lineRule="auto"/>
        <w:tabs>
          <w:tab w:leader="none" w:pos="11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omission to comply with those covenants will not constitute a Default or an Event of Default with respect to the debt securities of that series.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We refer to this as covenant defeasance. The conditions include:</w:t>
      </w:r>
    </w:p>
    <w:p>
      <w:pPr>
        <w:spacing w:after="0" w:line="102" w:lineRule="exact"/>
        <w:rPr>
          <w:sz w:val="20"/>
          <w:szCs w:val="20"/>
          <w:color w:val="auto"/>
        </w:rPr>
      </w:pPr>
    </w:p>
    <w:p>
      <w:pPr>
        <w:ind w:left="1120" w:right="419" w:hanging="315"/>
        <w:spacing w:after="0" w:line="265" w:lineRule="auto"/>
        <w:tabs>
          <w:tab w:leader="none" w:pos="11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depositing with the trustee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64" w:lineRule="exact"/>
        <w:rPr>
          <w:rFonts w:ascii="Times New Roman" w:cs="Times New Roman" w:eastAsia="Times New Roman" w:hAnsi="Times New Roman"/>
          <w:sz w:val="13"/>
          <w:szCs w:val="13"/>
          <w:color w:val="auto"/>
        </w:rPr>
      </w:pPr>
    </w:p>
    <w:p>
      <w:pPr>
        <w:ind w:left="1120" w:right="479" w:hanging="315"/>
        <w:spacing w:after="0" w:line="296" w:lineRule="auto"/>
        <w:tabs>
          <w:tab w:leader="none" w:pos="11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deposit will not result in a breach or violation of, or constitute a default under the indenture or any other agreement to which we are a party;</w:t>
      </w:r>
    </w:p>
    <w:p>
      <w:pPr>
        <w:spacing w:after="0" w:line="43" w:lineRule="exact"/>
        <w:rPr>
          <w:rFonts w:ascii="Times New Roman" w:cs="Times New Roman" w:eastAsia="Times New Roman" w:hAnsi="Times New Roman"/>
          <w:sz w:val="13"/>
          <w:szCs w:val="13"/>
          <w:color w:val="auto"/>
        </w:rPr>
      </w:pPr>
    </w:p>
    <w:p>
      <w:pPr>
        <w:ind w:left="1120" w:right="639" w:hanging="315"/>
        <w:spacing w:after="0" w:line="296" w:lineRule="auto"/>
        <w:tabs>
          <w:tab w:leader="none" w:pos="11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with respect to the applicable series of debt securities shall have occurred or is continuing on the date of such deposit; and</w:t>
      </w:r>
    </w:p>
    <w:p>
      <w:pPr>
        <w:spacing w:after="0" w:line="43" w:lineRule="exact"/>
        <w:rPr>
          <w:rFonts w:ascii="Times New Roman" w:cs="Times New Roman" w:eastAsia="Times New Roman" w:hAnsi="Times New Roman"/>
          <w:sz w:val="13"/>
          <w:szCs w:val="13"/>
          <w:color w:val="auto"/>
        </w:rPr>
      </w:pPr>
    </w:p>
    <w:p>
      <w:pPr>
        <w:ind w:left="1120" w:right="599" w:hanging="315"/>
        <w:spacing w:after="0" w:line="296" w:lineRule="auto"/>
        <w:tabs>
          <w:tab w:leader="none" w:pos="11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delivering to the trustee an opinion of counsel to the effect that we have received from, or there has been published by, the United States Internal Revenue Service a ruling or, since the date of execution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3" w:right="1440" w:bottom="1440" w:gutter="0" w:footer="0" w:header="0"/>
        </w:sectPr>
      </w:pPr>
    </w:p>
    <w:bookmarkStart w:id="20" w:name="page21"/>
    <w:bookmarkEnd w:id="20"/>
    <w:p>
      <w:pPr>
        <w:ind w:left="1140" w:right="4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No Personal Liability of Directors, Officers, Employees or Stockholders</w:t>
      </w:r>
    </w:p>
    <w:p>
      <w:pPr>
        <w:spacing w:after="0" w:line="96" w:lineRule="exact"/>
        <w:rPr>
          <w:sz w:val="20"/>
          <w:szCs w:val="20"/>
          <w:color w:val="auto"/>
        </w:rPr>
      </w:pPr>
    </w:p>
    <w:p>
      <w:pPr>
        <w:ind w:left="400" w:right="539" w:firstLine="328"/>
        <w:spacing w:after="0" w:line="267" w:lineRule="auto"/>
        <w:rPr>
          <w:sz w:val="20"/>
          <w:szCs w:val="20"/>
          <w:color w:val="auto"/>
        </w:rPr>
      </w:pPr>
      <w:r>
        <w:rPr>
          <w:rFonts w:ascii="Times New Roman" w:cs="Times New Roman" w:eastAsia="Times New Roman" w:hAnsi="Times New Roman"/>
          <w:sz w:val="13"/>
          <w:szCs w:val="13"/>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96" w:lineRule="exact"/>
        <w:rPr>
          <w:sz w:val="20"/>
          <w:szCs w:val="20"/>
          <w:color w:val="auto"/>
        </w:rPr>
      </w:pPr>
    </w:p>
    <w:p>
      <w:pPr>
        <w:ind w:left="400" w:right="839" w:firstLine="328"/>
        <w:spacing w:after="0" w:line="296" w:lineRule="auto"/>
        <w:rPr>
          <w:sz w:val="20"/>
          <w:szCs w:val="20"/>
          <w:color w:val="auto"/>
        </w:rPr>
      </w:pPr>
      <w:r>
        <w:rPr>
          <w:rFonts w:ascii="Times New Roman" w:cs="Times New Roman" w:eastAsia="Times New Roman" w:hAnsi="Times New Roman"/>
          <w:sz w:val="13"/>
          <w:szCs w:val="13"/>
          <w:color w:val="auto"/>
        </w:rPr>
        <w:t>The indenture and the debt securities, including any claim or controversy arising out of or relating to the indenture or the securities, will be governed by the laws of the State of New York.</w:t>
      </w:r>
    </w:p>
    <w:p>
      <w:pPr>
        <w:spacing w:after="0" w:line="114" w:lineRule="exact"/>
        <w:rPr>
          <w:sz w:val="20"/>
          <w:szCs w:val="20"/>
          <w:color w:val="auto"/>
        </w:rPr>
      </w:pPr>
    </w:p>
    <w:p>
      <w:pPr>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26" w:lineRule="exact"/>
        <w:rPr>
          <w:sz w:val="20"/>
          <w:szCs w:val="20"/>
          <w:color w:val="auto"/>
        </w:rPr>
      </w:pPr>
    </w:p>
    <w:p>
      <w:pPr>
        <w:ind w:left="400" w:right="459" w:firstLine="328"/>
        <w:spacing w:after="0" w:line="262" w:lineRule="auto"/>
        <w:rPr>
          <w:sz w:val="20"/>
          <w:szCs w:val="20"/>
          <w:color w:val="auto"/>
        </w:rPr>
      </w:pPr>
      <w:r>
        <w:rPr>
          <w:rFonts w:ascii="Times New Roman" w:cs="Times New Roman" w:eastAsia="Times New Roman" w:hAnsi="Times New Roman"/>
          <w:sz w:val="13"/>
          <w:szCs w:val="13"/>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7"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DESCRIPTION OF WARRANTS</w:t>
      </w:r>
    </w:p>
    <w:p>
      <w:pPr>
        <w:spacing w:after="0" w:line="176" w:lineRule="exact"/>
        <w:rPr>
          <w:sz w:val="20"/>
          <w:szCs w:val="20"/>
          <w:color w:val="auto"/>
        </w:rPr>
      </w:pPr>
    </w:p>
    <w:p>
      <w:pPr>
        <w:ind w:left="400" w:right="559" w:firstLine="328"/>
        <w:spacing w:after="0" w:line="267" w:lineRule="auto"/>
        <w:rPr>
          <w:sz w:val="20"/>
          <w:szCs w:val="20"/>
          <w:color w:val="auto"/>
        </w:rPr>
      </w:pPr>
      <w:r>
        <w:rPr>
          <w:rFonts w:ascii="Times New Roman" w:cs="Times New Roman" w:eastAsia="Times New Roman" w:hAnsi="Times New Roman"/>
          <w:sz w:val="13"/>
          <w:szCs w:val="13"/>
          <w:color w:val="auto"/>
        </w:rPr>
        <w:t>We may offer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63" w:lineRule="exact"/>
        <w:rPr>
          <w:sz w:val="20"/>
          <w:szCs w:val="20"/>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specific designation and aggregate number of, and the offering price at which we will issue, the warrants;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currency units in which the offering price, if any, and the exercise price are payable;</w:t>
      </w:r>
    </w:p>
    <w:p>
      <w:pPr>
        <w:spacing w:after="0" w:line="101" w:lineRule="exact"/>
        <w:rPr>
          <w:rFonts w:ascii="Times New Roman" w:cs="Times New Roman" w:eastAsia="Times New Roman" w:hAnsi="Times New Roman"/>
          <w:sz w:val="13"/>
          <w:szCs w:val="13"/>
          <w:color w:val="auto"/>
        </w:rPr>
      </w:pPr>
    </w:p>
    <w:p>
      <w:pPr>
        <w:ind w:left="1120" w:right="519" w:hanging="315"/>
        <w:spacing w:after="0" w:line="296" w:lineRule="auto"/>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warrants are to be sold separately or with other securities as parts of units;</w:t>
      </w:r>
    </w:p>
    <w:p>
      <w:pPr>
        <w:spacing w:after="0" w:line="101" w:lineRule="exact"/>
        <w:rPr>
          <w:rFonts w:ascii="Times New Roman" w:cs="Times New Roman" w:eastAsia="Times New Roman" w:hAnsi="Times New Roman"/>
          <w:sz w:val="13"/>
          <w:szCs w:val="13"/>
          <w:color w:val="auto"/>
        </w:rPr>
      </w:pPr>
    </w:p>
    <w:p>
      <w:pPr>
        <w:ind w:left="1120" w:right="539" w:hanging="315"/>
        <w:spacing w:after="0" w:line="296" w:lineRule="auto"/>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material U.S. federal income tax consequences;</w:t>
      </w:r>
    </w:p>
    <w:p>
      <w:pPr>
        <w:spacing w:after="0" w:line="101" w:lineRule="exact"/>
        <w:rPr>
          <w:rFonts w:ascii="Times New Roman" w:cs="Times New Roman" w:eastAsia="Times New Roman" w:hAnsi="Times New Roman"/>
          <w:sz w:val="13"/>
          <w:szCs w:val="13"/>
          <w:color w:val="auto"/>
        </w:rPr>
      </w:pPr>
    </w:p>
    <w:p>
      <w:pPr>
        <w:ind w:left="1120" w:right="639" w:hanging="315"/>
        <w:spacing w:after="0" w:line="296" w:lineRule="auto"/>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identity of the warrant agent for the warrants and of any other depositaries, execution or paying agents, transfer agents, registrars or other agents;</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listing, if any, of the warrants or any securities purchasable upon exercise of the warrants on any securities exchange;</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and terms of any equity securities purchasable upon exercise of the warrants;</w:t>
      </w:r>
    </w:p>
    <w:p>
      <w:pPr>
        <w:spacing w:after="0" w:line="101" w:lineRule="exact"/>
        <w:rPr>
          <w:rFonts w:ascii="Times New Roman" w:cs="Times New Roman" w:eastAsia="Times New Roman" w:hAnsi="Times New Roman"/>
          <w:sz w:val="13"/>
          <w:szCs w:val="13"/>
          <w:color w:val="auto"/>
        </w:rPr>
      </w:pPr>
    </w:p>
    <w:p>
      <w:pPr>
        <w:ind w:left="1120" w:right="919" w:hanging="315"/>
        <w:spacing w:after="0" w:line="296" w:lineRule="auto"/>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aggregate principal amount, currency and terms of any debt securities that may be purchased upon exercise of the warrants;</w:t>
      </w:r>
    </w:p>
    <w:p>
      <w:pPr>
        <w:spacing w:after="0" w:line="43" w:lineRule="exact"/>
        <w:rPr>
          <w:rFonts w:ascii="Times New Roman" w:cs="Times New Roman" w:eastAsia="Times New Roman" w:hAnsi="Times New Roman"/>
          <w:sz w:val="13"/>
          <w:szCs w:val="13"/>
          <w:color w:val="auto"/>
        </w:rPr>
      </w:pPr>
    </w:p>
    <w:p>
      <w:pPr>
        <w:ind w:left="1120" w:right="499" w:hanging="315"/>
        <w:spacing w:after="0" w:line="296" w:lineRule="auto"/>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designation and terms of the debt securities, preferred stock or common stock with which the warrants are issued and the number of warrants issued with each security;</w:t>
      </w:r>
    </w:p>
    <w:p>
      <w:pPr>
        <w:spacing w:after="0" w:line="43" w:lineRule="exact"/>
        <w:rPr>
          <w:rFonts w:ascii="Times New Roman" w:cs="Times New Roman" w:eastAsia="Times New Roman" w:hAnsi="Times New Roman"/>
          <w:sz w:val="13"/>
          <w:szCs w:val="13"/>
          <w:color w:val="auto"/>
        </w:rPr>
      </w:pPr>
    </w:p>
    <w:p>
      <w:pPr>
        <w:ind w:left="1120" w:right="479" w:hanging="315"/>
        <w:spacing w:after="0" w:line="296" w:lineRule="auto"/>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date from and after which any warrants issued as part of a unit and the related debt securities, preferred stock or common stock will be separately transferable;</w:t>
      </w:r>
    </w:p>
    <w:p>
      <w:pPr>
        <w:spacing w:after="0" w:line="43" w:lineRule="exact"/>
        <w:rPr>
          <w:rFonts w:ascii="Times New Roman" w:cs="Times New Roman" w:eastAsia="Times New Roman" w:hAnsi="Times New Roman"/>
          <w:sz w:val="13"/>
          <w:szCs w:val="13"/>
          <w:color w:val="auto"/>
        </w:rPr>
      </w:pPr>
    </w:p>
    <w:p>
      <w:pPr>
        <w:ind w:left="1120" w:right="539" w:hanging="315"/>
        <w:spacing w:after="0" w:line="296" w:lineRule="auto"/>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preferred stock or the number of shares of common stock purchasable upon exercise of a warrant and the price at which those shares may be purchased;</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minimum or maximum amount of the warrants that may be exercised at any one time;</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with respect to book-entry procedures, if any;</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antidilution provisions, and other provisions for changes to or adjustment in the exercise price, of the warrants, if any;</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redemption or call provisions; and</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additional terms of the warrants, including terms, procedures and limitations relating to the exchange or exercise of the warrants.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3"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DESCRIPTION OF SUBSCRIPTION RIGHTS</w:t>
      </w:r>
    </w:p>
    <w:p>
      <w:pPr>
        <w:spacing w:after="0" w:line="176" w:lineRule="exact"/>
        <w:rPr>
          <w:sz w:val="20"/>
          <w:szCs w:val="20"/>
          <w:color w:val="auto"/>
        </w:rPr>
      </w:pPr>
    </w:p>
    <w:p>
      <w:pPr>
        <w:ind w:left="400" w:right="439" w:firstLine="328"/>
        <w:spacing w:after="0" w:line="267" w:lineRule="auto"/>
        <w:rPr>
          <w:sz w:val="20"/>
          <w:szCs w:val="20"/>
          <w:color w:val="auto"/>
        </w:rPr>
      </w:pPr>
      <w:r>
        <w:rPr>
          <w:rFonts w:ascii="Times New Roman" w:cs="Times New Roman" w:eastAsia="Times New Roman" w:hAnsi="Times New Roman"/>
          <w:sz w:val="13"/>
          <w:szCs w:val="13"/>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33" w:lineRule="exact"/>
        <w:rPr>
          <w:sz w:val="20"/>
          <w:szCs w:val="20"/>
          <w:color w:val="auto"/>
        </w:rPr>
      </w:pPr>
    </w:p>
    <w:p>
      <w:pPr>
        <w:ind w:left="400" w:right="539" w:firstLine="328"/>
        <w:spacing w:after="0" w:line="296" w:lineRule="auto"/>
        <w:rPr>
          <w:sz w:val="20"/>
          <w:szCs w:val="20"/>
          <w:color w:val="auto"/>
        </w:rPr>
      </w:pPr>
      <w:r>
        <w:rPr>
          <w:rFonts w:ascii="Times New Roman" w:cs="Times New Roman" w:eastAsia="Times New Roman" w:hAnsi="Times New Roman"/>
          <w:sz w:val="13"/>
          <w:szCs w:val="13"/>
          <w:color w:val="auto"/>
        </w:rPr>
        <w:t>The prospectus supplement relating to any subscription rights we offer, if any, will, to the extent applicable, include specific terms relating to the offering, including some or all of the following:</w:t>
      </w:r>
    </w:p>
    <w:p>
      <w:pPr>
        <w:spacing w:after="0" w:line="43" w:lineRule="exact"/>
        <w:rPr>
          <w:sz w:val="20"/>
          <w:szCs w:val="20"/>
          <w:color w:val="auto"/>
        </w:rPr>
      </w:pPr>
    </w:p>
    <w:p>
      <w:pPr>
        <w:ind w:left="1120" w:hanging="315"/>
        <w:spacing w:after="0"/>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if any, for the subscription rights;</w:t>
      </w:r>
    </w:p>
    <w:p>
      <w:pPr>
        <w:spacing w:after="0" w:line="101" w:lineRule="exact"/>
        <w:rPr>
          <w:rFonts w:ascii="Times New Roman" w:cs="Times New Roman" w:eastAsia="Times New Roman" w:hAnsi="Times New Roman"/>
          <w:sz w:val="13"/>
          <w:szCs w:val="13"/>
          <w:color w:val="auto"/>
        </w:rPr>
      </w:pPr>
    </w:p>
    <w:p>
      <w:pPr>
        <w:ind w:left="1120" w:right="799" w:hanging="315"/>
        <w:spacing w:after="0" w:line="296" w:lineRule="auto"/>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exercise price payable for our common stock, preferred stock, debt securities, warrants or units consisting of some or all of these securities upon the exercise of the subscription rights;</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subscription rights to be issued to each stockholder;</w:t>
      </w:r>
    </w:p>
    <w:p>
      <w:pPr>
        <w:spacing w:after="0" w:line="101" w:lineRule="exact"/>
        <w:rPr>
          <w:rFonts w:ascii="Times New Roman" w:cs="Times New Roman" w:eastAsia="Times New Roman" w:hAnsi="Times New Roman"/>
          <w:sz w:val="13"/>
          <w:szCs w:val="13"/>
          <w:color w:val="auto"/>
        </w:rPr>
      </w:pPr>
    </w:p>
    <w:p>
      <w:pPr>
        <w:ind w:left="1120" w:right="539" w:hanging="315"/>
        <w:spacing w:after="0" w:line="296" w:lineRule="auto"/>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and terms of our common stock, preferred stock, debt securities, warrants or units consisting of some or all of these securities which may be purchased per each subscription right;</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the subscription rights are transferable;</w:t>
      </w:r>
    </w:p>
    <w:p>
      <w:pPr>
        <w:spacing w:after="0" w:line="101" w:lineRule="exact"/>
        <w:rPr>
          <w:rFonts w:ascii="Times New Roman" w:cs="Times New Roman" w:eastAsia="Times New Roman" w:hAnsi="Times New Roman"/>
          <w:sz w:val="13"/>
          <w:szCs w:val="13"/>
          <w:color w:val="auto"/>
        </w:rPr>
      </w:pPr>
    </w:p>
    <w:p>
      <w:pPr>
        <w:ind w:left="1120" w:right="739" w:hanging="315"/>
        <w:spacing w:after="0" w:line="296" w:lineRule="auto"/>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subscription rights, including the terms, procedures and limitations relating to the exchange and exercise of the subscription rights;</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the subscription rights shall commence, and the date on which the subscription rights shall expire;</w:t>
      </w:r>
    </w:p>
    <w:p>
      <w:pPr>
        <w:spacing w:after="0" w:line="101" w:lineRule="exact"/>
        <w:rPr>
          <w:rFonts w:ascii="Times New Roman" w:cs="Times New Roman" w:eastAsia="Times New Roman" w:hAnsi="Times New Roman"/>
          <w:sz w:val="13"/>
          <w:szCs w:val="13"/>
          <w:color w:val="auto"/>
        </w:rPr>
      </w:pPr>
    </w:p>
    <w:p>
      <w:pPr>
        <w:ind w:left="1120" w:right="599" w:hanging="315"/>
        <w:spacing w:after="0" w:line="296" w:lineRule="auto"/>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the subscription rights may include an over-subscription privilege with respect to unsubscribed securities or an over-allotment privilege to the extent the securities are fully subscribed; and</w:t>
      </w:r>
    </w:p>
    <w:p>
      <w:pPr>
        <w:spacing w:after="0" w:line="43" w:lineRule="exact"/>
        <w:rPr>
          <w:rFonts w:ascii="Times New Roman" w:cs="Times New Roman" w:eastAsia="Times New Roman" w:hAnsi="Times New Roman"/>
          <w:sz w:val="13"/>
          <w:szCs w:val="13"/>
          <w:color w:val="auto"/>
        </w:rPr>
      </w:pPr>
    </w:p>
    <w:p>
      <w:pPr>
        <w:ind w:left="1120" w:right="479" w:hanging="315"/>
        <w:spacing w:after="0" w:line="296" w:lineRule="auto"/>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material terms of any standby underwriting or purchase arrangement which may be entered into by us in connection with the offering of subscription rights.</w:t>
      </w:r>
    </w:p>
    <w:p>
      <w:pPr>
        <w:spacing w:after="0" w:line="114" w:lineRule="exact"/>
        <w:rPr>
          <w:sz w:val="20"/>
          <w:szCs w:val="20"/>
          <w:color w:val="auto"/>
        </w:rPr>
      </w:pPr>
    </w:p>
    <w:p>
      <w:pPr>
        <w:ind w:left="400" w:right="459" w:firstLine="328"/>
        <w:spacing w:after="0" w:line="265" w:lineRule="auto"/>
        <w:rPr>
          <w:sz w:val="20"/>
          <w:szCs w:val="20"/>
          <w:color w:val="auto"/>
        </w:rPr>
      </w:pPr>
      <w:r>
        <w:rPr>
          <w:rFonts w:ascii="Times New Roman" w:cs="Times New Roman" w:eastAsia="Times New Roman" w:hAnsi="Times New Roman"/>
          <w:sz w:val="13"/>
          <w:szCs w:val="13"/>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titled “</w:t>
      </w:r>
      <w:r>
        <w:rPr>
          <w:rFonts w:ascii="Times New Roman" w:cs="Times New Roman" w:eastAsia="Times New Roman" w:hAnsi="Times New Roman"/>
          <w:sz w:val="13"/>
          <w:szCs w:val="13"/>
          <w:i w:val="1"/>
          <w:iCs w:val="1"/>
          <w:color w:val="auto"/>
        </w:rPr>
        <w:t>Where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You Can Find More Information</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3"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DESCRIPTION OF PURCHASE CONTRACTS</w:t>
      </w:r>
    </w:p>
    <w:p>
      <w:pPr>
        <w:spacing w:after="0" w:line="176" w:lineRule="exact"/>
        <w:rPr>
          <w:sz w:val="20"/>
          <w:szCs w:val="20"/>
          <w:color w:val="auto"/>
        </w:rPr>
      </w:pPr>
    </w:p>
    <w:p>
      <w:pPr>
        <w:ind w:left="400" w:right="479" w:firstLine="328"/>
        <w:spacing w:after="0" w:line="265" w:lineRule="auto"/>
        <w:rPr>
          <w:sz w:val="20"/>
          <w:szCs w:val="20"/>
          <w:color w:val="auto"/>
        </w:rPr>
      </w:pPr>
      <w:r>
        <w:rPr>
          <w:rFonts w:ascii="Times New Roman" w:cs="Times New Roman" w:eastAsia="Times New Roman" w:hAnsi="Times New Roman"/>
          <w:sz w:val="13"/>
          <w:szCs w:val="13"/>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296" w:lineRule="exact"/>
        <w:rPr>
          <w:sz w:val="20"/>
          <w:szCs w:val="20"/>
          <w:color w:val="auto"/>
        </w:rPr>
      </w:pPr>
    </w:p>
    <w:p>
      <w:pPr>
        <w:ind w:left="400" w:right="459" w:firstLine="328"/>
        <w:spacing w:after="0" w:line="265" w:lineRule="auto"/>
        <w:rPr>
          <w:sz w:val="20"/>
          <w:szCs w:val="20"/>
          <w:color w:val="auto"/>
        </w:rPr>
      </w:pPr>
      <w:r>
        <w:rPr>
          <w:rFonts w:ascii="Times New Roman" w:cs="Times New Roman" w:eastAsia="Times New Roman" w:hAnsi="Times New Roman"/>
          <w:sz w:val="13"/>
          <w:szCs w:val="13"/>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35" w:lineRule="exact"/>
        <w:rPr>
          <w:sz w:val="20"/>
          <w:szCs w:val="20"/>
          <w:color w:val="auto"/>
        </w:rPr>
      </w:pPr>
    </w:p>
    <w:p>
      <w:pPr>
        <w:ind w:left="400" w:right="459" w:firstLine="328"/>
        <w:spacing w:after="0" w:line="277" w:lineRule="auto"/>
        <w:rPr>
          <w:sz w:val="20"/>
          <w:szCs w:val="20"/>
          <w:color w:val="auto"/>
        </w:rPr>
      </w:pPr>
      <w:r>
        <w:rPr>
          <w:rFonts w:ascii="Times New Roman" w:cs="Times New Roman" w:eastAsia="Times New Roman" w:hAnsi="Times New Roman"/>
          <w:sz w:val="13"/>
          <w:szCs w:val="13"/>
          <w:color w:val="auto"/>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26" w:lineRule="exact"/>
        <w:rPr>
          <w:sz w:val="20"/>
          <w:szCs w:val="20"/>
          <w:color w:val="auto"/>
        </w:rPr>
      </w:pPr>
    </w:p>
    <w:p>
      <w:pPr>
        <w:ind w:left="400" w:right="659" w:firstLine="328"/>
        <w:spacing w:after="0" w:line="296" w:lineRule="auto"/>
        <w:rPr>
          <w:sz w:val="20"/>
          <w:szCs w:val="20"/>
          <w:color w:val="auto"/>
        </w:rPr>
      </w:pPr>
      <w:r>
        <w:rPr>
          <w:rFonts w:ascii="Times New Roman" w:cs="Times New Roman" w:eastAsia="Times New Roman" w:hAnsi="Times New Roman"/>
          <w:sz w:val="13"/>
          <w:szCs w:val="13"/>
          <w:color w:val="auto"/>
        </w:rPr>
        <w:t>If we offer any purchase contracts, certain terms of that series of purchase contracts will be described in the applicable prospectus supplement, including, without limitation, the following:</w:t>
      </w:r>
    </w:p>
    <w:p>
      <w:pPr>
        <w:spacing w:after="0" w:line="43" w:lineRule="exact"/>
        <w:rPr>
          <w:sz w:val="20"/>
          <w:szCs w:val="20"/>
          <w:color w:val="auto"/>
        </w:rPr>
      </w:pPr>
    </w:p>
    <w:p>
      <w:pPr>
        <w:ind w:left="1120" w:right="519" w:hanging="315"/>
        <w:spacing w:after="0" w:line="296" w:lineRule="auto"/>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of the securities or other property subject to the purchase contracts (which may be determined by reference to a specific formula described in the purchase contracts);</w:t>
      </w:r>
    </w:p>
    <w:p>
      <w:pPr>
        <w:spacing w:after="0" w:line="43" w:lineRule="exact"/>
        <w:rPr>
          <w:rFonts w:ascii="Times New Roman" w:cs="Times New Roman" w:eastAsia="Times New Roman" w:hAnsi="Times New Roman"/>
          <w:sz w:val="13"/>
          <w:szCs w:val="13"/>
          <w:color w:val="auto"/>
        </w:rPr>
      </w:pPr>
    </w:p>
    <w:p>
      <w:pPr>
        <w:ind w:left="1120" w:right="679" w:hanging="315"/>
        <w:spacing w:after="0" w:line="296" w:lineRule="auto"/>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requirement for us to make periodic payments to holders or vice versa, and whether the payments are unsecured or pre-funded;</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relating to any security provided for the purchase contracts;</w:t>
      </w:r>
    </w:p>
    <w:p>
      <w:pPr>
        <w:spacing w:after="0" w:line="101" w:lineRule="exact"/>
        <w:rPr>
          <w:rFonts w:ascii="Times New Roman" w:cs="Times New Roman" w:eastAsia="Times New Roman" w:hAnsi="Times New Roman"/>
          <w:sz w:val="13"/>
          <w:szCs w:val="13"/>
          <w:color w:val="auto"/>
        </w:rPr>
      </w:pPr>
    </w:p>
    <w:p>
      <w:pPr>
        <w:ind w:left="1120" w:right="659" w:hanging="315"/>
        <w:spacing w:after="0" w:line="296" w:lineRule="auto"/>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purchase contracts are to be prepaid or not;</w:t>
      </w:r>
    </w:p>
    <w:p>
      <w:pPr>
        <w:spacing w:after="0" w:line="101" w:lineRule="exact"/>
        <w:rPr>
          <w:rFonts w:ascii="Times New Roman" w:cs="Times New Roman" w:eastAsia="Times New Roman" w:hAnsi="Times New Roman"/>
          <w:sz w:val="13"/>
          <w:szCs w:val="13"/>
          <w:color w:val="auto"/>
        </w:rPr>
      </w:pPr>
    </w:p>
    <w:p>
      <w:pPr>
        <w:ind w:left="1120" w:right="559" w:hanging="315"/>
        <w:spacing w:after="0" w:line="296" w:lineRule="auto"/>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purchase contracts are to be settled by delivery, or by reference or linkage to the value, performance or level of the securities subject to purchase under the purchase contract;</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acceleration, cancellation, termination or other provisions relating to the settlement of the purchase contracts;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discussion of certain U.S. federal income tax considerations applicable to the purchase contracts;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purchase contracts will be issued in fully registered or global form; and</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purchase contracts and any securities subject to such purchase contracts.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3"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DESCRIPTION OF UNITS</w:t>
      </w:r>
    </w:p>
    <w:p>
      <w:pPr>
        <w:spacing w:after="0" w:line="176" w:lineRule="exact"/>
        <w:rPr>
          <w:sz w:val="20"/>
          <w:szCs w:val="20"/>
          <w:color w:val="auto"/>
        </w:rPr>
      </w:pPr>
    </w:p>
    <w:p>
      <w:pPr>
        <w:ind w:left="400" w:right="539" w:firstLine="328"/>
        <w:spacing w:after="0" w:line="270" w:lineRule="auto"/>
        <w:rPr>
          <w:sz w:val="20"/>
          <w:szCs w:val="20"/>
          <w:color w:val="auto"/>
        </w:rPr>
      </w:pPr>
      <w:r>
        <w:rPr>
          <w:rFonts w:ascii="Times New Roman" w:cs="Times New Roman" w:eastAsia="Times New Roman" w:hAnsi="Times New Roman"/>
          <w:sz w:val="13"/>
          <w:szCs w:val="13"/>
          <w:color w:val="auto"/>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31" w:lineRule="exact"/>
        <w:rPr>
          <w:sz w:val="20"/>
          <w:szCs w:val="20"/>
          <w:color w:val="auto"/>
        </w:rPr>
      </w:pPr>
    </w:p>
    <w:p>
      <w:pPr>
        <w:ind w:left="400" w:right="459" w:firstLine="328"/>
        <w:spacing w:after="0" w:line="265" w:lineRule="auto"/>
        <w:rPr>
          <w:sz w:val="20"/>
          <w:szCs w:val="20"/>
          <w:color w:val="auto"/>
        </w:rPr>
      </w:pPr>
      <w:r>
        <w:rPr>
          <w:rFonts w:ascii="Times New Roman" w:cs="Times New Roman" w:eastAsia="Times New Roman" w:hAnsi="Times New Roman"/>
          <w:sz w:val="13"/>
          <w:szCs w:val="13"/>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3"/>
          <w:szCs w:val="13"/>
          <w:i w:val="1"/>
          <w:iCs w:val="1"/>
          <w:color w:val="auto"/>
        </w:rPr>
        <w:t>Where You Can Find More Information</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400" w:right="419" w:firstLine="328"/>
        <w:spacing w:after="0" w:line="296" w:lineRule="auto"/>
        <w:rPr>
          <w:sz w:val="20"/>
          <w:szCs w:val="20"/>
          <w:color w:val="auto"/>
        </w:rPr>
      </w:pPr>
      <w:r>
        <w:rPr>
          <w:rFonts w:ascii="Times New Roman" w:cs="Times New Roman" w:eastAsia="Times New Roman" w:hAnsi="Times New Roman"/>
          <w:sz w:val="13"/>
          <w:szCs w:val="13"/>
          <w:color w:val="auto"/>
        </w:rPr>
        <w:t>The prospectus supplement relating to any particular issuance of units will describe the terms of those units, including, to the extent applicable, the following:</w:t>
      </w:r>
    </w:p>
    <w:p>
      <w:pPr>
        <w:spacing w:after="0" w:line="43" w:lineRule="exact"/>
        <w:rPr>
          <w:sz w:val="20"/>
          <w:szCs w:val="20"/>
          <w:color w:val="auto"/>
        </w:rPr>
      </w:pPr>
    </w:p>
    <w:p>
      <w:pPr>
        <w:ind w:left="1120" w:right="779" w:hanging="315"/>
        <w:spacing w:after="0" w:line="296" w:lineRule="auto"/>
        <w:tabs>
          <w:tab w:leader="none" w:pos="1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and terms of the units and the securities comprising the units, including whether and under what circumstances those securities may be held or transferred separately;</w:t>
      </w:r>
    </w:p>
    <w:p>
      <w:pPr>
        <w:spacing w:after="0" w:line="43"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 for the issuance, payment, settlement, transfer or exchange of the units or of the securities comprising the units; and</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units will be issued in fully registered or global form.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3"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PLAN OF DISTRIBUTION</w:t>
      </w:r>
    </w:p>
    <w:p>
      <w:pPr>
        <w:spacing w:after="0" w:line="176" w:lineRule="exact"/>
        <w:rPr>
          <w:sz w:val="20"/>
          <w:szCs w:val="20"/>
          <w:color w:val="auto"/>
        </w:rPr>
      </w:pPr>
    </w:p>
    <w:p>
      <w:pPr>
        <w:ind w:left="400" w:right="499" w:firstLine="328"/>
        <w:spacing w:after="0" w:line="267" w:lineRule="auto"/>
        <w:rPr>
          <w:sz w:val="20"/>
          <w:szCs w:val="20"/>
          <w:color w:val="auto"/>
        </w:rPr>
      </w:pPr>
      <w:r>
        <w:rPr>
          <w:rFonts w:ascii="Times New Roman" w:cs="Times New Roman" w:eastAsia="Times New Roman" w:hAnsi="Times New Roman"/>
          <w:sz w:val="13"/>
          <w:szCs w:val="13"/>
          <w:color w:val="auto"/>
        </w:rPr>
        <w:t>We may sell our securities from time to time in one or more transactions. We may sell securities to or through underwriters, dealers, agents, remarketing firms or other third parties to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w:t>
      </w:r>
    </w:p>
    <w:p>
      <w:pPr>
        <w:spacing w:after="0" w:line="133" w:lineRule="exact"/>
        <w:rPr>
          <w:sz w:val="20"/>
          <w:szCs w:val="20"/>
          <w:color w:val="auto"/>
        </w:rPr>
      </w:pPr>
    </w:p>
    <w:p>
      <w:pPr>
        <w:ind w:left="400" w:right="519" w:firstLine="328"/>
        <w:spacing w:after="0" w:line="267" w:lineRule="auto"/>
        <w:rPr>
          <w:sz w:val="20"/>
          <w:szCs w:val="20"/>
          <w:color w:val="auto"/>
        </w:rPr>
      </w:pPr>
      <w:r>
        <w:rPr>
          <w:rFonts w:ascii="Times New Roman" w:cs="Times New Roman" w:eastAsia="Times New Roman" w:hAnsi="Times New Roman"/>
          <w:sz w:val="13"/>
          <w:szCs w:val="13"/>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We may engage in at the market offerings into an existing trading market in accordance with Rule 415(a)(4) of the Securities Act.</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The distribution of the securities may be effected from time to time in one or more transactions:</w:t>
      </w:r>
    </w:p>
    <w:p>
      <w:pPr>
        <w:spacing w:after="0" w:line="102" w:lineRule="exact"/>
        <w:rPr>
          <w:sz w:val="20"/>
          <w:szCs w:val="20"/>
          <w:color w:val="auto"/>
        </w:rPr>
      </w:pPr>
    </w:p>
    <w:p>
      <w:pPr>
        <w:ind w:left="1120" w:hanging="315"/>
        <w:spacing w:after="0"/>
        <w:tabs>
          <w:tab w:leader="none" w:pos="1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fixed price or prices that may be changed from time to time;</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market prices prevailing at the time of sale;</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prices related to such prevailing market prices; or</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negotiated prices.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Each prospectus supplement will describe the method of distribution of the securities and any applicable restrictions.</w:t>
      </w:r>
    </w:p>
    <w:p>
      <w:pPr>
        <w:spacing w:after="0" w:line="172" w:lineRule="exact"/>
        <w:rPr>
          <w:sz w:val="20"/>
          <w:szCs w:val="20"/>
          <w:color w:val="auto"/>
        </w:rPr>
      </w:pPr>
    </w:p>
    <w:p>
      <w:pPr>
        <w:ind w:left="400" w:right="439" w:firstLine="328"/>
        <w:spacing w:after="0" w:line="296" w:lineRule="auto"/>
        <w:rPr>
          <w:sz w:val="20"/>
          <w:szCs w:val="20"/>
          <w:color w:val="auto"/>
        </w:rPr>
      </w:pPr>
      <w:r>
        <w:rPr>
          <w:rFonts w:ascii="Times New Roman" w:cs="Times New Roman" w:eastAsia="Times New Roman" w:hAnsi="Times New Roman"/>
          <w:sz w:val="13"/>
          <w:szCs w:val="13"/>
          <w:color w:val="auto"/>
        </w:rPr>
        <w:t>The prospectus supplement with respect to the securities of a particular series will describe the terms of the offering of the securities, including the following:</w:t>
      </w:r>
    </w:p>
    <w:p>
      <w:pPr>
        <w:spacing w:after="0" w:line="43" w:lineRule="exact"/>
        <w:rPr>
          <w:sz w:val="20"/>
          <w:szCs w:val="20"/>
          <w:color w:val="auto"/>
        </w:rPr>
      </w:pPr>
    </w:p>
    <w:p>
      <w:pPr>
        <w:ind w:left="1120" w:hanging="315"/>
        <w:spacing w:after="0"/>
        <w:tabs>
          <w:tab w:leader="none" w:pos="11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agent or any underwriters;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public offering or purchase price;</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discounts and commissions to be allowed or paid to the agent or underwriters;</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items constituting underwriting compensation;</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discounts and commissions to be allowed or paid to dealers; and</w:t>
      </w:r>
    </w:p>
    <w:p>
      <w:pPr>
        <w:spacing w:after="0" w:line="101" w:lineRule="exact"/>
        <w:rPr>
          <w:rFonts w:ascii="Times New Roman" w:cs="Times New Roman" w:eastAsia="Times New Roman" w:hAnsi="Times New Roman"/>
          <w:sz w:val="13"/>
          <w:szCs w:val="13"/>
          <w:color w:val="auto"/>
        </w:rPr>
      </w:pPr>
    </w:p>
    <w:p>
      <w:pPr>
        <w:ind w:left="1120" w:hanging="315"/>
        <w:spacing w:after="0"/>
        <w:tabs>
          <w:tab w:leader="none" w:pos="11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exchanges on which the securities will be listed.</w:t>
      </w:r>
    </w:p>
    <w:p>
      <w:pPr>
        <w:spacing w:after="0" w:line="172" w:lineRule="exact"/>
        <w:rPr>
          <w:sz w:val="20"/>
          <w:szCs w:val="20"/>
          <w:color w:val="auto"/>
        </w:rPr>
      </w:pPr>
    </w:p>
    <w:p>
      <w:pPr>
        <w:ind w:left="400" w:right="679" w:firstLine="328"/>
        <w:spacing w:after="0" w:line="277" w:lineRule="auto"/>
        <w:rPr>
          <w:sz w:val="20"/>
          <w:szCs w:val="20"/>
          <w:color w:val="auto"/>
        </w:rPr>
      </w:pPr>
      <w:r>
        <w:rPr>
          <w:rFonts w:ascii="Times New Roman" w:cs="Times New Roman" w:eastAsia="Times New Roman" w:hAnsi="Times New Roman"/>
          <w:sz w:val="13"/>
          <w:szCs w:val="13"/>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26" w:lineRule="exact"/>
        <w:rPr>
          <w:sz w:val="20"/>
          <w:szCs w:val="20"/>
          <w:color w:val="auto"/>
        </w:rPr>
      </w:pPr>
    </w:p>
    <w:p>
      <w:pPr>
        <w:ind w:left="400" w:right="839" w:firstLine="328"/>
        <w:spacing w:after="0" w:line="296" w:lineRule="auto"/>
        <w:rPr>
          <w:sz w:val="20"/>
          <w:szCs w:val="20"/>
          <w:color w:val="auto"/>
        </w:rPr>
      </w:pPr>
      <w:r>
        <w:rPr>
          <w:rFonts w:ascii="Times New Roman" w:cs="Times New Roman" w:eastAsia="Times New Roman" w:hAnsi="Times New Roman"/>
          <w:sz w:val="13"/>
          <w:szCs w:val="13"/>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3" w:right="1440" w:bottom="1440" w:gutter="0" w:footer="0" w:header="0"/>
        </w:sectPr>
      </w:pPr>
    </w:p>
    <w:bookmarkStart w:id="26" w:name="page27"/>
    <w:bookmarkEnd w:id="26"/>
    <w:p>
      <w:pPr>
        <w:ind w:left="400" w:right="459" w:firstLine="328"/>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26" w:lineRule="exact"/>
        <w:rPr>
          <w:sz w:val="20"/>
          <w:szCs w:val="20"/>
          <w:color w:val="auto"/>
        </w:rPr>
      </w:pPr>
    </w:p>
    <w:p>
      <w:pPr>
        <w:ind w:left="400" w:right="419" w:firstLine="328"/>
        <w:spacing w:after="0" w:line="296" w:lineRule="auto"/>
        <w:rPr>
          <w:sz w:val="20"/>
          <w:szCs w:val="20"/>
          <w:color w:val="auto"/>
        </w:rPr>
      </w:pPr>
      <w:r>
        <w:rPr>
          <w:rFonts w:ascii="Times New Roman" w:cs="Times New Roman" w:eastAsia="Times New Roman" w:hAnsi="Times New Roman"/>
          <w:sz w:val="13"/>
          <w:szCs w:val="13"/>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14" w:lineRule="exact"/>
        <w:rPr>
          <w:sz w:val="20"/>
          <w:szCs w:val="20"/>
          <w:color w:val="auto"/>
        </w:rPr>
      </w:pPr>
    </w:p>
    <w:p>
      <w:pPr>
        <w:ind w:left="400" w:right="599" w:firstLine="328"/>
        <w:spacing w:after="0" w:line="265" w:lineRule="auto"/>
        <w:rPr>
          <w:sz w:val="20"/>
          <w:szCs w:val="20"/>
          <w:color w:val="auto"/>
        </w:rPr>
      </w:pPr>
      <w:r>
        <w:rPr>
          <w:rFonts w:ascii="Times New Roman" w:cs="Times New Roman" w:eastAsia="Times New Roman" w:hAnsi="Times New Roman"/>
          <w:sz w:val="13"/>
          <w:szCs w:val="13"/>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5" w:lineRule="exact"/>
        <w:rPr>
          <w:sz w:val="20"/>
          <w:szCs w:val="20"/>
          <w:color w:val="auto"/>
        </w:rPr>
      </w:pPr>
    </w:p>
    <w:p>
      <w:pPr>
        <w:ind w:left="1120" w:right="519" w:hanging="315"/>
        <w:spacing w:after="0" w:line="296" w:lineRule="auto"/>
        <w:tabs>
          <w:tab w:leader="none" w:pos="11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by an institution of the securities covered under that contract shall not at the time of delivery be prohibited under the laws of the jurisdiction to which that institution is subject; and</w:t>
      </w:r>
    </w:p>
    <w:p>
      <w:pPr>
        <w:spacing w:after="0" w:line="43" w:lineRule="exact"/>
        <w:rPr>
          <w:rFonts w:ascii="Times New Roman" w:cs="Times New Roman" w:eastAsia="Times New Roman" w:hAnsi="Times New Roman"/>
          <w:sz w:val="13"/>
          <w:szCs w:val="13"/>
          <w:color w:val="auto"/>
        </w:rPr>
      </w:pPr>
    </w:p>
    <w:p>
      <w:pPr>
        <w:ind w:left="1120" w:right="579" w:hanging="315"/>
        <w:spacing w:after="0" w:line="296" w:lineRule="auto"/>
        <w:tabs>
          <w:tab w:leader="none" w:pos="11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securities are also being sold to underwriters acting as principals for their own account, the underwriters shall have purchased such securities not sold for delayed delivery.</w:t>
      </w:r>
    </w:p>
    <w:p>
      <w:pPr>
        <w:spacing w:after="0" w:line="114" w:lineRule="exact"/>
        <w:rPr>
          <w:sz w:val="20"/>
          <w:szCs w:val="20"/>
          <w:color w:val="auto"/>
        </w:rPr>
      </w:pPr>
    </w:p>
    <w:p>
      <w:pPr>
        <w:ind w:left="400" w:right="519" w:firstLine="328"/>
        <w:spacing w:after="0" w:line="296" w:lineRule="auto"/>
        <w:rPr>
          <w:sz w:val="20"/>
          <w:szCs w:val="20"/>
          <w:color w:val="auto"/>
        </w:rPr>
      </w:pPr>
      <w:r>
        <w:rPr>
          <w:rFonts w:ascii="Times New Roman" w:cs="Times New Roman" w:eastAsia="Times New Roman" w:hAnsi="Times New Roman"/>
          <w:sz w:val="13"/>
          <w:szCs w:val="13"/>
          <w:color w:val="auto"/>
        </w:rPr>
        <w:t>The underwriters and other persons acting as agents will not have any responsibility in respect of the validity or performance of delayed delivery contracts.</w:t>
      </w:r>
    </w:p>
    <w:p>
      <w:pPr>
        <w:spacing w:after="0" w:line="114" w:lineRule="exact"/>
        <w:rPr>
          <w:sz w:val="20"/>
          <w:szCs w:val="20"/>
          <w:color w:val="auto"/>
        </w:rPr>
      </w:pPr>
    </w:p>
    <w:p>
      <w:pPr>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26" w:lineRule="exact"/>
        <w:rPr>
          <w:sz w:val="20"/>
          <w:szCs w:val="20"/>
          <w:color w:val="auto"/>
        </w:rPr>
      </w:pPr>
    </w:p>
    <w:p>
      <w:pPr>
        <w:ind w:left="400" w:right="419" w:firstLine="328"/>
        <w:spacing w:after="0" w:line="263"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7" w:lineRule="exact"/>
        <w:rPr>
          <w:sz w:val="20"/>
          <w:szCs w:val="20"/>
          <w:color w:val="auto"/>
        </w:rPr>
      </w:pPr>
    </w:p>
    <w:p>
      <w:pPr>
        <w:ind w:left="400" w:right="419" w:firstLine="328"/>
        <w:spacing w:after="0" w:line="266" w:lineRule="auto"/>
        <w:rPr>
          <w:sz w:val="20"/>
          <w:szCs w:val="20"/>
          <w:color w:val="auto"/>
        </w:rPr>
      </w:pPr>
      <w:r>
        <w:rPr>
          <w:rFonts w:ascii="Times New Roman" w:cs="Times New Roman" w:eastAsia="Times New Roman" w:hAnsi="Times New Roman"/>
          <w:sz w:val="13"/>
          <w:szCs w:val="13"/>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297" w:lineRule="exact"/>
        <w:rPr>
          <w:sz w:val="20"/>
          <w:szCs w:val="20"/>
          <w:color w:val="auto"/>
        </w:rPr>
      </w:pPr>
    </w:p>
    <w:p>
      <w:pPr>
        <w:ind w:left="400" w:right="519" w:firstLine="328"/>
        <w:spacing w:after="0" w:line="296" w:lineRule="auto"/>
        <w:rPr>
          <w:sz w:val="20"/>
          <w:szCs w:val="20"/>
          <w:color w:val="auto"/>
        </w:rPr>
      </w:pPr>
      <w:r>
        <w:rPr>
          <w:rFonts w:ascii="Times New Roman" w:cs="Times New Roman" w:eastAsia="Times New Roman" w:hAnsi="Times New Roman"/>
          <w:sz w:val="13"/>
          <w:szCs w:val="13"/>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7"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LEGAL MATTERS</w:t>
      </w:r>
    </w:p>
    <w:p>
      <w:pPr>
        <w:spacing w:after="0" w:line="176" w:lineRule="exact"/>
        <w:rPr>
          <w:sz w:val="20"/>
          <w:szCs w:val="20"/>
          <w:color w:val="auto"/>
        </w:rPr>
      </w:pPr>
    </w:p>
    <w:p>
      <w:pPr>
        <w:jc w:val="both"/>
        <w:ind w:left="400" w:right="679" w:firstLine="328"/>
        <w:spacing w:after="0" w:line="277" w:lineRule="auto"/>
        <w:rPr>
          <w:sz w:val="20"/>
          <w:szCs w:val="20"/>
          <w:color w:val="auto"/>
        </w:rPr>
      </w:pPr>
      <w:r>
        <w:rPr>
          <w:rFonts w:ascii="Times New Roman" w:cs="Times New Roman" w:eastAsia="Times New Roman" w:hAnsi="Times New Roman"/>
          <w:sz w:val="13"/>
          <w:szCs w:val="13"/>
          <w:color w:val="auto"/>
        </w:rPr>
        <w:t>The validity of the securities offered hereby will be passed upon for us by Wilson Sonsini Goodrich &amp; Rosati, Professional Corporation, New York, New York. Additional legal matters may be passed on for us, or any underwriters, dealers or agents by counsel we will name in the applicable prospectus supplement.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6" w:lineRule="exact"/>
        <w:rPr>
          <w:sz w:val="20"/>
          <w:szCs w:val="20"/>
          <w:color w:val="auto"/>
        </w:rPr>
      </w:pPr>
    </w:p>
    <w:p>
      <w:pPr>
        <w:ind w:left="400" w:right="499" w:firstLine="328"/>
        <w:spacing w:after="0" w:line="277" w:lineRule="auto"/>
        <w:rPr>
          <w:sz w:val="20"/>
          <w:szCs w:val="20"/>
          <w:color w:val="auto"/>
        </w:rPr>
      </w:pPr>
      <w:r>
        <w:rPr>
          <w:rFonts w:ascii="Times New Roman" w:cs="Times New Roman" w:eastAsia="Times New Roman" w:hAnsi="Times New Roman"/>
          <w:sz w:val="13"/>
          <w:szCs w:val="13"/>
          <w:color w:val="auto"/>
        </w:rPr>
        <w:t>The financial statements of Lexeo Therapeutics, Inc. as of December 31, 2025 and 2024, and for the years then ended, have been incorporated by reference herein in reliance upon the report of KPMG LLP, independent registered public accounting firm, incorporated by reference herein, and upon the authority of said firm as experts in accounting and auditing.</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76" w:lineRule="exact"/>
        <w:rPr>
          <w:sz w:val="20"/>
          <w:szCs w:val="20"/>
          <w:color w:val="auto"/>
        </w:rPr>
      </w:pPr>
    </w:p>
    <w:p>
      <w:pPr>
        <w:ind w:left="400" w:right="539" w:firstLine="328"/>
        <w:spacing w:after="0" w:line="265" w:lineRule="auto"/>
        <w:rPr>
          <w:sz w:val="20"/>
          <w:szCs w:val="20"/>
          <w:color w:val="auto"/>
        </w:rPr>
      </w:pPr>
      <w:r>
        <w:rPr>
          <w:rFonts w:ascii="Times New Roman" w:cs="Times New Roman" w:eastAsia="Times New Roman" w:hAnsi="Times New Roman"/>
          <w:sz w:val="13"/>
          <w:szCs w:val="13"/>
          <w:color w:val="auto"/>
        </w:rPr>
        <w:t>We file annual, quarterly and current reports, proxy statements and other information with the SEC. The SEC maintains an Internet website at www.sec.gov that contains reports, proxy and information statements and other information about issuers, like us, that file electronically with the SEC. We also maintain a website at www.lexeotx.com. We make available, free of charge, on our investor relations website at ir.lexeotx.com,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 this prospectus and the inclusion of our website and investor relations website addresses in this prospectus is an inactive textual reference only.</w:t>
      </w:r>
    </w:p>
    <w:p>
      <w:pPr>
        <w:spacing w:after="0" w:line="296" w:lineRule="exact"/>
        <w:rPr>
          <w:sz w:val="20"/>
          <w:szCs w:val="20"/>
          <w:color w:val="auto"/>
        </w:rPr>
      </w:pPr>
    </w:p>
    <w:p>
      <w:pPr>
        <w:ind w:left="400" w:right="519" w:firstLine="328"/>
        <w:spacing w:after="0" w:line="265" w:lineRule="auto"/>
        <w:rPr>
          <w:sz w:val="20"/>
          <w:szCs w:val="20"/>
          <w:color w:val="auto"/>
        </w:rPr>
      </w:pPr>
      <w:r>
        <w:rPr>
          <w:rFonts w:ascii="Times New Roman" w:cs="Times New Roman" w:eastAsia="Times New Roman" w:hAnsi="Times New Roman"/>
          <w:sz w:val="13"/>
          <w:szCs w:val="13"/>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3"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INCORPORATION BY REFERENCE</w:t>
      </w:r>
    </w:p>
    <w:p>
      <w:pPr>
        <w:spacing w:after="0" w:line="176" w:lineRule="exact"/>
        <w:rPr>
          <w:sz w:val="20"/>
          <w:szCs w:val="20"/>
          <w:color w:val="auto"/>
        </w:rPr>
      </w:pPr>
    </w:p>
    <w:p>
      <w:pPr>
        <w:ind w:left="400" w:right="439" w:firstLine="328"/>
        <w:spacing w:after="0" w:line="270" w:lineRule="auto"/>
        <w:rPr>
          <w:sz w:val="20"/>
          <w:szCs w:val="20"/>
          <w:color w:val="auto"/>
        </w:rPr>
      </w:pPr>
      <w:r>
        <w:rPr>
          <w:rFonts w:ascii="Times New Roman" w:cs="Times New Roman" w:eastAsia="Times New Roman" w:hAnsi="Times New Roman"/>
          <w:sz w:val="13"/>
          <w:szCs w:val="13"/>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We incorporate by reference into this prospectus and the registration statement of which this prospectus is a part the information or documents listed below that we have filed with the SEC (File No. 001-41855):</w:t>
      </w:r>
    </w:p>
    <w:p>
      <w:pPr>
        <w:spacing w:after="0" w:line="61" w:lineRule="exact"/>
        <w:rPr>
          <w:sz w:val="20"/>
          <w:szCs w:val="20"/>
          <w:color w:val="auto"/>
        </w:rPr>
      </w:pPr>
    </w:p>
    <w:p>
      <w:pPr>
        <w:ind w:left="1120" w:hanging="315"/>
        <w:spacing w:after="0"/>
        <w:tabs>
          <w:tab w:leader="none" w:pos="11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w:t>
      </w:r>
      <w:hyperlink r:id="rId51">
        <w:r>
          <w:rPr>
            <w:rFonts w:ascii="Times New Roman" w:cs="Times New Roman" w:eastAsia="Times New Roman" w:hAnsi="Times New Roman"/>
            <w:sz w:val="13"/>
            <w:szCs w:val="13"/>
            <w:u w:val="single" w:color="auto"/>
            <w:color w:val="0000EE"/>
          </w:rPr>
          <w:t>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December 31, 2025, filed with the SEC on March 30, 2026;</w:t>
      </w:r>
    </w:p>
    <w:p>
      <w:pPr>
        <w:spacing w:after="0" w:line="101" w:lineRule="exact"/>
        <w:rPr>
          <w:rFonts w:ascii="Times New Roman" w:cs="Times New Roman" w:eastAsia="Times New Roman" w:hAnsi="Times New Roman"/>
          <w:sz w:val="13"/>
          <w:szCs w:val="13"/>
          <w:color w:val="auto"/>
        </w:rPr>
      </w:pPr>
    </w:p>
    <w:p>
      <w:pPr>
        <w:ind w:left="1120" w:right="459" w:hanging="315"/>
        <w:spacing w:after="0" w:line="296" w:lineRule="auto"/>
        <w:tabs>
          <w:tab w:leader="none" w:pos="11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definitive Proxy Statement on </w:t>
      </w:r>
      <w:hyperlink r:id="rId52">
        <w:r>
          <w:rPr>
            <w:rFonts w:ascii="Times New Roman" w:cs="Times New Roman" w:eastAsia="Times New Roman" w:hAnsi="Times New Roman"/>
            <w:sz w:val="13"/>
            <w:szCs w:val="13"/>
            <w:u w:val="single" w:color="auto"/>
            <w:color w:val="0000EE"/>
          </w:rPr>
          <w:t>Schedule 14A</w:t>
        </w:r>
      </w:hyperlink>
      <w:r>
        <w:rPr>
          <w:rFonts w:ascii="Times New Roman" w:cs="Times New Roman" w:eastAsia="Times New Roman" w:hAnsi="Times New Roman"/>
          <w:sz w:val="13"/>
          <w:szCs w:val="13"/>
          <w:color w:val="auto"/>
        </w:rPr>
        <w:t>, filed with the SEC on April 30, 2026 (excluding those portions that are not incorporated by reference into our Annual Report on Form 10-K for the fiscal year ended December 31, 2025);</w:t>
      </w:r>
    </w:p>
    <w:p>
      <w:pPr>
        <w:spacing w:after="0" w:line="43" w:lineRule="exact"/>
        <w:rPr>
          <w:rFonts w:ascii="Times New Roman" w:cs="Times New Roman" w:eastAsia="Times New Roman" w:hAnsi="Times New Roman"/>
          <w:sz w:val="13"/>
          <w:szCs w:val="13"/>
          <w:color w:val="auto"/>
        </w:rPr>
      </w:pPr>
    </w:p>
    <w:p>
      <w:pPr>
        <w:ind w:left="1120" w:right="559" w:hanging="315"/>
        <w:spacing w:after="0" w:line="296" w:lineRule="auto"/>
        <w:tabs>
          <w:tab w:leader="none" w:pos="1120" w:val="left"/>
        </w:tabs>
        <w:numPr>
          <w:ilvl w:val="0"/>
          <w:numId w:val="23"/>
        </w:numPr>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our Quarterly Reports on Form 10-Q for the quarters ended March 31, 2026 and June 30, 2026, filed with the SEC on </w:t>
      </w:r>
      <w:hyperlink r:id="rId53">
        <w:r>
          <w:rPr>
            <w:rFonts w:ascii="Times New Roman" w:cs="Times New Roman" w:eastAsia="Times New Roman" w:hAnsi="Times New Roman"/>
            <w:sz w:val="13"/>
            <w:szCs w:val="13"/>
            <w:u w:val="single" w:color="auto"/>
            <w:color w:val="0000EE"/>
          </w:rPr>
          <w:t>May 11,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and </w:t>
      </w:r>
      <w:hyperlink r:id="rId54">
        <w:r>
          <w:rPr>
            <w:rFonts w:ascii="Times New Roman" w:cs="Times New Roman" w:eastAsia="Times New Roman" w:hAnsi="Times New Roman"/>
            <w:sz w:val="13"/>
            <w:szCs w:val="13"/>
            <w:u w:val="single" w:color="auto"/>
            <w:color w:val="0000EE"/>
          </w:rPr>
          <w:t>August 12, 2026</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respectively</w:t>
      </w:r>
    </w:p>
    <w:p>
      <w:pPr>
        <w:spacing w:after="0" w:line="43" w:lineRule="exact"/>
        <w:rPr>
          <w:rFonts w:ascii="Times New Roman" w:cs="Times New Roman" w:eastAsia="Times New Roman" w:hAnsi="Times New Roman"/>
          <w:sz w:val="13"/>
          <w:szCs w:val="13"/>
          <w:color w:val="0000EE"/>
        </w:rPr>
      </w:pPr>
    </w:p>
    <w:p>
      <w:pPr>
        <w:ind w:left="1120" w:right="519" w:hanging="315"/>
        <w:spacing w:after="0" w:line="277" w:lineRule="auto"/>
        <w:tabs>
          <w:tab w:leader="none" w:pos="1120" w:val="left"/>
        </w:tabs>
        <w:numPr>
          <w:ilvl w:val="0"/>
          <w:numId w:val="23"/>
        </w:numPr>
        <w:rPr>
          <w:rFonts w:ascii="Times New Roman" w:cs="Times New Roman" w:eastAsia="Times New Roman" w:hAnsi="Times New Roman"/>
          <w:sz w:val="13"/>
          <w:szCs w:val="13"/>
          <w:color w:val="0000EE"/>
        </w:rPr>
      </w:pPr>
      <w:hyperlink r:id="rId55">
        <w:r>
          <w:rPr>
            <w:rFonts w:ascii="Times New Roman" w:cs="Times New Roman" w:eastAsia="Times New Roman" w:hAnsi="Times New Roman"/>
            <w:sz w:val="13"/>
            <w:szCs w:val="13"/>
            <w:color w:val="auto"/>
          </w:rPr>
          <w:t xml:space="preserve">our Current Reports on Form 8-K filed with the SEC on </w:t>
        </w:r>
        <w:r>
          <w:rPr>
            <w:rFonts w:ascii="Times New Roman" w:cs="Times New Roman" w:eastAsia="Times New Roman" w:hAnsi="Times New Roman"/>
            <w:sz w:val="13"/>
            <w:szCs w:val="13"/>
            <w:u w:val="single" w:color="auto"/>
            <w:color w:val="0000EE"/>
          </w:rPr>
          <w:t>January 12,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January 27,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February 5,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30,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April</w:t>
        </w:r>
      </w:hyperlink>
      <w:r>
        <w:rPr>
          <w:rFonts w:ascii="Times New Roman" w:cs="Times New Roman" w:eastAsia="Times New Roman" w:hAnsi="Times New Roman"/>
          <w:sz w:val="13"/>
          <w:szCs w:val="13"/>
          <w:color w:val="auto"/>
        </w:rPr>
        <w:t xml:space="preserve"> </w:t>
      </w:r>
      <w:hyperlink r:id="rId55">
        <w:r>
          <w:rPr>
            <w:rFonts w:ascii="Times New Roman" w:cs="Times New Roman" w:eastAsia="Times New Roman" w:hAnsi="Times New Roman"/>
            <w:sz w:val="13"/>
            <w:szCs w:val="13"/>
            <w:u w:val="single" w:color="auto"/>
            <w:color w:val="0000EE"/>
          </w:rPr>
          <w:t>30, 2026</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56">
        <w:r>
          <w:rPr>
            <w:rFonts w:ascii="Times New Roman" w:cs="Times New Roman" w:eastAsia="Times New Roman" w:hAnsi="Times New Roman"/>
            <w:sz w:val="13"/>
            <w:szCs w:val="13"/>
            <w:u w:val="single" w:color="auto"/>
            <w:color w:val="0000EE"/>
          </w:rPr>
          <w:t>May 11, 2026</w:t>
        </w:r>
      </w:hyperlink>
      <w:hyperlink r:id="rId55">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57">
        <w:r>
          <w:rPr>
            <w:rFonts w:ascii="Times New Roman" w:cs="Times New Roman" w:eastAsia="Times New Roman" w:hAnsi="Times New Roman"/>
            <w:sz w:val="13"/>
            <w:szCs w:val="13"/>
            <w:u w:val="single" w:color="auto"/>
            <w:color w:val="0000EE"/>
          </w:rPr>
          <w:t>June 15, 2026</w:t>
        </w:r>
      </w:hyperlink>
      <w:hyperlink r:id="rId55">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58">
        <w:r>
          <w:rPr>
            <w:rFonts w:ascii="Times New Roman" w:cs="Times New Roman" w:eastAsia="Times New Roman" w:hAnsi="Times New Roman"/>
            <w:sz w:val="13"/>
            <w:szCs w:val="13"/>
            <w:u w:val="single" w:color="auto"/>
            <w:color w:val="0000EE"/>
          </w:rPr>
          <w:t>June 29, 2026</w:t>
        </w:r>
      </w:hyperlink>
      <w:hyperlink r:id="rId55">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59">
        <w:r>
          <w:rPr>
            <w:rFonts w:ascii="Times New Roman" w:cs="Times New Roman" w:eastAsia="Times New Roman" w:hAnsi="Times New Roman"/>
            <w:sz w:val="13"/>
            <w:szCs w:val="13"/>
            <w:u w:val="single" w:color="auto"/>
            <w:color w:val="0000EE"/>
          </w:rPr>
          <w:t>August 12, 2026</w:t>
        </w:r>
      </w:hyperlink>
      <w:hyperlink r:id="rId55">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60">
        <w:r>
          <w:rPr>
            <w:rFonts w:ascii="Times New Roman" w:cs="Times New Roman" w:eastAsia="Times New Roman" w:hAnsi="Times New Roman"/>
            <w:sz w:val="13"/>
            <w:szCs w:val="13"/>
            <w:u w:val="single" w:color="auto"/>
            <w:color w:val="0000EE"/>
          </w:rPr>
          <w:t xml:space="preserve">September 22, 2026 </w:t>
        </w:r>
      </w:hyperlink>
      <w:hyperlink r:id="rId55">
        <w:r>
          <w:rPr>
            <w:rFonts w:ascii="Times New Roman" w:cs="Times New Roman" w:eastAsia="Times New Roman" w:hAnsi="Times New Roman"/>
            <w:sz w:val="13"/>
            <w:szCs w:val="13"/>
            <w:color w:val="000000"/>
          </w:rPr>
          <w:t>and</w:t>
        </w:r>
        <w:r>
          <w:rPr>
            <w:rFonts w:ascii="Times New Roman" w:cs="Times New Roman" w:eastAsia="Times New Roman" w:hAnsi="Times New Roman"/>
            <w:sz w:val="13"/>
            <w:szCs w:val="13"/>
            <w:color w:val="0000EE"/>
          </w:rPr>
          <w:t xml:space="preserve"> </w:t>
        </w:r>
      </w:hyperlink>
      <w:hyperlink r:id="rId61">
        <w:r>
          <w:rPr>
            <w:rFonts w:ascii="Times New Roman" w:cs="Times New Roman" w:eastAsia="Times New Roman" w:hAnsi="Times New Roman"/>
            <w:sz w:val="13"/>
            <w:szCs w:val="13"/>
            <w:u w:val="single" w:color="auto"/>
            <w:color w:val="0000EE"/>
          </w:rPr>
          <w:t xml:space="preserve">September 29, 2026 </w:t>
        </w:r>
      </w:hyperlink>
      <w:hyperlink r:id="rId55">
        <w:r>
          <w:rPr>
            <w:rFonts w:ascii="Times New Roman" w:cs="Times New Roman" w:eastAsia="Times New Roman" w:hAnsi="Times New Roman"/>
            <w:sz w:val="13"/>
            <w:szCs w:val="13"/>
            <w:color w:val="000000"/>
          </w:rPr>
          <w:t xml:space="preserve">(in each case </w:t>
        </w:r>
      </w:hyperlink>
      <w:r>
        <w:rPr>
          <w:rFonts w:ascii="Times New Roman" w:cs="Times New Roman" w:eastAsia="Times New Roman" w:hAnsi="Times New Roman"/>
          <w:sz w:val="13"/>
          <w:szCs w:val="13"/>
          <w:color w:val="0000EE"/>
        </w:rPr>
        <w:t xml:space="preserve">to </w:t>
      </w:r>
      <w:r>
        <w:rPr>
          <w:rFonts w:ascii="Times New Roman" w:cs="Times New Roman" w:eastAsia="Times New Roman" w:hAnsi="Times New Roman"/>
          <w:sz w:val="13"/>
          <w:szCs w:val="13"/>
          <w:color w:val="000000"/>
        </w:rPr>
        <w:t>the extent the information included in such reports is filed and not furnished); and</w:t>
      </w:r>
    </w:p>
    <w:p>
      <w:pPr>
        <w:spacing w:after="0" w:line="55" w:lineRule="exact"/>
        <w:rPr>
          <w:rFonts w:ascii="Times New Roman" w:cs="Times New Roman" w:eastAsia="Times New Roman" w:hAnsi="Times New Roman"/>
          <w:sz w:val="13"/>
          <w:szCs w:val="13"/>
          <w:color w:val="0000EE"/>
        </w:rPr>
      </w:pPr>
    </w:p>
    <w:p>
      <w:pPr>
        <w:ind w:left="1120" w:right="699" w:hanging="315"/>
        <w:spacing w:after="0" w:line="277" w:lineRule="auto"/>
        <w:tabs>
          <w:tab w:leader="none" w:pos="11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common stock contained in the Registration Statement on </w:t>
      </w:r>
      <w:hyperlink r:id="rId62">
        <w:r>
          <w:rPr>
            <w:rFonts w:ascii="Times New Roman" w:cs="Times New Roman" w:eastAsia="Times New Roman" w:hAnsi="Times New Roman"/>
            <w:sz w:val="13"/>
            <w:szCs w:val="13"/>
            <w:u w:val="single" w:color="auto"/>
            <w:color w:val="0000EE"/>
          </w:rPr>
          <w:t>Form 8-A</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relating thereto, filed with the SEC on November 1, 2023, including any amendment or report filed for the purpose of updating such description, including </w:t>
      </w:r>
      <w:hyperlink r:id="rId63">
        <w:r>
          <w:rPr>
            <w:rFonts w:ascii="Times New Roman" w:cs="Times New Roman" w:eastAsia="Times New Roman" w:hAnsi="Times New Roman"/>
            <w:sz w:val="13"/>
            <w:szCs w:val="13"/>
            <w:u w:val="single" w:color="auto"/>
            <w:color w:val="0000EE"/>
          </w:rPr>
          <w:t>Exhibit 4.6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of our Annual Report on Form 10-K for the year ended December 31, 2025.</w:t>
      </w:r>
    </w:p>
    <w:p>
      <w:pPr>
        <w:spacing w:after="0" w:line="126" w:lineRule="exact"/>
        <w:rPr>
          <w:rFonts w:ascii="Times New Roman" w:cs="Times New Roman" w:eastAsia="Times New Roman" w:hAnsi="Times New Roman"/>
          <w:sz w:val="13"/>
          <w:szCs w:val="13"/>
          <w:color w:val="auto"/>
        </w:rPr>
      </w:pPr>
    </w:p>
    <w:p>
      <w:pPr>
        <w:ind w:left="400" w:right="419"/>
        <w:spacing w:after="0" w:line="265" w:lineRule="auto"/>
        <w:rPr>
          <w:sz w:val="20"/>
          <w:szCs w:val="20"/>
          <w:color w:val="auto"/>
        </w:rPr>
      </w:pPr>
      <w:r>
        <w:rPr>
          <w:rFonts w:ascii="Times New Roman" w:cs="Times New Roman" w:eastAsia="Times New Roman" w:hAnsi="Times New Roman"/>
          <w:sz w:val="13"/>
          <w:szCs w:val="13"/>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35" w:lineRule="exact"/>
        <w:rPr>
          <w:rFonts w:ascii="Times New Roman" w:cs="Times New Roman" w:eastAsia="Times New Roman" w:hAnsi="Times New Roman"/>
          <w:sz w:val="13"/>
          <w:szCs w:val="13"/>
          <w:color w:val="auto"/>
        </w:rPr>
      </w:pPr>
    </w:p>
    <w:p>
      <w:pPr>
        <w:ind w:left="400" w:right="439"/>
        <w:spacing w:after="0" w:line="296" w:lineRule="auto"/>
        <w:rPr>
          <w:sz w:val="20"/>
          <w:szCs w:val="20"/>
          <w:color w:val="auto"/>
        </w:rPr>
      </w:pPr>
      <w:r>
        <w:rPr>
          <w:rFonts w:ascii="Times New Roman" w:cs="Times New Roman" w:eastAsia="Times New Roman" w:hAnsi="Times New Roman"/>
          <w:sz w:val="13"/>
          <w:szCs w:val="13"/>
          <w:color w:val="auto"/>
        </w:rPr>
        <w:t>Notwithstanding the statements in the preceding paragraphs, no document, report or exhibit (or portion of any of the foregoing) or any other information that we have “furnished” to the SEC pursuant to the Exchange Act shall be incorporated by reference in this prospectus.</w:t>
      </w:r>
    </w:p>
    <w:p>
      <w:pPr>
        <w:spacing w:after="0" w:line="114" w:lineRule="exact"/>
        <w:rPr>
          <w:rFonts w:ascii="Times New Roman" w:cs="Times New Roman" w:eastAsia="Times New Roman" w:hAnsi="Times New Roman"/>
          <w:sz w:val="13"/>
          <w:szCs w:val="13"/>
          <w:color w:val="auto"/>
        </w:rPr>
      </w:pPr>
    </w:p>
    <w:p>
      <w:pPr>
        <w:ind w:left="400" w:right="579"/>
        <w:spacing w:after="0" w:line="277" w:lineRule="auto"/>
        <w:rPr>
          <w:sz w:val="20"/>
          <w:szCs w:val="20"/>
          <w:color w:val="auto"/>
        </w:rPr>
      </w:pPr>
      <w:r>
        <w:rPr>
          <w:rFonts w:ascii="Times New Roman" w:cs="Times New Roman" w:eastAsia="Times New Roman" w:hAnsi="Times New Roman"/>
          <w:sz w:val="13"/>
          <w:szCs w:val="13"/>
          <w:color w:val="auto"/>
        </w:rPr>
        <w:t>We will furnish without charge to you, on written or oral request, a copy of any or all of the documents incorporated by reference in this prospectus, including exhibits to these documents. You should direct any requests for documents to Lexeo Therapeutics, Inc., Attn: Corporate Secretary, 345 Park Avenue South, Floor 6, New York, New York 10010; telephone: (212)-547-9879.</w:t>
      </w:r>
    </w:p>
    <w:p>
      <w:pPr>
        <w:spacing w:after="0" w:line="124" w:lineRule="exact"/>
        <w:rPr>
          <w:rFonts w:ascii="Times New Roman" w:cs="Times New Roman" w:eastAsia="Times New Roman" w:hAnsi="Times New Roman"/>
          <w:sz w:val="13"/>
          <w:szCs w:val="13"/>
          <w:color w:val="auto"/>
        </w:rPr>
      </w:pPr>
    </w:p>
    <w:p>
      <w:pPr>
        <w:ind w:left="400" w:right="479"/>
        <w:spacing w:after="0" w:line="272" w:lineRule="auto"/>
        <w:rPr>
          <w:sz w:val="20"/>
          <w:szCs w:val="20"/>
          <w:color w:val="auto"/>
        </w:rPr>
      </w:pPr>
      <w:r>
        <w:rPr>
          <w:rFonts w:ascii="Times New Roman" w:cs="Times New Roman" w:eastAsia="Times New Roman" w:hAnsi="Times New Roman"/>
          <w:sz w:val="13"/>
          <w:szCs w:val="13"/>
          <w:color w:val="auto"/>
        </w:rPr>
        <w:t xml:space="preserve">You also may access these filings on our website at </w:t>
      </w:r>
      <w:r>
        <w:rPr>
          <w:rFonts w:ascii="Times New Roman" w:cs="Times New Roman" w:eastAsia="Times New Roman" w:hAnsi="Times New Roman"/>
          <w:sz w:val="13"/>
          <w:szCs w:val="13"/>
          <w:i w:val="1"/>
          <w:iCs w:val="1"/>
          <w:color w:val="auto"/>
        </w:rPr>
        <w:t>ir.lexeotx.com</w:t>
      </w:r>
      <w:r>
        <w:rPr>
          <w:rFonts w:ascii="Times New Roman" w:cs="Times New Roman" w:eastAsia="Times New Roman" w:hAnsi="Times New Roman"/>
          <w:sz w:val="13"/>
          <w:szCs w:val="13"/>
          <w:color w:val="auto"/>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28" w:lineRule="exact"/>
        <w:rPr>
          <w:rFonts w:ascii="Times New Roman" w:cs="Times New Roman" w:eastAsia="Times New Roman" w:hAnsi="Times New Roman"/>
          <w:sz w:val="13"/>
          <w:szCs w:val="13"/>
          <w:color w:val="auto"/>
        </w:rPr>
      </w:pPr>
    </w:p>
    <w:p>
      <w:pPr>
        <w:ind w:left="400" w:right="479"/>
        <w:spacing w:after="0" w:line="296" w:lineRule="auto"/>
        <w:rPr>
          <w:sz w:val="20"/>
          <w:szCs w:val="20"/>
          <w:color w:val="auto"/>
        </w:rPr>
      </w:pPr>
      <w:r>
        <w:rPr>
          <w:rFonts w:ascii="Times New Roman" w:cs="Times New Roman" w:eastAsia="Times New Roman" w:hAnsi="Times New Roman"/>
          <w:sz w:val="13"/>
          <w:szCs w:val="13"/>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335" w:lineRule="exact"/>
        <w:rPr>
          <w:rFonts w:ascii="Times New Roman" w:cs="Times New Roman" w:eastAsia="Times New Roman" w:hAnsi="Times New Roman"/>
          <w:sz w:val="13"/>
          <w:szCs w:val="13"/>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3" w:right="1440" w:bottom="1440" w:gutter="0" w:footer="0" w:header="0"/>
        </w:sectPr>
      </w:pPr>
    </w:p>
    <w:bookmarkStart w:id="29" w:name="page30"/>
    <w:bookmarkEnd w:id="29"/>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1173480</wp:posOffset>
            </wp:positionH>
            <wp:positionV relativeFrom="page">
              <wp:posOffset>178435</wp:posOffset>
            </wp:positionV>
            <wp:extent cx="5208270"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5208270" cy="12700"/>
                    </a:xfrm>
                    <a:prstGeom prst="rect">
                      <a:avLst/>
                    </a:prstGeom>
                    <a:noFill/>
                  </pic:spPr>
                </pic:pic>
              </a:graphicData>
            </a:graphic>
          </wp:anchor>
        </w:drawing>
        <w:drawing>
          <wp:anchor simplePos="0" relativeHeight="251657728" behindDoc="1" locked="0" layoutInCell="0" allowOverlap="1">
            <wp:simplePos x="0" y="0"/>
            <wp:positionH relativeFrom="page">
              <wp:posOffset>1173480</wp:posOffset>
            </wp:positionH>
            <wp:positionV relativeFrom="page">
              <wp:posOffset>216535</wp:posOffset>
            </wp:positionV>
            <wp:extent cx="520827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5208270" cy="6350"/>
                    </a:xfrm>
                    <a:prstGeom prst="rect">
                      <a:avLst/>
                    </a:prstGeom>
                    <a:noFill/>
                  </pic:spPr>
                </pic:pic>
              </a:graphicData>
            </a:graphic>
          </wp:anchor>
        </w:drawing>
        <w:drawing>
          <wp:anchor simplePos="0" relativeHeight="251657728" behindDoc="1" locked="0" layoutInCell="0" allowOverlap="1">
            <wp:simplePos x="0" y="0"/>
            <wp:positionH relativeFrom="page">
              <wp:posOffset>3298825</wp:posOffset>
            </wp:positionH>
            <wp:positionV relativeFrom="page">
              <wp:posOffset>478155</wp:posOffset>
            </wp:positionV>
            <wp:extent cx="951230" cy="382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951230" cy="38290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Lexeo Therapeutics, Inc.</w:t>
      </w:r>
    </w:p>
    <w:p>
      <w:pPr>
        <w:sectPr>
          <w:pgSz w:w="11900" w:h="16838" w:orient="portrait"/>
          <w:cols w:equalWidth="0" w:num="1">
            <w:col w:w="9019"/>
          </w:cols>
          <w:pgMar w:left="1440" w:top="144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Up to $300,000,000</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Subscription Rights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Purchase Contracts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547370</wp:posOffset>
            </wp:positionV>
            <wp:extent cx="109156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178435</wp:posOffset>
            </wp:positionV>
            <wp:extent cx="109156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324485</wp:posOffset>
            </wp:positionV>
            <wp:extent cx="520827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208270" cy="635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375285</wp:posOffset>
            </wp:positionV>
            <wp:extent cx="5208270"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5208270" cy="127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PART II</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Item 14. Other Expenses of Issuance and Distribution</w:t>
      </w:r>
    </w:p>
    <w:p>
      <w:pPr>
        <w:spacing w:after="0" w:line="96" w:lineRule="exact"/>
        <w:rPr>
          <w:sz w:val="20"/>
          <w:szCs w:val="20"/>
          <w:color w:val="auto"/>
        </w:rPr>
      </w:pPr>
    </w:p>
    <w:p>
      <w:pPr>
        <w:ind w:left="400" w:right="479" w:firstLine="328"/>
        <w:spacing w:after="0" w:line="277" w:lineRule="auto"/>
        <w:rPr>
          <w:sz w:val="20"/>
          <w:szCs w:val="20"/>
          <w:color w:val="auto"/>
        </w:rPr>
      </w:pPr>
      <w:r>
        <w:rPr>
          <w:rFonts w:ascii="Times New Roman" w:cs="Times New Roman" w:eastAsia="Times New Roman" w:hAnsi="Times New Roman"/>
          <w:sz w:val="13"/>
          <w:szCs w:val="13"/>
          <w:color w:val="auto"/>
        </w:rPr>
        <w:t>The following table sets forth estimated fees and expenses to be paid by us in connection with the issuance and distribution of the securities being registered, other than discounts and commissions to be paid to agents or underwriters. All amounts shown are estimates except for the Securities and Exchange Commission, or the SEC, registration fee and the Financial Industry Regulatory Authority, or FINRA, filing fee.</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jc w:val="right"/>
              <w:ind w:right="773"/>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30"/>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w w:val="93"/>
              </w:rPr>
              <w:t>to be Paid</w:t>
            </w:r>
          </w:p>
        </w:tc>
      </w:tr>
      <w:tr>
        <w:trPr>
          <w:trHeight w:val="151"/>
        </w:trPr>
        <w:tc>
          <w:tcPr>
            <w:tcW w:w="20" w:type="dxa"/>
            <w:vAlign w:val="bottom"/>
          </w:tcPr>
          <w:p>
            <w:pPr>
              <w:spacing w:after="0"/>
              <w:rPr>
                <w:sz w:val="13"/>
                <w:szCs w:val="13"/>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SEC registration fee</w:t>
            </w:r>
          </w:p>
        </w:tc>
        <w:tc>
          <w:tcPr>
            <w:tcW w:w="9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10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$15,952.56</w:t>
            </w:r>
          </w:p>
        </w:tc>
        <w:tc>
          <w:tcPr>
            <w:tcW w:w="180" w:type="dxa"/>
            <w:vAlign w:val="bottom"/>
            <w:tcBorders>
              <w:top w:val="single" w:sz="8" w:color="CCEEFF"/>
            </w:tcBorders>
            <w:shd w:val="clear" w:color="auto" w:fill="CCEEFF"/>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FINRA filing fee</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$45,500.00</w:t>
            </w:r>
          </w:p>
        </w:tc>
        <w:tc>
          <w:tcPr>
            <w:tcW w:w="180" w:type="dxa"/>
            <w:vAlign w:val="bottom"/>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exchange listing fee</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Printing expenses</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Blue Sky, qualification fees and expenses</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Transfer agent and registrar fees and expenses</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Trustee’s fees and expenses</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Warrant agent fees and expenses</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Miscellaneous expenses</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20" w:type="dxa"/>
            <w:vAlign w:val="bottom"/>
          </w:tcPr>
          <w:p>
            <w:pPr>
              <w:spacing w:after="0"/>
              <w:rPr>
                <w:sz w:val="13"/>
                <w:szCs w:val="13"/>
                <w:color w:val="auto"/>
              </w:rPr>
            </w:pPr>
          </w:p>
        </w:tc>
        <w:tc>
          <w:tcPr>
            <w:tcW w:w="3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8" w:lineRule="exact"/>
        <w:rPr>
          <w:sz w:val="20"/>
          <w:szCs w:val="20"/>
          <w:color w:val="auto"/>
        </w:rPr>
      </w:pPr>
    </w:p>
    <w:p>
      <w:pPr>
        <w:ind w:left="720" w:right="879" w:hanging="317"/>
        <w:spacing w:after="0" w:line="277" w:lineRule="auto"/>
        <w:tabs>
          <w:tab w:leader="none" w:pos="7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Item 15. Indemnification of Directors and Officers</w:t>
      </w:r>
    </w:p>
    <w:p>
      <w:pPr>
        <w:spacing w:after="0" w:line="96" w:lineRule="exact"/>
        <w:rPr>
          <w:sz w:val="20"/>
          <w:szCs w:val="20"/>
          <w:color w:val="auto"/>
        </w:rPr>
      </w:pPr>
    </w:p>
    <w:p>
      <w:pPr>
        <w:ind w:left="400" w:right="419" w:firstLine="328"/>
        <w:spacing w:after="0" w:line="261" w:lineRule="auto"/>
        <w:rPr>
          <w:sz w:val="20"/>
          <w:szCs w:val="20"/>
          <w:color w:val="auto"/>
        </w:rPr>
      </w:pPr>
      <w:r>
        <w:rPr>
          <w:rFonts w:ascii="Times New Roman" w:cs="Times New Roman" w:eastAsia="Times New Roman" w:hAnsi="Times New Roman"/>
          <w:sz w:val="13"/>
          <w:szCs w:val="13"/>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DGCL. In addition, the amended and restated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40" w:lineRule="exact"/>
        <w:rPr>
          <w:sz w:val="20"/>
          <w:szCs w:val="20"/>
          <w:color w:val="auto"/>
        </w:rPr>
      </w:pPr>
    </w:p>
    <w:p>
      <w:pPr>
        <w:ind w:left="400" w:right="579" w:firstLine="328"/>
        <w:spacing w:after="0" w:line="277" w:lineRule="auto"/>
        <w:rPr>
          <w:sz w:val="20"/>
          <w:szCs w:val="20"/>
          <w:color w:val="auto"/>
        </w:rPr>
      </w:pPr>
      <w:r>
        <w:rPr>
          <w:rFonts w:ascii="Times New Roman" w:cs="Times New Roman" w:eastAsia="Times New Roman" w:hAnsi="Times New Roman"/>
          <w:sz w:val="13"/>
          <w:szCs w:val="13"/>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(i) for any breach of the director’s duty of loyalty to</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II-1</w:t>
      </w:r>
    </w:p>
    <w:p>
      <w:pPr>
        <w:sectPr>
          <w:pgSz w:w="11900" w:h="16838" w:orient="portrait"/>
          <w:cols w:equalWidth="0" w:num="1">
            <w:col w:w="9019"/>
          </w:cols>
          <w:pgMar w:left="1440" w:top="233" w:right="1440"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the corporation or its stockholders, (ii) for acts or omissions not in good faith or which involve intentional misconduct or a knowing violation of law,</w:t>
      </w:r>
    </w:p>
    <w:p>
      <w:pPr>
        <w:spacing w:after="0" w:line="24" w:lineRule="exact"/>
        <w:rPr>
          <w:sz w:val="20"/>
          <w:szCs w:val="20"/>
          <w:color w:val="auto"/>
        </w:rPr>
      </w:pPr>
    </w:p>
    <w:p>
      <w:pPr>
        <w:ind w:left="400" w:right="559" w:firstLine="3"/>
        <w:spacing w:after="0" w:line="262" w:lineRule="auto"/>
        <w:tabs>
          <w:tab w:leader="none" w:pos="63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payments of unlawful dividends or unlawful stock repurchases or redemptions or (iv)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36" w:lineRule="exact"/>
        <w:rPr>
          <w:sz w:val="20"/>
          <w:szCs w:val="20"/>
          <w:color w:val="auto"/>
        </w:rPr>
      </w:pPr>
    </w:p>
    <w:p>
      <w:pPr>
        <w:ind w:left="400" w:right="439" w:firstLine="328"/>
        <w:spacing w:after="0" w:line="270" w:lineRule="auto"/>
        <w:rPr>
          <w:sz w:val="20"/>
          <w:szCs w:val="20"/>
          <w:color w:val="auto"/>
        </w:rPr>
      </w:pPr>
      <w:r>
        <w:rPr>
          <w:rFonts w:ascii="Times New Roman" w:cs="Times New Roman" w:eastAsia="Times New Roman" w:hAnsi="Times New Roman"/>
          <w:sz w:val="13"/>
          <w:szCs w:val="13"/>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31" w:lineRule="exact"/>
        <w:rPr>
          <w:sz w:val="20"/>
          <w:szCs w:val="20"/>
          <w:color w:val="auto"/>
        </w:rPr>
      </w:pPr>
    </w:p>
    <w:p>
      <w:pPr>
        <w:ind w:left="400" w:right="499" w:firstLine="328"/>
        <w:spacing w:after="0" w:line="277" w:lineRule="auto"/>
        <w:rPr>
          <w:sz w:val="20"/>
          <w:szCs w:val="20"/>
          <w:color w:val="auto"/>
        </w:rPr>
      </w:pPr>
      <w:r>
        <w:rPr>
          <w:rFonts w:ascii="Times New Roman" w:cs="Times New Roman" w:eastAsia="Times New Roman" w:hAnsi="Times New Roman"/>
          <w:sz w:val="13"/>
          <w:szCs w:val="13"/>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26" w:lineRule="exact"/>
        <w:rPr>
          <w:sz w:val="20"/>
          <w:szCs w:val="20"/>
          <w:color w:val="auto"/>
        </w:rPr>
      </w:pPr>
    </w:p>
    <w:p>
      <w:pPr>
        <w:ind w:left="400" w:right="479" w:firstLine="328"/>
        <w:spacing w:after="0" w:line="270" w:lineRule="auto"/>
        <w:rPr>
          <w:sz w:val="20"/>
          <w:szCs w:val="20"/>
          <w:color w:val="auto"/>
        </w:rPr>
      </w:pPr>
      <w:r>
        <w:rPr>
          <w:rFonts w:ascii="Times New Roman" w:cs="Times New Roman" w:eastAsia="Times New Roman" w:hAnsi="Times New Roman"/>
          <w:sz w:val="13"/>
          <w:szCs w:val="13"/>
          <w:color w:val="auto"/>
        </w:rPr>
        <w:t>The registrant has obtained and maintains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31" w:lineRule="exact"/>
        <w:rPr>
          <w:sz w:val="20"/>
          <w:szCs w:val="20"/>
          <w:color w:val="auto"/>
        </w:rPr>
      </w:pPr>
    </w:p>
    <w:p>
      <w:pPr>
        <w:ind w:left="400" w:right="599" w:firstLine="328"/>
        <w:spacing w:after="0" w:line="277" w:lineRule="auto"/>
        <w:rPr>
          <w:sz w:val="20"/>
          <w:szCs w:val="20"/>
          <w:color w:val="auto"/>
        </w:rPr>
      </w:pPr>
      <w:r>
        <w:rPr>
          <w:rFonts w:ascii="Times New Roman" w:cs="Times New Roman" w:eastAsia="Times New Roman" w:hAnsi="Times New Roman"/>
          <w:sz w:val="13"/>
          <w:szCs w:val="13"/>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See also the undertakings set out in response to Item 17 herein.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II-2</w:t>
      </w:r>
    </w:p>
    <w:p>
      <w:pPr>
        <w:sectPr>
          <w:pgSz w:w="11900" w:h="16838" w:orient="portrait"/>
          <w:cols w:equalWidth="0" w:num="1">
            <w:col w:w="9019"/>
          </w:cols>
          <w:pgMar w:left="1440" w:top="237" w:right="1440"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Item 16. Exhibits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30"/>
        </w:trPr>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520" w:type="dxa"/>
            <w:vAlign w:val="bottom"/>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60" w:type="dxa"/>
            <w:vAlign w:val="bottom"/>
            <w:vMerge w:val="restart"/>
          </w:tcPr>
          <w:p>
            <w:pPr>
              <w:spacing w:after="0"/>
              <w:rPr>
                <w:sz w:val="7"/>
                <w:szCs w:val="7"/>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200" w:type="dxa"/>
            <w:vAlign w:val="bottom"/>
            <w:vMerge w:val="restart"/>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gridSpan w:val="2"/>
          </w:tcPr>
          <w:p>
            <w:pPr>
              <w:jc w:val="center"/>
              <w:ind w:right="220"/>
              <w:spacing w:after="0" w:line="81" w:lineRule="exact"/>
              <w:rPr>
                <w:sz w:val="20"/>
                <w:szCs w:val="20"/>
                <w:color w:val="auto"/>
              </w:rPr>
            </w:pPr>
            <w:r>
              <w:rPr>
                <w:rFonts w:ascii="Times New Roman" w:cs="Times New Roman" w:eastAsia="Times New Roman" w:hAnsi="Times New Roman"/>
                <w:sz w:val="9"/>
                <w:szCs w:val="9"/>
                <w:b w:val="1"/>
                <w:bCs w:val="1"/>
                <w:color w:val="auto"/>
              </w:rPr>
              <w:t>Exhibit</w:t>
            </w: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200" w:type="dxa"/>
            <w:vAlign w:val="bottom"/>
            <w:vMerge w:val="restart"/>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Filed</w:t>
            </w:r>
          </w:p>
        </w:tc>
        <w:tc>
          <w:tcPr>
            <w:tcW w:w="0" w:type="dxa"/>
            <w:vAlign w:val="bottom"/>
          </w:tcPr>
          <w:p>
            <w:pPr>
              <w:spacing w:after="0"/>
              <w:rPr>
                <w:sz w:val="1"/>
                <w:szCs w:val="1"/>
                <w:color w:val="auto"/>
              </w:rPr>
            </w:pPr>
          </w:p>
        </w:tc>
      </w:tr>
      <w:tr>
        <w:trPr>
          <w:trHeight w:val="121"/>
        </w:trPr>
        <w:tc>
          <w:tcPr>
            <w:tcW w:w="40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60" w:type="dxa"/>
            <w:vAlign w:val="bottom"/>
          </w:tcPr>
          <w:p>
            <w:pPr>
              <w:spacing w:after="0"/>
              <w:rPr>
                <w:sz w:val="10"/>
                <w:szCs w:val="10"/>
                <w:color w:val="auto"/>
              </w:rPr>
            </w:pPr>
          </w:p>
        </w:tc>
        <w:tc>
          <w:tcPr>
            <w:tcW w:w="3520" w:type="dxa"/>
            <w:vAlign w:val="bottom"/>
            <w:tcBorders>
              <w:bottom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0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5"/>
              </w:rPr>
              <w:t>Herewith</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80" w:hanging="77"/>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1.1*Form of Underwriting Agreement</w:t>
      </w:r>
    </w:p>
    <w:p>
      <w:pPr>
        <w:spacing w:after="0" w:line="91" w:lineRule="exact"/>
        <w:rPr>
          <w:rFonts w:ascii="Times New Roman" w:cs="Times New Roman" w:eastAsia="Times New Roman" w:hAnsi="Times New Roman"/>
          <w:sz w:val="13"/>
          <w:szCs w:val="13"/>
          <w:color w:val="auto"/>
        </w:rPr>
      </w:pPr>
    </w:p>
    <w:p>
      <w:pPr>
        <w:ind w:left="1060" w:right="4539" w:hanging="657"/>
        <w:spacing w:after="0" w:line="268" w:lineRule="auto"/>
        <w:tabs>
          <w:tab w:leader="none" w:pos="474" w:val="left"/>
        </w:tabs>
        <w:numPr>
          <w:ilvl w:val="0"/>
          <w:numId w:val="26"/>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  2.1</w:t>
      </w:r>
      <w:hyperlink r:id="rId75">
        <w:r>
          <w:rPr>
            <w:rFonts w:ascii="Times New Roman" w:cs="Times New Roman" w:eastAsia="Times New Roman" w:hAnsi="Times New Roman"/>
            <w:sz w:val="13"/>
            <w:szCs w:val="13"/>
            <w:u w:val="single" w:color="auto"/>
            <w:color w:val="0000EE"/>
          </w:rPr>
          <w:t>Agreement and Plan of Merger, dated as of September 16, 2026</w:t>
        </w:r>
      </w:hyperlink>
      <w:r>
        <w:rPr>
          <w:rFonts w:ascii="Times New Roman" w:cs="Times New Roman" w:eastAsia="Times New Roman" w:hAnsi="Times New Roman"/>
          <w:sz w:val="13"/>
          <w:szCs w:val="13"/>
          <w:u w:val="single" w:color="auto"/>
          <w:color w:val="0000EE"/>
        </w:rPr>
        <w:t xml:space="preserve"> </w:t>
      </w:r>
      <w:hyperlink r:id="rId75">
        <w:r>
          <w:rPr>
            <w:rFonts w:ascii="Times New Roman" w:cs="Times New Roman" w:eastAsia="Times New Roman" w:hAnsi="Times New Roman"/>
            <w:sz w:val="13"/>
            <w:szCs w:val="13"/>
            <w:u w:val="single" w:color="auto"/>
            <w:color w:val="0000EE"/>
          </w:rPr>
          <w:t>by and among Lexeo Therapeutics, Inc., Mantle Therapeutics</w:t>
        </w:r>
      </w:hyperlink>
    </w:p>
    <w:tbl>
      <w:tblPr>
        <w:tblLayout w:type="fixed"/>
        <w:tblInd w:w="400" w:type="dxa"/>
        <w:tblCellMar>
          <w:top w:w="0" w:type="dxa"/>
          <w:left w:w="0" w:type="dxa"/>
          <w:bottom w:w="0" w:type="dxa"/>
          <w:right w:w="0" w:type="dxa"/>
        </w:tblCellMar>
      </w:tblPr>
      <w:tr>
        <w:trPr>
          <w:trHeight w:val="131"/>
        </w:trPr>
        <w:tc>
          <w:tcPr>
            <w:tcW w:w="660" w:type="dxa"/>
            <w:vAlign w:val="bottom"/>
          </w:tcPr>
          <w:p>
            <w:pPr>
              <w:spacing w:after="0"/>
              <w:rPr>
                <w:sz w:val="11"/>
                <w:szCs w:val="11"/>
                <w:color w:val="auto"/>
              </w:rPr>
            </w:pPr>
          </w:p>
        </w:tc>
        <w:tc>
          <w:tcPr>
            <w:tcW w:w="3360" w:type="dxa"/>
            <w:vAlign w:val="bottom"/>
            <w:tcBorders>
              <w:bottom w:val="single" w:sz="8" w:color="0000EE"/>
            </w:tcBorders>
            <w:gridSpan w:val="4"/>
          </w:tcPr>
          <w:p>
            <w:pPr>
              <w:spacing w:after="0" w:line="131" w:lineRule="exact"/>
              <w:rPr>
                <w:rFonts w:ascii="Times New Roman" w:cs="Times New Roman" w:eastAsia="Times New Roman" w:hAnsi="Times New Roman"/>
                <w:sz w:val="13"/>
                <w:szCs w:val="13"/>
                <w:color w:val="0000EE"/>
              </w:rPr>
            </w:pPr>
            <w:hyperlink r:id="rId75">
              <w:r>
                <w:rPr>
                  <w:rFonts w:ascii="Times New Roman" w:cs="Times New Roman" w:eastAsia="Times New Roman" w:hAnsi="Times New Roman"/>
                  <w:sz w:val="13"/>
                  <w:szCs w:val="13"/>
                  <w:color w:val="0000EE"/>
                </w:rPr>
                <w:t>Inc., Magma Merger Sub Inc., and Shareholder Representative</w:t>
              </w:r>
            </w:hyperlink>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40" w:type="dxa"/>
            <w:vAlign w:val="bottom"/>
          </w:tcPr>
          <w:p>
            <w:pPr>
              <w:jc w:val="center"/>
              <w:ind w:right="493"/>
              <w:spacing w:after="0" w:line="131" w:lineRule="exact"/>
              <w:rPr>
                <w:sz w:val="20"/>
                <w:szCs w:val="20"/>
                <w:color w:val="auto"/>
              </w:rPr>
            </w:pPr>
            <w:r>
              <w:rPr>
                <w:rFonts w:ascii="Times New Roman" w:cs="Times New Roman" w:eastAsia="Times New Roman" w:hAnsi="Times New Roman"/>
                <w:sz w:val="13"/>
                <w:szCs w:val="13"/>
                <w:color w:val="auto"/>
              </w:rPr>
              <w:t>September 22,</w:t>
            </w:r>
          </w:p>
        </w:tc>
      </w:tr>
      <w:tr>
        <w:trPr>
          <w:trHeight w:val="141"/>
        </w:trPr>
        <w:tc>
          <w:tcPr>
            <w:tcW w:w="660" w:type="dxa"/>
            <w:vAlign w:val="bottom"/>
          </w:tcPr>
          <w:p>
            <w:pPr>
              <w:spacing w:after="0"/>
              <w:rPr>
                <w:sz w:val="12"/>
                <w:szCs w:val="12"/>
                <w:color w:val="auto"/>
              </w:rPr>
            </w:pPr>
          </w:p>
        </w:tc>
        <w:tc>
          <w:tcPr>
            <w:tcW w:w="740" w:type="dxa"/>
            <w:vAlign w:val="bottom"/>
            <w:tcBorders>
              <w:bottom w:val="single" w:sz="8" w:color="0000EE"/>
            </w:tcBorders>
          </w:tcPr>
          <w:p>
            <w:pPr>
              <w:spacing w:after="0" w:line="141" w:lineRule="exact"/>
              <w:rPr>
                <w:rFonts w:ascii="Times New Roman" w:cs="Times New Roman" w:eastAsia="Times New Roman" w:hAnsi="Times New Roman"/>
                <w:sz w:val="13"/>
                <w:szCs w:val="13"/>
                <w:color w:val="0000EE"/>
              </w:rPr>
            </w:pPr>
            <w:hyperlink r:id="rId75">
              <w:r>
                <w:rPr>
                  <w:rFonts w:ascii="Times New Roman" w:cs="Times New Roman" w:eastAsia="Times New Roman" w:hAnsi="Times New Roman"/>
                  <w:sz w:val="13"/>
                  <w:szCs w:val="13"/>
                  <w:color w:val="0000EE"/>
                </w:rPr>
                <w:t>Services LLC</w:t>
              </w:r>
            </w:hyperlink>
          </w:p>
        </w:tc>
        <w:tc>
          <w:tcPr>
            <w:tcW w:w="2800" w:type="dxa"/>
            <w:vAlign w:val="bottom"/>
            <w:gridSpan w:val="4"/>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8-K</w:t>
            </w:r>
          </w:p>
        </w:tc>
        <w:tc>
          <w:tcPr>
            <w:tcW w:w="1000" w:type="dxa"/>
            <w:vAlign w:val="bottom"/>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rPr>
              <w:t>001-41855</w:t>
            </w:r>
          </w:p>
        </w:tc>
        <w:tc>
          <w:tcPr>
            <w:tcW w:w="560" w:type="dxa"/>
            <w:vAlign w:val="bottom"/>
          </w:tcPr>
          <w:p>
            <w:pPr>
              <w:jc w:val="right"/>
              <w:ind w:right="113"/>
              <w:spacing w:after="0" w:line="141" w:lineRule="exact"/>
              <w:rPr>
                <w:sz w:val="20"/>
                <w:szCs w:val="20"/>
                <w:color w:val="auto"/>
              </w:rPr>
            </w:pPr>
            <w:r>
              <w:rPr>
                <w:rFonts w:ascii="Times New Roman" w:cs="Times New Roman" w:eastAsia="Times New Roman" w:hAnsi="Times New Roman"/>
                <w:sz w:val="13"/>
                <w:szCs w:val="13"/>
                <w:color w:val="auto"/>
              </w:rPr>
              <w:t>2.1</w:t>
            </w:r>
          </w:p>
        </w:tc>
        <w:tc>
          <w:tcPr>
            <w:tcW w:w="1740" w:type="dxa"/>
            <w:vAlign w:val="bottom"/>
          </w:tcPr>
          <w:p>
            <w:pPr>
              <w:jc w:val="center"/>
              <w:ind w:right="493"/>
              <w:spacing w:after="0" w:line="141" w:lineRule="exact"/>
              <w:rPr>
                <w:sz w:val="20"/>
                <w:szCs w:val="20"/>
                <w:color w:val="auto"/>
              </w:rPr>
            </w:pPr>
            <w:r>
              <w:rPr>
                <w:rFonts w:ascii="Times New Roman" w:cs="Times New Roman" w:eastAsia="Times New Roman" w:hAnsi="Times New Roman"/>
                <w:sz w:val="13"/>
                <w:szCs w:val="13"/>
                <w:color w:val="auto"/>
                <w:w w:val="99"/>
              </w:rPr>
              <w:t>2026</w:t>
            </w:r>
          </w:p>
        </w:tc>
      </w:tr>
      <w:tr>
        <w:trPr>
          <w:trHeight w:val="221"/>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4.1</w:t>
            </w:r>
          </w:p>
        </w:tc>
        <w:tc>
          <w:tcPr>
            <w:tcW w:w="3540" w:type="dxa"/>
            <w:vAlign w:val="bottom"/>
            <w:gridSpan w:val="5"/>
          </w:tcPr>
          <w:p>
            <w:pPr>
              <w:spacing w:after="0"/>
              <w:rPr>
                <w:rFonts w:ascii="Times New Roman" w:cs="Times New Roman" w:eastAsia="Times New Roman" w:hAnsi="Times New Roman"/>
                <w:sz w:val="13"/>
                <w:szCs w:val="13"/>
                <w:color w:val="0000EE"/>
              </w:rPr>
            </w:pPr>
            <w:hyperlink r:id="rId76">
              <w:r>
                <w:rPr>
                  <w:rFonts w:ascii="Times New Roman" w:cs="Times New Roman" w:eastAsia="Times New Roman" w:hAnsi="Times New Roman"/>
                  <w:sz w:val="13"/>
                  <w:szCs w:val="13"/>
                  <w:color w:val="0000EE"/>
                </w:rPr>
                <w:t>Specimen Common Stock Certificate</w:t>
              </w:r>
            </w:hyperlink>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tcPr>
          <w:p>
            <w:pPr>
              <w:jc w:val="center"/>
              <w:ind w:right="493"/>
              <w:spacing w:after="0"/>
              <w:rPr>
                <w:sz w:val="20"/>
                <w:szCs w:val="20"/>
                <w:color w:val="auto"/>
              </w:rPr>
            </w:pPr>
            <w:r>
              <w:rPr>
                <w:rFonts w:ascii="Times New Roman" w:cs="Times New Roman" w:eastAsia="Times New Roman" w:hAnsi="Times New Roman"/>
                <w:sz w:val="13"/>
                <w:szCs w:val="13"/>
                <w:color w:val="auto"/>
              </w:rPr>
              <w:t>October 30,</w:t>
            </w:r>
          </w:p>
        </w:tc>
      </w:tr>
      <w:tr>
        <w:trPr>
          <w:trHeight w:val="171"/>
        </w:trPr>
        <w:tc>
          <w:tcPr>
            <w:tcW w:w="660" w:type="dxa"/>
            <w:vAlign w:val="bottom"/>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020" w:type="dxa"/>
            <w:vAlign w:val="bottom"/>
            <w:tcBorders>
              <w:top w:val="single" w:sz="8" w:color="0000EE"/>
            </w:tcBorders>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S-1/A</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333-274777</w:t>
            </w: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4.2</w:t>
            </w:r>
          </w:p>
        </w:tc>
        <w:tc>
          <w:tcPr>
            <w:tcW w:w="1740" w:type="dxa"/>
            <w:vAlign w:val="bottom"/>
          </w:tcPr>
          <w:p>
            <w:pPr>
              <w:jc w:val="center"/>
              <w:ind w:right="493"/>
              <w:spacing w:after="0"/>
              <w:rPr>
                <w:sz w:val="20"/>
                <w:szCs w:val="20"/>
                <w:color w:val="auto"/>
              </w:rPr>
            </w:pPr>
            <w:r>
              <w:rPr>
                <w:rFonts w:ascii="Times New Roman" w:cs="Times New Roman" w:eastAsia="Times New Roman" w:hAnsi="Times New Roman"/>
                <w:sz w:val="13"/>
                <w:szCs w:val="13"/>
                <w:color w:val="auto"/>
                <w:w w:val="99"/>
              </w:rPr>
              <w:t>2023</w:t>
            </w:r>
          </w:p>
        </w:tc>
      </w:t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4.2*</w:t>
            </w:r>
          </w:p>
        </w:tc>
        <w:tc>
          <w:tcPr>
            <w:tcW w:w="35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Form of Specimen Preferred Stock Certificate</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4.3</w:t>
            </w: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Form of Indenture</w:t>
            </w:r>
          </w:p>
        </w:tc>
        <w:tc>
          <w:tcPr>
            <w:tcW w:w="256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ind w:left="164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88" w:lineRule="exact"/>
        <w:rPr>
          <w:sz w:val="20"/>
          <w:szCs w:val="20"/>
          <w:color w:val="auto"/>
        </w:rPr>
      </w:pPr>
    </w:p>
    <w:p>
      <w:pPr>
        <w:ind w:left="480" w:hanging="77"/>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4.4*Form of Debt Security</w:t>
      </w:r>
    </w:p>
    <w:p>
      <w:pPr>
        <w:spacing w:after="0" w:line="91" w:lineRule="exact"/>
        <w:rPr>
          <w:rFonts w:ascii="Times New Roman" w:cs="Times New Roman" w:eastAsia="Times New Roman" w:hAnsi="Times New Roman"/>
          <w:sz w:val="13"/>
          <w:szCs w:val="13"/>
          <w:color w:val="auto"/>
        </w:rPr>
      </w:pPr>
    </w:p>
    <w:p>
      <w:pPr>
        <w:ind w:left="480" w:hanging="77"/>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4.5*Form of Warrant Agreement</w:t>
      </w:r>
    </w:p>
    <w:p>
      <w:pPr>
        <w:spacing w:after="0" w:line="91" w:lineRule="exact"/>
        <w:rPr>
          <w:rFonts w:ascii="Times New Roman" w:cs="Times New Roman" w:eastAsia="Times New Roman" w:hAnsi="Times New Roman"/>
          <w:sz w:val="13"/>
          <w:szCs w:val="13"/>
          <w:color w:val="auto"/>
        </w:rPr>
      </w:pPr>
    </w:p>
    <w:p>
      <w:pPr>
        <w:ind w:left="480" w:hanging="77"/>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4.6*Form of Warrant</w:t>
      </w:r>
    </w:p>
    <w:p>
      <w:pPr>
        <w:spacing w:after="0" w:line="86"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4.7</w:t>
            </w:r>
          </w:p>
        </w:tc>
        <w:tc>
          <w:tcPr>
            <w:tcW w:w="1560" w:type="dxa"/>
            <w:vAlign w:val="bottom"/>
            <w:tcBorders>
              <w:bottom w:val="single" w:sz="8" w:color="0000EE"/>
            </w:tcBorders>
            <w:gridSpan w:val="2"/>
          </w:tcPr>
          <w:p>
            <w:pPr>
              <w:spacing w:after="0"/>
              <w:rPr>
                <w:rFonts w:ascii="Times New Roman" w:cs="Times New Roman" w:eastAsia="Times New Roman" w:hAnsi="Times New Roman"/>
                <w:sz w:val="13"/>
                <w:szCs w:val="13"/>
                <w:color w:val="0000EE"/>
              </w:rPr>
            </w:pPr>
            <w:hyperlink r:id="rId77">
              <w:r>
                <w:rPr>
                  <w:rFonts w:ascii="Times New Roman" w:cs="Times New Roman" w:eastAsia="Times New Roman" w:hAnsi="Times New Roman"/>
                  <w:sz w:val="13"/>
                  <w:szCs w:val="13"/>
                  <w:color w:val="0000EE"/>
                </w:rPr>
                <w:t>Form of Pre-Funded Warrant</w:t>
              </w:r>
            </w:hyperlink>
          </w:p>
        </w:tc>
        <w:tc>
          <w:tcPr>
            <w:tcW w:w="26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8-K</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001-41855</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4.1</w:t>
            </w:r>
          </w:p>
        </w:tc>
        <w:tc>
          <w:tcPr>
            <w:tcW w:w="940" w:type="dxa"/>
            <w:vAlign w:val="bottom"/>
          </w:tcPr>
          <w:p>
            <w:pPr>
              <w:jc w:val="center"/>
              <w:ind w:left="133"/>
              <w:spacing w:after="0"/>
              <w:rPr>
                <w:sz w:val="20"/>
                <w:szCs w:val="20"/>
                <w:color w:val="auto"/>
              </w:rPr>
            </w:pPr>
            <w:r>
              <w:rPr>
                <w:rFonts w:ascii="Times New Roman" w:cs="Times New Roman" w:eastAsia="Times New Roman" w:hAnsi="Times New Roman"/>
                <w:sz w:val="13"/>
                <w:szCs w:val="13"/>
                <w:color w:val="auto"/>
              </w:rPr>
              <w:t>May 27, 2025</w:t>
            </w:r>
          </w:p>
        </w:tc>
      </w:tr>
      <w:tr>
        <w:trPr>
          <w:trHeight w:val="221"/>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4.8</w:t>
            </w:r>
          </w:p>
        </w:tc>
        <w:tc>
          <w:tcPr>
            <w:tcW w:w="1560" w:type="dxa"/>
            <w:vAlign w:val="bottom"/>
            <w:tcBorders>
              <w:bottom w:val="single" w:sz="8" w:color="0000EE"/>
            </w:tcBorders>
            <w:gridSpan w:val="2"/>
          </w:tcPr>
          <w:p>
            <w:pPr>
              <w:spacing w:after="0"/>
              <w:rPr>
                <w:rFonts w:ascii="Times New Roman" w:cs="Times New Roman" w:eastAsia="Times New Roman" w:hAnsi="Times New Roman"/>
                <w:sz w:val="13"/>
                <w:szCs w:val="13"/>
                <w:color w:val="0000EE"/>
              </w:rPr>
            </w:pPr>
            <w:hyperlink r:id="rId78">
              <w:r>
                <w:rPr>
                  <w:rFonts w:ascii="Times New Roman" w:cs="Times New Roman" w:eastAsia="Times New Roman" w:hAnsi="Times New Roman"/>
                  <w:sz w:val="13"/>
                  <w:szCs w:val="13"/>
                  <w:color w:val="0000EE"/>
                </w:rPr>
                <w:t>Form of Pre-Funded Warrant</w:t>
              </w:r>
            </w:hyperlink>
          </w:p>
        </w:tc>
        <w:tc>
          <w:tcPr>
            <w:tcW w:w="2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center"/>
              <w:ind w:left="133"/>
              <w:spacing w:after="0"/>
              <w:rPr>
                <w:sz w:val="20"/>
                <w:szCs w:val="20"/>
                <w:color w:val="auto"/>
              </w:rPr>
            </w:pPr>
            <w:r>
              <w:rPr>
                <w:rFonts w:ascii="Times New Roman" w:cs="Times New Roman" w:eastAsia="Times New Roman" w:hAnsi="Times New Roman"/>
                <w:sz w:val="13"/>
                <w:szCs w:val="13"/>
                <w:color w:val="auto"/>
              </w:rPr>
              <w:t>October 17,</w:t>
            </w:r>
          </w:p>
        </w:tc>
      </w:tr>
      <w:tr>
        <w:trPr>
          <w:trHeight w:val="171"/>
        </w:trPr>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8-K</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001-41855</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4.1</w:t>
            </w:r>
          </w:p>
        </w:tc>
        <w:tc>
          <w:tcPr>
            <w:tcW w:w="940" w:type="dxa"/>
            <w:vAlign w:val="bottom"/>
          </w:tcPr>
          <w:p>
            <w:pPr>
              <w:jc w:val="center"/>
              <w:ind w:left="133"/>
              <w:spacing w:after="0"/>
              <w:rPr>
                <w:sz w:val="20"/>
                <w:szCs w:val="20"/>
                <w:color w:val="auto"/>
              </w:rPr>
            </w:pPr>
            <w:r>
              <w:rPr>
                <w:rFonts w:ascii="Times New Roman" w:cs="Times New Roman" w:eastAsia="Times New Roman" w:hAnsi="Times New Roman"/>
                <w:sz w:val="13"/>
                <w:szCs w:val="13"/>
                <w:color w:val="auto"/>
                <w:w w:val="99"/>
              </w:rPr>
              <w:t>2025</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4.9</w:t>
            </w:r>
          </w:p>
        </w:tc>
        <w:tc>
          <w:tcPr>
            <w:tcW w:w="1560" w:type="dxa"/>
            <w:vAlign w:val="bottom"/>
            <w:gridSpan w:val="2"/>
          </w:tcPr>
          <w:p>
            <w:pPr>
              <w:spacing w:after="0"/>
              <w:rPr>
                <w:rFonts w:ascii="Times New Roman" w:cs="Times New Roman" w:eastAsia="Times New Roman" w:hAnsi="Times New Roman"/>
                <w:sz w:val="13"/>
                <w:szCs w:val="13"/>
                <w:color w:val="0000EE"/>
              </w:rPr>
            </w:pPr>
            <w:hyperlink r:id="rId79">
              <w:r>
                <w:rPr>
                  <w:rFonts w:ascii="Times New Roman" w:cs="Times New Roman" w:eastAsia="Times New Roman" w:hAnsi="Times New Roman"/>
                  <w:sz w:val="13"/>
                  <w:szCs w:val="13"/>
                  <w:color w:val="0000EE"/>
                </w:rPr>
                <w:t>Form of Common Warrant</w:t>
              </w:r>
            </w:hyperlink>
          </w:p>
        </w:tc>
        <w:tc>
          <w:tcPr>
            <w:tcW w:w="26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8-K</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001-41855</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4.2</w:t>
            </w:r>
          </w:p>
        </w:tc>
        <w:tc>
          <w:tcPr>
            <w:tcW w:w="940" w:type="dxa"/>
            <w:vAlign w:val="bottom"/>
          </w:tcPr>
          <w:p>
            <w:pPr>
              <w:jc w:val="center"/>
              <w:ind w:left="133"/>
              <w:spacing w:after="0"/>
              <w:rPr>
                <w:sz w:val="20"/>
                <w:szCs w:val="20"/>
                <w:color w:val="auto"/>
              </w:rPr>
            </w:pPr>
            <w:r>
              <w:rPr>
                <w:rFonts w:ascii="Times New Roman" w:cs="Times New Roman" w:eastAsia="Times New Roman" w:hAnsi="Times New Roman"/>
                <w:sz w:val="13"/>
                <w:szCs w:val="13"/>
                <w:color w:val="auto"/>
              </w:rPr>
              <w:t>May 27, 2025</w:t>
            </w:r>
          </w:p>
        </w:tc>
      </w:tr>
      <w:tr>
        <w:trPr>
          <w:trHeight w:val="20"/>
        </w:trPr>
        <w:tc>
          <w:tcPr>
            <w:tcW w:w="6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88" w:lineRule="exact"/>
        <w:rPr>
          <w:sz w:val="20"/>
          <w:szCs w:val="20"/>
          <w:color w:val="auto"/>
        </w:rPr>
      </w:pPr>
    </w:p>
    <w:p>
      <w:pPr>
        <w:ind w:left="480" w:hanging="77"/>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4.10*   Form of Subscription Agreement</w:t>
      </w:r>
    </w:p>
    <w:p>
      <w:pPr>
        <w:spacing w:after="0" w:line="91" w:lineRule="exact"/>
        <w:rPr>
          <w:rFonts w:ascii="Times New Roman" w:cs="Times New Roman" w:eastAsia="Times New Roman" w:hAnsi="Times New Roman"/>
          <w:sz w:val="13"/>
          <w:szCs w:val="13"/>
          <w:color w:val="auto"/>
        </w:rPr>
      </w:pPr>
    </w:p>
    <w:p>
      <w:pPr>
        <w:ind w:left="480" w:hanging="77"/>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4.11*   Form of Purchase Contract Agreement</w:t>
      </w:r>
    </w:p>
    <w:p>
      <w:pPr>
        <w:spacing w:after="0" w:line="91" w:lineRule="exact"/>
        <w:rPr>
          <w:rFonts w:ascii="Times New Roman" w:cs="Times New Roman" w:eastAsia="Times New Roman" w:hAnsi="Times New Roman"/>
          <w:sz w:val="13"/>
          <w:szCs w:val="13"/>
          <w:color w:val="auto"/>
        </w:rPr>
      </w:pPr>
    </w:p>
    <w:p>
      <w:pPr>
        <w:ind w:left="480" w:hanging="77"/>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4.12*   Form of Unit Agreement</w:t>
      </w:r>
    </w:p>
    <w:p>
      <w:pPr>
        <w:spacing w:after="0" w:line="91" w:lineRule="exact"/>
        <w:rPr>
          <w:rFonts w:ascii="Times New Roman" w:cs="Times New Roman" w:eastAsia="Times New Roman" w:hAnsi="Times New Roman"/>
          <w:sz w:val="13"/>
          <w:szCs w:val="13"/>
          <w:color w:val="auto"/>
        </w:rPr>
      </w:pPr>
    </w:p>
    <w:p>
      <w:pPr>
        <w:ind w:left="480" w:hanging="77"/>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4.13*   Form of Unit</w:t>
      </w:r>
    </w:p>
    <w:p>
      <w:pPr>
        <w:spacing w:after="0" w:line="91" w:lineRule="exact"/>
        <w:rPr>
          <w:rFonts w:ascii="Times New Roman" w:cs="Times New Roman" w:eastAsia="Times New Roman" w:hAnsi="Times New Roman"/>
          <w:sz w:val="13"/>
          <w:szCs w:val="13"/>
          <w:color w:val="auto"/>
        </w:rPr>
      </w:pPr>
    </w:p>
    <w:p>
      <w:pPr>
        <w:ind w:left="480" w:hanging="77"/>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5.1</w:t>
      </w:r>
      <w:r>
        <w:rPr>
          <w:rFonts w:ascii="Times New Roman" w:cs="Times New Roman" w:eastAsia="Times New Roman" w:hAnsi="Times New Roman"/>
          <w:sz w:val="13"/>
          <w:szCs w:val="13"/>
          <w:u w:val="single" w:color="auto"/>
          <w:color w:val="0000EE"/>
        </w:rPr>
        <w:t>Opinion of Wilson Sonsini Goodrich &amp; Rosati, Professional</w:t>
      </w:r>
    </w:p>
    <w:p>
      <w:pPr>
        <w:spacing w:after="0" w:line="5"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5380" w:type="dxa"/>
            <w:vAlign w:val="bottom"/>
            <w:gridSpan w:val="6"/>
          </w:tcPr>
          <w:p>
            <w:pPr>
              <w:spacing w:after="0"/>
              <w:rPr>
                <w:sz w:val="20"/>
                <w:szCs w:val="20"/>
                <w:color w:val="auto"/>
              </w:rPr>
            </w:pPr>
            <w:r>
              <w:rPr>
                <w:rFonts w:ascii="Times New Roman" w:cs="Times New Roman" w:eastAsia="Times New Roman" w:hAnsi="Times New Roman"/>
                <w:sz w:val="13"/>
                <w:szCs w:val="13"/>
                <w:color w:val="0000EE"/>
              </w:rPr>
              <w:t>Corporation</w:t>
            </w:r>
          </w:p>
        </w:tc>
        <w:tc>
          <w:tcPr>
            <w:tcW w:w="2120" w:type="dxa"/>
            <w:vAlign w:val="bottom"/>
          </w:tcPr>
          <w:p>
            <w:pPr>
              <w:ind w:left="2020"/>
              <w:spacing w:after="0"/>
              <w:rPr>
                <w:sz w:val="20"/>
                <w:szCs w:val="20"/>
                <w:color w:val="auto"/>
              </w:rPr>
            </w:pPr>
            <w:r>
              <w:rPr>
                <w:rFonts w:ascii="Times New Roman" w:cs="Times New Roman" w:eastAsia="Times New Roman" w:hAnsi="Times New Roman"/>
                <w:sz w:val="13"/>
                <w:szCs w:val="13"/>
                <w:color w:val="auto"/>
                <w:w w:val="84"/>
              </w:rPr>
              <w:t>X</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1"/>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23.1</w:t>
            </w:r>
          </w:p>
        </w:tc>
        <w:tc>
          <w:tcPr>
            <w:tcW w:w="3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Consent of Independent Registered Public Accounting Firm</w:t>
            </w:r>
          </w:p>
        </w:tc>
        <w:tc>
          <w:tcPr>
            <w:tcW w:w="2160" w:type="dxa"/>
            <w:vAlign w:val="bottom"/>
            <w:gridSpan w:val="2"/>
          </w:tcPr>
          <w:p>
            <w:pPr>
              <w:spacing w:after="0"/>
              <w:rPr>
                <w:sz w:val="19"/>
                <w:szCs w:val="19"/>
                <w:color w:val="auto"/>
              </w:rPr>
            </w:pPr>
          </w:p>
        </w:tc>
        <w:tc>
          <w:tcPr>
            <w:tcW w:w="2120" w:type="dxa"/>
            <w:vAlign w:val="bottom"/>
          </w:tcPr>
          <w:p>
            <w:pPr>
              <w:ind w:left="2020"/>
              <w:spacing w:after="0"/>
              <w:rPr>
                <w:sz w:val="20"/>
                <w:szCs w:val="20"/>
                <w:color w:val="auto"/>
              </w:rPr>
            </w:pPr>
            <w:r>
              <w:rPr>
                <w:rFonts w:ascii="Times New Roman" w:cs="Times New Roman" w:eastAsia="Times New Roman" w:hAnsi="Times New Roman"/>
                <w:sz w:val="13"/>
                <w:szCs w:val="13"/>
                <w:color w:val="auto"/>
                <w:w w:val="84"/>
              </w:rPr>
              <w:t>X</w:t>
            </w:r>
          </w:p>
        </w:tc>
      </w:tr>
      <w:tr>
        <w:trPr>
          <w:trHeight w:val="221"/>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23.2</w:t>
            </w:r>
          </w:p>
        </w:tc>
        <w:tc>
          <w:tcPr>
            <w:tcW w:w="3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Consent of Wilson Sonsini Goodrich &amp; Rosati, Professional</w:t>
            </w:r>
          </w:p>
        </w:tc>
        <w:tc>
          <w:tcPr>
            <w:tcW w:w="2160" w:type="dxa"/>
            <w:vAlign w:val="bottom"/>
            <w:gridSpan w:val="2"/>
          </w:tcPr>
          <w:p>
            <w:pPr>
              <w:spacing w:after="0"/>
              <w:rPr>
                <w:sz w:val="19"/>
                <w:szCs w:val="19"/>
                <w:color w:val="auto"/>
              </w:rPr>
            </w:pPr>
          </w:p>
        </w:tc>
        <w:tc>
          <w:tcPr>
            <w:tcW w:w="2120" w:type="dxa"/>
            <w:vAlign w:val="bottom"/>
          </w:tcPr>
          <w:p>
            <w:pPr>
              <w:spacing w:after="0"/>
              <w:rPr>
                <w:sz w:val="19"/>
                <w:szCs w:val="19"/>
                <w:color w:val="auto"/>
              </w:rPr>
            </w:pPr>
          </w:p>
        </w:tc>
      </w:tr>
      <w:tr>
        <w:trPr>
          <w:trHeight w:val="141"/>
        </w:trPr>
        <w:tc>
          <w:tcPr>
            <w:tcW w:w="660" w:type="dxa"/>
            <w:vAlign w:val="bottom"/>
          </w:tcPr>
          <w:p>
            <w:pPr>
              <w:spacing w:after="0"/>
              <w:rPr>
                <w:sz w:val="12"/>
                <w:szCs w:val="12"/>
                <w:color w:val="auto"/>
              </w:rPr>
            </w:pPr>
          </w:p>
        </w:tc>
        <w:tc>
          <w:tcPr>
            <w:tcW w:w="3380" w:type="dxa"/>
            <w:vAlign w:val="bottom"/>
            <w:tcBorders>
              <w:bottom w:val="single" w:sz="8" w:color="0000EE"/>
            </w:tcBorders>
            <w:gridSpan w:val="5"/>
          </w:tcPr>
          <w:p>
            <w:pPr>
              <w:spacing w:after="0" w:line="141" w:lineRule="exact"/>
              <w:rPr>
                <w:sz w:val="20"/>
                <w:szCs w:val="20"/>
                <w:color w:val="auto"/>
              </w:rPr>
            </w:pPr>
            <w:r>
              <w:rPr>
                <w:rFonts w:ascii="Times New Roman" w:cs="Times New Roman" w:eastAsia="Times New Roman" w:hAnsi="Times New Roman"/>
                <w:sz w:val="13"/>
                <w:szCs w:val="13"/>
                <w:color w:val="0000EE"/>
              </w:rPr>
              <w:t>Corporation (included in the opinion filed as Exhibit 5.1 to this</w:t>
            </w: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1"/>
        </w:trPr>
        <w:tc>
          <w:tcPr>
            <w:tcW w:w="660" w:type="dxa"/>
            <w:vAlign w:val="bottom"/>
          </w:tcPr>
          <w:p>
            <w:pPr>
              <w:spacing w:after="0"/>
              <w:rPr>
                <w:sz w:val="12"/>
                <w:szCs w:val="12"/>
                <w:color w:val="auto"/>
              </w:rPr>
            </w:pPr>
          </w:p>
        </w:tc>
        <w:tc>
          <w:tcPr>
            <w:tcW w:w="5380" w:type="dxa"/>
            <w:vAlign w:val="bottom"/>
            <w:gridSpan w:val="6"/>
          </w:tcPr>
          <w:p>
            <w:pPr>
              <w:spacing w:after="0" w:line="141" w:lineRule="exact"/>
              <w:rPr>
                <w:sz w:val="20"/>
                <w:szCs w:val="20"/>
                <w:color w:val="auto"/>
              </w:rPr>
            </w:pPr>
            <w:r>
              <w:rPr>
                <w:rFonts w:ascii="Times New Roman" w:cs="Times New Roman" w:eastAsia="Times New Roman" w:hAnsi="Times New Roman"/>
                <w:sz w:val="13"/>
                <w:szCs w:val="13"/>
                <w:color w:val="0000EE"/>
              </w:rPr>
              <w:t>Registration Statement)</w:t>
            </w:r>
          </w:p>
        </w:tc>
        <w:tc>
          <w:tcPr>
            <w:tcW w:w="2120" w:type="dxa"/>
            <w:vAlign w:val="bottom"/>
          </w:tcPr>
          <w:p>
            <w:pPr>
              <w:ind w:left="2020"/>
              <w:spacing w:after="0" w:line="141" w:lineRule="exact"/>
              <w:rPr>
                <w:sz w:val="20"/>
                <w:szCs w:val="20"/>
                <w:color w:val="auto"/>
              </w:rPr>
            </w:pPr>
            <w:r>
              <w:rPr>
                <w:rFonts w:ascii="Times New Roman" w:cs="Times New Roman" w:eastAsia="Times New Roman" w:hAnsi="Times New Roman"/>
                <w:sz w:val="13"/>
                <w:szCs w:val="13"/>
                <w:color w:val="auto"/>
                <w:w w:val="84"/>
              </w:rPr>
              <w:t>X</w:t>
            </w:r>
          </w:p>
        </w:tc>
      </w:tr>
      <w:tr>
        <w:trPr>
          <w:trHeight w:val="20"/>
        </w:trPr>
        <w:tc>
          <w:tcPr>
            <w:tcW w:w="6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1"/>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24.1</w:t>
            </w:r>
          </w:p>
        </w:tc>
        <w:tc>
          <w:tcPr>
            <w:tcW w:w="3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Power of Attorney (included on the signature page to this</w:t>
            </w:r>
          </w:p>
        </w:tc>
        <w:tc>
          <w:tcPr>
            <w:tcW w:w="2300" w:type="dxa"/>
            <w:vAlign w:val="bottom"/>
            <w:gridSpan w:val="3"/>
          </w:tcPr>
          <w:p>
            <w:pPr>
              <w:spacing w:after="0"/>
              <w:rPr>
                <w:sz w:val="19"/>
                <w:szCs w:val="19"/>
                <w:color w:val="auto"/>
              </w:rPr>
            </w:pPr>
          </w:p>
        </w:tc>
        <w:tc>
          <w:tcPr>
            <w:tcW w:w="2120" w:type="dxa"/>
            <w:vAlign w:val="bottom"/>
          </w:tcPr>
          <w:p>
            <w:pPr>
              <w:spacing w:after="0"/>
              <w:rPr>
                <w:sz w:val="19"/>
                <w:szCs w:val="19"/>
                <w:color w:val="auto"/>
              </w:rPr>
            </w:pPr>
          </w:p>
        </w:tc>
      </w:tr>
      <w:tr>
        <w:trPr>
          <w:trHeight w:val="141"/>
        </w:trPr>
        <w:tc>
          <w:tcPr>
            <w:tcW w:w="660" w:type="dxa"/>
            <w:vAlign w:val="bottom"/>
          </w:tcPr>
          <w:p>
            <w:pPr>
              <w:spacing w:after="0"/>
              <w:rPr>
                <w:sz w:val="12"/>
                <w:szCs w:val="12"/>
                <w:color w:val="auto"/>
              </w:rPr>
            </w:pPr>
          </w:p>
        </w:tc>
        <w:tc>
          <w:tcPr>
            <w:tcW w:w="5380" w:type="dxa"/>
            <w:vAlign w:val="bottom"/>
            <w:gridSpan w:val="6"/>
          </w:tcPr>
          <w:p>
            <w:pPr>
              <w:spacing w:after="0" w:line="141" w:lineRule="exact"/>
              <w:rPr>
                <w:sz w:val="20"/>
                <w:szCs w:val="20"/>
                <w:color w:val="auto"/>
              </w:rPr>
            </w:pPr>
            <w:r>
              <w:rPr>
                <w:rFonts w:ascii="Times New Roman" w:cs="Times New Roman" w:eastAsia="Times New Roman" w:hAnsi="Times New Roman"/>
                <w:sz w:val="13"/>
                <w:szCs w:val="13"/>
                <w:color w:val="0000EE"/>
              </w:rPr>
              <w:t>Registration Statement)</w:t>
            </w:r>
          </w:p>
        </w:tc>
        <w:tc>
          <w:tcPr>
            <w:tcW w:w="2120" w:type="dxa"/>
            <w:vAlign w:val="bottom"/>
          </w:tcPr>
          <w:p>
            <w:pPr>
              <w:ind w:left="2020"/>
              <w:spacing w:after="0" w:line="141" w:lineRule="exact"/>
              <w:rPr>
                <w:sz w:val="20"/>
                <w:szCs w:val="20"/>
                <w:color w:val="auto"/>
              </w:rPr>
            </w:pPr>
            <w:r>
              <w:rPr>
                <w:rFonts w:ascii="Times New Roman" w:cs="Times New Roman" w:eastAsia="Times New Roman" w:hAnsi="Times New Roman"/>
                <w:sz w:val="13"/>
                <w:szCs w:val="13"/>
                <w:color w:val="auto"/>
                <w:w w:val="84"/>
              </w:rPr>
              <w:t>X</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88" w:lineRule="exact"/>
        <w:rPr>
          <w:sz w:val="20"/>
          <w:szCs w:val="20"/>
          <w:color w:val="auto"/>
        </w:rPr>
      </w:pPr>
    </w:p>
    <w:p>
      <w:pPr>
        <w:ind w:left="1060" w:right="4519" w:hanging="657"/>
        <w:spacing w:after="0" w:line="296" w:lineRule="auto"/>
        <w:tabs>
          <w:tab w:leader="none" w:pos="474"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25.1** Form T-1 Statement of Eligibility of Trustee for Indenture under the Trust Indenture Act of 1939, as amended</w:t>
      </w:r>
    </w:p>
    <w:p>
      <w:pPr>
        <w:spacing w:after="0" w:line="33" w:lineRule="exact"/>
        <w:rPr>
          <w:sz w:val="20"/>
          <w:szCs w:val="20"/>
          <w:color w:val="auto"/>
        </w:rPr>
      </w:pPr>
    </w:p>
    <w:p>
      <w:pPr>
        <w:ind w:left="400"/>
        <w:spacing w:after="0"/>
        <w:tabs>
          <w:tab w:leader="none" w:pos="1040" w:val="left"/>
          <w:tab w:leader="none" w:pos="8440" w:val="left"/>
        </w:tabs>
        <w:rPr>
          <w:sz w:val="20"/>
          <w:szCs w:val="20"/>
          <w:color w:val="auto"/>
        </w:rPr>
      </w:pPr>
      <w:r>
        <w:rPr>
          <w:rFonts w:ascii="Times New Roman" w:cs="Times New Roman" w:eastAsia="Times New Roman" w:hAnsi="Times New Roman"/>
          <w:sz w:val="13"/>
          <w:szCs w:val="13"/>
          <w:color w:val="auto"/>
        </w:rPr>
        <w:t>107</w:t>
      </w:r>
      <w:r>
        <w:rPr>
          <w:sz w:val="20"/>
          <w:szCs w:val="20"/>
          <w:color w:val="auto"/>
        </w:rPr>
        <w:tab/>
      </w:r>
      <w:r>
        <w:rPr>
          <w:rFonts w:ascii="Times New Roman" w:cs="Times New Roman" w:eastAsia="Times New Roman" w:hAnsi="Times New Roman"/>
          <w:sz w:val="13"/>
          <w:szCs w:val="13"/>
          <w:u w:val="single" w:color="auto"/>
          <w:color w:val="0000EE"/>
        </w:rPr>
        <w:t>Filing Fee Table</w:t>
      </w:r>
      <w:r>
        <w:rPr>
          <w:sz w:val="20"/>
          <w:szCs w:val="20"/>
          <w:color w:val="auto"/>
        </w:rPr>
        <w:tab/>
      </w:r>
      <w:r>
        <w:rPr>
          <w:rFonts w:ascii="Times New Roman" w:cs="Times New Roman" w:eastAsia="Times New Roman" w:hAnsi="Times New Roman"/>
          <w:sz w:val="13"/>
          <w:szCs w:val="13"/>
          <w:color w:val="auto"/>
        </w:rPr>
        <w:t>X</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II-3</w:t>
      </w:r>
    </w:p>
    <w:p>
      <w:pPr>
        <w:sectPr>
          <w:pgSz w:w="11900" w:h="16838" w:orient="portrait"/>
          <w:cols w:equalWidth="0" w:num="1">
            <w:col w:w="9019"/>
          </w:cols>
          <w:pgMar w:left="1440" w:top="233" w:right="1440" w:bottom="1440" w:gutter="0" w:footer="0" w:header="0"/>
        </w:sectPr>
      </w:pPr>
    </w:p>
    <w:bookmarkStart w:id="33" w:name="page34"/>
    <w:bookmarkEnd w:id="33"/>
    <w:p>
      <w:pPr>
        <w:ind w:left="400" w:right="2039" w:firstLine="3"/>
        <w:spacing w:after="0" w:line="296" w:lineRule="auto"/>
        <w:tabs>
          <w:tab w:leader="none" w:pos="722"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To be filed, if applicable, by amendment or incorporated by reference pursuant to a Current Report on Form 8-K. ** To be filed pursuant to Section 305(b)(2) of the Trust Indenture Act of 1939, as amended, or the Trust Indenture Act.</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Item 17. Undertakings</w:t>
      </w:r>
    </w:p>
    <w:p>
      <w:pPr>
        <w:spacing w:after="0" w:line="96" w:lineRule="exact"/>
        <w:rPr>
          <w:sz w:val="20"/>
          <w:szCs w:val="20"/>
          <w:color w:val="auto"/>
        </w:rPr>
      </w:pPr>
    </w:p>
    <w:p>
      <w:pPr>
        <w:ind w:left="920" w:hanging="189"/>
        <w:spacing w:after="0"/>
        <w:tabs>
          <w:tab w:leader="none" w:pos="9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w:t>
      </w:r>
    </w:p>
    <w:p>
      <w:pPr>
        <w:spacing w:after="0" w:line="91" w:lineRule="exact"/>
        <w:rPr>
          <w:rFonts w:ascii="Times New Roman" w:cs="Times New Roman" w:eastAsia="Times New Roman" w:hAnsi="Times New Roman"/>
          <w:sz w:val="13"/>
          <w:szCs w:val="13"/>
          <w:color w:val="auto"/>
        </w:rPr>
      </w:pPr>
    </w:p>
    <w:p>
      <w:pPr>
        <w:ind w:left="1340" w:hanging="199"/>
        <w:spacing w:after="0"/>
        <w:tabs>
          <w:tab w:leader="none" w:pos="1340"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91" w:lineRule="exact"/>
        <w:rPr>
          <w:rFonts w:ascii="Times New Roman" w:cs="Times New Roman" w:eastAsia="Times New Roman" w:hAnsi="Times New Roman"/>
          <w:sz w:val="13"/>
          <w:szCs w:val="13"/>
          <w:color w:val="auto"/>
        </w:rPr>
      </w:pPr>
    </w:p>
    <w:p>
      <w:pPr>
        <w:ind w:left="1620" w:hanging="151"/>
        <w:spacing w:after="0"/>
        <w:tabs>
          <w:tab w:leader="none" w:pos="1620" w:val="left"/>
        </w:tabs>
        <w:numPr>
          <w:ilvl w:val="2"/>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w:t>
      </w:r>
    </w:p>
    <w:p>
      <w:pPr>
        <w:spacing w:after="0" w:line="172" w:lineRule="exact"/>
        <w:rPr>
          <w:rFonts w:ascii="Times New Roman" w:cs="Times New Roman" w:eastAsia="Times New Roman" w:hAnsi="Times New Roman"/>
          <w:sz w:val="13"/>
          <w:szCs w:val="13"/>
          <w:color w:val="auto"/>
        </w:rPr>
      </w:pPr>
    </w:p>
    <w:p>
      <w:pPr>
        <w:ind w:left="400" w:right="419" w:firstLine="1069"/>
        <w:spacing w:after="0" w:line="264" w:lineRule="auto"/>
        <w:tabs>
          <w:tab w:leader="none" w:pos="1663" w:val="left"/>
        </w:tabs>
        <w:numPr>
          <w:ilvl w:val="2"/>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35" w:lineRule="exact"/>
        <w:rPr>
          <w:rFonts w:ascii="Times New Roman" w:cs="Times New Roman" w:eastAsia="Times New Roman" w:hAnsi="Times New Roman"/>
          <w:sz w:val="13"/>
          <w:szCs w:val="13"/>
          <w:color w:val="auto"/>
        </w:rPr>
      </w:pPr>
    </w:p>
    <w:p>
      <w:pPr>
        <w:ind w:left="400" w:right="479" w:firstLine="1069"/>
        <w:spacing w:after="0" w:line="296" w:lineRule="auto"/>
        <w:tabs>
          <w:tab w:leader="none" w:pos="1701" w:val="left"/>
        </w:tabs>
        <w:numPr>
          <w:ilvl w:val="2"/>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112" w:lineRule="exact"/>
        <w:rPr>
          <w:sz w:val="20"/>
          <w:szCs w:val="20"/>
          <w:color w:val="auto"/>
        </w:rPr>
      </w:pPr>
    </w:p>
    <w:p>
      <w:pPr>
        <w:ind w:left="400" w:right="419"/>
        <w:spacing w:after="0" w:line="272"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paragraphs (a)(1)(i), (a)(1)(ii) and (a)(1)(iii) do not apply if the information required to be included in a post-effective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28" w:lineRule="exact"/>
        <w:rPr>
          <w:sz w:val="20"/>
          <w:szCs w:val="20"/>
          <w:color w:val="auto"/>
        </w:rPr>
      </w:pPr>
    </w:p>
    <w:p>
      <w:pPr>
        <w:jc w:val="both"/>
        <w:ind w:left="400" w:right="479" w:firstLine="741"/>
        <w:spacing w:after="0" w:line="277" w:lineRule="auto"/>
        <w:tabs>
          <w:tab w:leader="none" w:pos="132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fide </w:t>
      </w:r>
      <w:r>
        <w:rPr>
          <w:rFonts w:ascii="Times New Roman" w:cs="Times New Roman" w:eastAsia="Times New Roman" w:hAnsi="Times New Roman"/>
          <w:sz w:val="13"/>
          <w:szCs w:val="13"/>
          <w:color w:val="auto"/>
        </w:rPr>
        <w:t>offering thereof.</w:t>
      </w:r>
    </w:p>
    <w:p>
      <w:pPr>
        <w:spacing w:after="0" w:line="125" w:lineRule="exact"/>
        <w:rPr>
          <w:rFonts w:ascii="Times New Roman" w:cs="Times New Roman" w:eastAsia="Times New Roman" w:hAnsi="Times New Roman"/>
          <w:sz w:val="13"/>
          <w:szCs w:val="13"/>
          <w:color w:val="auto"/>
        </w:rPr>
      </w:pPr>
    </w:p>
    <w:p>
      <w:pPr>
        <w:ind w:left="400" w:right="519" w:firstLine="741"/>
        <w:spacing w:after="0" w:line="296" w:lineRule="auto"/>
        <w:tabs>
          <w:tab w:leader="none" w:pos="132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113" w:lineRule="exact"/>
        <w:rPr>
          <w:rFonts w:ascii="Times New Roman" w:cs="Times New Roman" w:eastAsia="Times New Roman" w:hAnsi="Times New Roman"/>
          <w:sz w:val="13"/>
          <w:szCs w:val="13"/>
          <w:color w:val="auto"/>
        </w:rPr>
      </w:pPr>
    </w:p>
    <w:p>
      <w:pPr>
        <w:ind w:left="1340" w:hanging="199"/>
        <w:spacing w:after="0"/>
        <w:tabs>
          <w:tab w:leader="none" w:pos="13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to any purchaser:</w:t>
      </w:r>
    </w:p>
    <w:p>
      <w:pPr>
        <w:spacing w:after="0" w:line="172" w:lineRule="exact"/>
        <w:rPr>
          <w:rFonts w:ascii="Times New Roman" w:cs="Times New Roman" w:eastAsia="Times New Roman" w:hAnsi="Times New Roman"/>
          <w:sz w:val="13"/>
          <w:szCs w:val="13"/>
          <w:color w:val="auto"/>
        </w:rPr>
      </w:pPr>
    </w:p>
    <w:p>
      <w:pPr>
        <w:ind w:left="400" w:right="439" w:firstLine="1069"/>
        <w:spacing w:after="0" w:line="296" w:lineRule="auto"/>
        <w:tabs>
          <w:tab w:leader="none" w:pos="1626"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3" w:lineRule="exact"/>
        <w:rPr>
          <w:rFonts w:ascii="Times New Roman" w:cs="Times New Roman" w:eastAsia="Times New Roman" w:hAnsi="Times New Roman"/>
          <w:sz w:val="13"/>
          <w:szCs w:val="13"/>
          <w:color w:val="auto"/>
        </w:rPr>
      </w:pPr>
    </w:p>
    <w:p>
      <w:pPr>
        <w:ind w:left="400" w:right="499" w:firstLine="1069"/>
        <w:spacing w:after="0" w:line="265" w:lineRule="auto"/>
        <w:tabs>
          <w:tab w:leader="none" w:pos="1663"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II-4</w:t>
      </w:r>
    </w:p>
    <w:p>
      <w:pPr>
        <w:sectPr>
          <w:pgSz w:w="11900" w:h="16838" w:orient="portrait"/>
          <w:cols w:equalWidth="0" w:num="1">
            <w:col w:w="9019"/>
          </w:cols>
          <w:pgMar w:left="1440" w:top="237" w:right="1440" w:bottom="1440" w:gutter="0" w:footer="0" w:header="0"/>
        </w:sectPr>
      </w:pPr>
    </w:p>
    <w:bookmarkStart w:id="34" w:name="page35"/>
    <w:bookmarkEnd w:id="34"/>
    <w:p>
      <w:pPr>
        <w:ind w:left="400" w:right="4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securities in the registration statement to which that prospectus relates, and the offering of such securities at that time shall be deemed to be the initial </w:t>
      </w:r>
      <w:r>
        <w:rPr>
          <w:rFonts w:ascii="Times New Roman" w:cs="Times New Roman" w:eastAsia="Times New Roman" w:hAnsi="Times New Roman"/>
          <w:sz w:val="13"/>
          <w:szCs w:val="13"/>
          <w:i w:val="1"/>
          <w:iCs w:val="1"/>
          <w:color w:val="auto"/>
        </w:rPr>
        <w:t xml:space="preserve">bona fide </w:t>
      </w:r>
      <w:r>
        <w:rPr>
          <w:rFonts w:ascii="Times New Roman" w:cs="Times New Roman" w:eastAsia="Times New Roman" w:hAnsi="Times New Roman"/>
          <w:sz w:val="13"/>
          <w:szCs w:val="13"/>
          <w:color w:val="auto"/>
        </w:rPr>
        <w:t>offering thereof, p</w:t>
      </w:r>
      <w:r>
        <w:rPr>
          <w:rFonts w:ascii="Times New Roman" w:cs="Times New Roman" w:eastAsia="Times New Roman" w:hAnsi="Times New Roman"/>
          <w:sz w:val="13"/>
          <w:szCs w:val="13"/>
          <w:i w:val="1"/>
          <w:iCs w:val="1"/>
          <w:color w:val="auto"/>
        </w:rPr>
        <w:t>rovided, however</w:t>
      </w:r>
      <w:r>
        <w:rPr>
          <w:rFonts w:ascii="Times New Roman" w:cs="Times New Roman" w:eastAsia="Times New Roman" w:hAnsi="Times New Roman"/>
          <w:sz w:val="13"/>
          <w:szCs w:val="13"/>
          <w:color w:val="auto"/>
        </w:rPr>
        <w:t>, that no statement made in a registration statement or prospectus that is part of the registration statement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3" w:lineRule="exact"/>
        <w:rPr>
          <w:sz w:val="20"/>
          <w:szCs w:val="20"/>
          <w:color w:val="auto"/>
        </w:rPr>
      </w:pPr>
    </w:p>
    <w:p>
      <w:pPr>
        <w:ind w:left="400" w:right="539" w:firstLine="741"/>
        <w:spacing w:after="0" w:line="267" w:lineRule="auto"/>
        <w:tabs>
          <w:tab w:leader="none" w:pos="132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2" w:lineRule="exact"/>
        <w:rPr>
          <w:rFonts w:ascii="Times New Roman" w:cs="Times New Roman" w:eastAsia="Times New Roman" w:hAnsi="Times New Roman"/>
          <w:sz w:val="13"/>
          <w:szCs w:val="13"/>
          <w:color w:val="auto"/>
        </w:rPr>
      </w:pPr>
    </w:p>
    <w:p>
      <w:pPr>
        <w:ind w:left="1620" w:hanging="151"/>
        <w:spacing w:after="0"/>
        <w:tabs>
          <w:tab w:leader="none" w:pos="1620"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w:t>
      </w:r>
    </w:p>
    <w:p>
      <w:pPr>
        <w:spacing w:after="0" w:line="23" w:lineRule="exact"/>
        <w:rPr>
          <w:rFonts w:ascii="Times New Roman" w:cs="Times New Roman" w:eastAsia="Times New Roman" w:hAnsi="Times New Roman"/>
          <w:sz w:val="13"/>
          <w:szCs w:val="13"/>
          <w:color w:val="auto"/>
        </w:rPr>
      </w:pPr>
    </w:p>
    <w:p>
      <w:pPr>
        <w:ind w:left="4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Rule 424;</w:t>
      </w:r>
    </w:p>
    <w:p>
      <w:pPr>
        <w:spacing w:after="0" w:line="159" w:lineRule="exact"/>
        <w:rPr>
          <w:rFonts w:ascii="Times New Roman" w:cs="Times New Roman" w:eastAsia="Times New Roman" w:hAnsi="Times New Roman"/>
          <w:sz w:val="13"/>
          <w:szCs w:val="13"/>
          <w:color w:val="auto"/>
        </w:rPr>
      </w:pPr>
    </w:p>
    <w:p>
      <w:pPr>
        <w:ind w:left="400" w:right="559" w:firstLine="1069"/>
        <w:spacing w:after="0" w:line="296" w:lineRule="auto"/>
        <w:tabs>
          <w:tab w:leader="none" w:pos="1663"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113" w:lineRule="exact"/>
        <w:rPr>
          <w:rFonts w:ascii="Times New Roman" w:cs="Times New Roman" w:eastAsia="Times New Roman" w:hAnsi="Times New Roman"/>
          <w:sz w:val="13"/>
          <w:szCs w:val="13"/>
          <w:color w:val="auto"/>
        </w:rPr>
      </w:pPr>
    </w:p>
    <w:p>
      <w:pPr>
        <w:ind w:left="400" w:right="579" w:firstLine="1069"/>
        <w:spacing w:after="0" w:line="296" w:lineRule="auto"/>
        <w:tabs>
          <w:tab w:leader="none" w:pos="1701"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3" w:lineRule="exact"/>
        <w:rPr>
          <w:rFonts w:ascii="Times New Roman" w:cs="Times New Roman" w:eastAsia="Times New Roman" w:hAnsi="Times New Roman"/>
          <w:sz w:val="13"/>
          <w:szCs w:val="13"/>
          <w:color w:val="auto"/>
        </w:rPr>
      </w:pPr>
    </w:p>
    <w:p>
      <w:pPr>
        <w:ind w:left="1700" w:hanging="231"/>
        <w:spacing w:after="0"/>
        <w:tabs>
          <w:tab w:leader="none" w:pos="1700"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72" w:lineRule="exact"/>
        <w:rPr>
          <w:rFonts w:ascii="Times New Roman" w:cs="Times New Roman" w:eastAsia="Times New Roman" w:hAnsi="Times New Roman"/>
          <w:sz w:val="13"/>
          <w:szCs w:val="13"/>
          <w:color w:val="auto"/>
        </w:rPr>
      </w:pPr>
    </w:p>
    <w:p>
      <w:pPr>
        <w:ind w:left="400" w:right="519" w:firstLine="741"/>
        <w:spacing w:after="0" w:line="270" w:lineRule="auto"/>
        <w:tabs>
          <w:tab w:leader="none" w:pos="132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w:t>
      </w:r>
    </w:p>
    <w:p>
      <w:pPr>
        <w:spacing w:after="0" w:line="131" w:lineRule="exact"/>
        <w:rPr>
          <w:rFonts w:ascii="Times New Roman" w:cs="Times New Roman" w:eastAsia="Times New Roman" w:hAnsi="Times New Roman"/>
          <w:sz w:val="13"/>
          <w:szCs w:val="13"/>
          <w:color w:val="auto"/>
        </w:rPr>
      </w:pPr>
    </w:p>
    <w:p>
      <w:pPr>
        <w:ind w:left="400" w:right="519" w:firstLine="741"/>
        <w:spacing w:after="0" w:line="277" w:lineRule="auto"/>
        <w:tabs>
          <w:tab w:leader="none" w:pos="132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an application for the purpose of determining the eligibility of the trustee to act under subsection (a) of Section 310 of the Trust Indenture Act of 1939, as amended, or the Trust Indenture Act, in accordance with the rules and regulations prescribed by the Commission under Section 305(b)(2) of the Trust Indenture Act.</w:t>
      </w:r>
    </w:p>
    <w:p>
      <w:pPr>
        <w:spacing w:after="0" w:line="125" w:lineRule="exact"/>
        <w:rPr>
          <w:rFonts w:ascii="Times New Roman" w:cs="Times New Roman" w:eastAsia="Times New Roman" w:hAnsi="Times New Roman"/>
          <w:sz w:val="13"/>
          <w:szCs w:val="13"/>
          <w:color w:val="auto"/>
        </w:rPr>
      </w:pPr>
    </w:p>
    <w:p>
      <w:pPr>
        <w:ind w:left="400" w:right="519" w:firstLine="331"/>
        <w:spacing w:after="0" w:line="264" w:lineRule="auto"/>
        <w:tabs>
          <w:tab w:leader="none" w:pos="91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II-5</w:t>
      </w:r>
    </w:p>
    <w:p>
      <w:pPr>
        <w:sectPr>
          <w:pgSz w:w="11900" w:h="16838" w:orient="portrait"/>
          <w:cols w:equalWidth="0" w:num="1">
            <w:col w:w="9019"/>
          </w:cols>
          <w:pgMar w:left="1440" w:top="237"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SIGNATURES</w:t>
      </w:r>
    </w:p>
    <w:p>
      <w:pPr>
        <w:spacing w:after="0" w:line="176" w:lineRule="exact"/>
        <w:rPr>
          <w:sz w:val="20"/>
          <w:szCs w:val="20"/>
          <w:color w:val="auto"/>
        </w:rPr>
      </w:pPr>
    </w:p>
    <w:p>
      <w:pPr>
        <w:ind w:left="400" w:right="559" w:firstLine="328"/>
        <w:spacing w:after="0" w:line="277"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New York, New York, on October 29, 2026.</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LEXEO THERAPEUTICS, INC.</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15240</wp:posOffset>
            </wp:positionV>
            <wp:extent cx="190817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1908175" cy="6350"/>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 Nolan Townsend</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II-6</w:t>
      </w:r>
    </w:p>
    <w:p>
      <w:pPr>
        <w:sectPr>
          <w:pgSz w:w="11900" w:h="16838" w:orient="portrait"/>
          <w:cols w:equalWidth="0" w:num="1">
            <w:col w:w="9019"/>
          </w:cols>
          <w:pgMar w:left="1440" w:top="233"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POWER OF ATTORNEY</w:t>
      </w:r>
    </w:p>
    <w:p>
      <w:pPr>
        <w:spacing w:after="0" w:line="176" w:lineRule="exact"/>
        <w:rPr>
          <w:sz w:val="20"/>
          <w:szCs w:val="20"/>
          <w:color w:val="auto"/>
        </w:rPr>
      </w:pPr>
    </w:p>
    <w:p>
      <w:pPr>
        <w:ind w:left="400" w:right="439" w:firstLine="328"/>
        <w:spacing w:after="0" w:line="262"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constitutes and appoints R. Nolan Townsend and Louis Tamayo and each one of them, as his or her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39" w:lineRule="exact"/>
        <w:rPr>
          <w:sz w:val="20"/>
          <w:szCs w:val="20"/>
          <w:color w:val="auto"/>
        </w:rPr>
      </w:pPr>
    </w:p>
    <w:p>
      <w:pPr>
        <w:ind w:left="400" w:right="579" w:firstLine="328"/>
        <w:spacing w:after="0" w:line="296"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14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100" w:type="dxa"/>
            <w:vAlign w:val="bottom"/>
          </w:tcPr>
          <w:p>
            <w:pPr>
              <w:spacing w:after="0"/>
              <w:rPr>
                <w:sz w:val="12"/>
                <w:szCs w:val="12"/>
                <w:color w:val="auto"/>
              </w:rPr>
            </w:pPr>
          </w:p>
        </w:tc>
        <w:tc>
          <w:tcPr>
            <w:tcW w:w="28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01"/>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R. Nolan Townsend</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Chief Executive Officer and Director (Principal</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 Nolan Townsend</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Executive Officer)</w:t>
            </w: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Louis Tamayo</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Chief Financial Officer (Principal Financial 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Louis Tamayo</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Accounting Officer)</w:t>
            </w: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Mette Kirstine Agger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Mette Kirstine Agger</w:t>
            </w: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Steven Altschuler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Steven Altschuler, M.D.</w:t>
            </w: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Paula HJ Cholmondeley</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Paula HJ Cholmondeley</w:t>
            </w: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Brenda Cooperstone</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Brenda Cooperstone, M.D.</w:t>
            </w: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Reinaldo Diaz</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Reinaldo Diaz</w:t>
            </w: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Tim Van Hauwermeiren</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Tim Van Hauwermeiren</w:t>
            </w: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Laura Sepp-Lorenzino</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Laura Sepp-Lorenzino</w:t>
            </w: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Tolga Tanguler</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2026</w:t>
            </w:r>
          </w:p>
        </w:tc>
      </w:tr>
      <w:tr>
        <w:trPr>
          <w:trHeight w:val="164"/>
        </w:trPr>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Tolga Tanguler</w:t>
            </w: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69"/>
        </w:trPr>
        <w:tc>
          <w:tcPr>
            <w:tcW w:w="3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II-7</w:t>
            </w:r>
          </w:p>
        </w:tc>
        <w:tc>
          <w:tcPr>
            <w:tcW w:w="1380" w:type="dxa"/>
            <w:vAlign w:val="bottom"/>
          </w:tcPr>
          <w:p>
            <w:pPr>
              <w:spacing w:after="0"/>
              <w:rPr>
                <w:sz w:val="23"/>
                <w:szCs w:val="23"/>
                <w:color w:val="auto"/>
              </w:rPr>
            </w:pPr>
          </w:p>
        </w:tc>
      </w:tr>
    </w:tbl>
    <w:p>
      <w:pPr>
        <w:sectPr>
          <w:pgSz w:w="11900" w:h="16838" w:orient="portrait"/>
          <w:cols w:equalWidth="0" w:num="1">
            <w:col w:w="9019"/>
          </w:cols>
          <w:pgMar w:left="1440" w:top="233" w:right="1440" w:bottom="1440" w:gutter="0" w:footer="0" w:header="0"/>
        </w:sectPr>
      </w:pPr>
    </w:p>
    <w:bookmarkStart w:id="37" w:name="page38"/>
    <w:bookmarkEnd w:id="37"/>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139065</wp:posOffset>
            </wp:positionV>
            <wp:extent cx="520827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5208270" cy="635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LEXEO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189865</wp:posOffset>
            </wp:positionV>
            <wp:extent cx="109156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180975</wp:posOffset>
            </wp:positionV>
            <wp:extent cx="109156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1091565" cy="63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136525</wp:posOffset>
            </wp:positionV>
            <wp:extent cx="520827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5208270" cy="635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3"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30"/>
        </w:trPr>
        <w:tc>
          <w:tcPr>
            <w:tcW w:w="59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ARTICLE I DEFINITIONS AND INCORPORATION BY REFERENCE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29"/>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1.1 Definitions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1.2 Other Definitions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1.3 Incorporation by Reference of Trust Indenture Act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3"/>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1.4 Rules of Construction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ARTICLE II THE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29"/>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2.1 Issuable in Series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2.2 Establishment of Terms of Series of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2.3 Execution and Authentication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2.4 Registrar and Paying Agent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2.5 Paying Agent to Hold Money in Trust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2.6 Securityholder Lists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2.7 Transfer and Exchange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2.8 Mutilated, Destroyed, Lost and Stolen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2.9 Outstanding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2.10 Treasury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2.11 Temporary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2.12 Cancellation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2.13 Defaulted Interest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2.14 Global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3"/>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2.15 CUSIP Numbers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ARTICLE III REDEMPTION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29"/>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3.1 Notice to Trustee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3.2 Selection of Securities to be Redeemed</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3.3 Notice of Redemption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3.4 Effect of Notice of Redemption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3.5 Deposit of Redemption Price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3"/>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3.6 Securities Redeemed in Part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ARTICLE IV COVENANTS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229"/>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4.1 Payment of Principal and Interest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4.2 SEC Reports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1"/>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4.3 Compliance Certificate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3"/>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4.4 Stay, Extension and Usury Laws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ARTICLE V SUCCESSORS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229"/>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5.1 When Company May Merge, Etc.</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3"/>
        </w:trPr>
        <w:tc>
          <w:tcPr>
            <w:tcW w:w="5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5.2 Successor Corporation Substituted</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w:t>
            </w:r>
          </w:p>
        </w:tc>
      </w:tr>
    </w:tbl>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i -</w:t>
      </w:r>
    </w:p>
    <w:p>
      <w:pPr>
        <w:sectPr>
          <w:pgSz w:w="11900" w:h="16838" w:orient="portrait"/>
          <w:cols w:equalWidth="0" w:num="1">
            <w:col w:w="9019"/>
          </w:cols>
          <w:pgMar w:left="1440" w:top="233"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(Continued)</w:t>
      </w:r>
    </w:p>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130"/>
        </w:trPr>
        <w:tc>
          <w:tcPr>
            <w:tcW w:w="6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21"/>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ARTICLE VI DEFAULTS AND REMEDIES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29"/>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6.1 Events of Default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6.2 Acceleration of Maturity; Rescission and Annulment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6.3 Collection of Indebtedness and Suits for Enforcement by Trustee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6.4 Trustee May File Proofs of Claim</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6.5 Trustee May Enforce Claims Without Possession of Securities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6.6 Application of Money Collected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6.7 Limitation on Suits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6.8 Unconditional Right of Holders to Receive Principal and Interest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6.9 Restoration of Rights and Remedies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6.10 Rights and Remedies Cumulative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6.11 Delay or Omission Not Waiver</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6.12 Control by Holders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6.13 Waiver of Past Defaults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3"/>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6.14 Undertaking for Costs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41"/>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ARTICLE VII TRUSTEE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29"/>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7.1 Duties of Trustee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7.2 Rights of Trustee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7.3 Individual Rights of Trustee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7.4 Trustee’s Disclaimer</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7.5 Notice of Defaults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7.6 Reports by Trustee to Holders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7.7 Compensation and Indemnity</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7.8 Replacement of Trustee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7.9 Successor Trustee by Merger, Etc.</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7.10 Eligibility; Disqualification</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3"/>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7.11 Preferential Collection of Claims Against Company</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41"/>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ARTICLE VIII SATISFACTION AND DISCHARGE; DEFEASANCE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29"/>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8.1 Satisfaction and Discharge of Indenture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8.2 Application of Trust Funds; Indemnification</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8.3 Legal Defeasance of Securities of any Series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8.4 Covenant Defeasance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8.5 Repayment to Company</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3"/>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8.6 Reinstatement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41"/>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ARTICLE IX AMENDMENTS AND WAIVERS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29"/>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9.1 Without Consent of Holders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9.2 With Consent of Holders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9.3 Limitations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9.4 Compliance with Trust Indenture Act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9.5 Revocation and Effect of Consents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1"/>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9.6 Notation on or Exchange of Securities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3"/>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9.7 Trustee Protected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r>
    </w:tbl>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3"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(Continued)</w:t>
      </w:r>
    </w:p>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130"/>
        </w:trPr>
        <w:tc>
          <w:tcPr>
            <w:tcW w:w="6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21"/>
        </w:trPr>
        <w:tc>
          <w:tcPr>
            <w:tcW w:w="6140" w:type="dxa"/>
            <w:vAlign w:val="bottom"/>
          </w:tcPr>
          <w:p>
            <w:pPr>
              <w:spacing w:after="0"/>
              <w:rPr>
                <w:sz w:val="20"/>
                <w:szCs w:val="20"/>
                <w:color w:val="auto"/>
              </w:rPr>
            </w:pPr>
            <w:r>
              <w:rPr>
                <w:rFonts w:ascii="Times New Roman" w:cs="Times New Roman" w:eastAsia="Times New Roman" w:hAnsi="Times New Roman"/>
                <w:sz w:val="13"/>
                <w:szCs w:val="13"/>
                <w:color w:val="auto"/>
              </w:rPr>
              <w:t>ARTICLE X MISCELLANEOUS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229"/>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 Trust Indenture Act Controls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10.2 Notices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10.3 Communication by Holders with Other Holders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10.4 Certificate and Opinion as to Conditions Precedent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10.5 Statements Required in Certificate or Opinion</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10.6 Rules by Trustee and Agents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10.7 Legal Holidays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10.8 No Recourse Against Others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10.9 Counterparts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10.10 Governing Law; Waiver of Jury Trial; Consent to Jurisdiction</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10.11 No Adverse Interpretation of Other Agreements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10.12 Successors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10.13 Severability</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10.14 Table of Contents, Headings, Etc.</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10.15 Securities in a Foreign Currency</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10.16 Judgment Currency</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10.17 Force Majeure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3"/>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10.18 U.S.A. Patriot Act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41"/>
        </w:trPr>
        <w:tc>
          <w:tcPr>
            <w:tcW w:w="6140" w:type="dxa"/>
            <w:vAlign w:val="bottom"/>
          </w:tcPr>
          <w:p>
            <w:pPr>
              <w:spacing w:after="0"/>
              <w:rPr>
                <w:sz w:val="20"/>
                <w:szCs w:val="20"/>
                <w:color w:val="auto"/>
              </w:rPr>
            </w:pPr>
            <w:r>
              <w:rPr>
                <w:rFonts w:ascii="Times New Roman" w:cs="Times New Roman" w:eastAsia="Times New Roman" w:hAnsi="Times New Roman"/>
                <w:sz w:val="13"/>
                <w:szCs w:val="13"/>
                <w:color w:val="auto"/>
              </w:rPr>
              <w:t>ARTICLE XI SINKING FUNDS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29"/>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11.1 Applicability of Article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1"/>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11.2 Satisfaction of Sinking Fund Payments with Securities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3"/>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11.3 Redemption of Securities for Sinking Fund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w:t>
            </w:r>
          </w:p>
        </w:tc>
      </w:tr>
    </w:tbl>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3" w:right="1440" w:bottom="1440" w:gutter="0" w:footer="0" w:header="0"/>
        </w:sectPr>
      </w:pPr>
    </w:p>
    <w:bookmarkStart w:id="41" w:name="page42"/>
    <w:bookmarkEnd w:id="41"/>
    <w:tbl>
      <w:tblPr>
        <w:tblLayout w:type="fixed"/>
        <w:tblInd w:w="1720" w:type="dxa"/>
        <w:tblCellMar>
          <w:top w:w="0" w:type="dxa"/>
          <w:left w:w="0" w:type="dxa"/>
          <w:bottom w:w="0" w:type="dxa"/>
          <w:right w:w="0" w:type="dxa"/>
        </w:tblCellMar>
      </w:tblPr>
      <w:tr>
        <w:trPr>
          <w:trHeight w:val="177"/>
        </w:trPr>
        <w:tc>
          <w:tcPr>
            <w:tcW w:w="1220" w:type="dxa"/>
            <w:vAlign w:val="bottom"/>
          </w:tcPr>
          <w:p>
            <w:pPr>
              <w:spacing w:after="0"/>
              <w:rPr>
                <w:sz w:val="15"/>
                <w:szCs w:val="15"/>
                <w:color w:val="auto"/>
              </w:rPr>
            </w:pPr>
          </w:p>
        </w:tc>
        <w:tc>
          <w:tcPr>
            <w:tcW w:w="426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LEXEO THERAPEUTICS, INC.</w:t>
            </w:r>
          </w:p>
        </w:tc>
      </w:tr>
      <w:tr>
        <w:trPr>
          <w:trHeight w:val="322"/>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Reconciliation and tie between Trust Indenture Act of 1939 and Indenture, dated as of      , 20</w:t>
            </w:r>
          </w:p>
        </w:tc>
      </w:tr>
      <w:tr>
        <w:trPr>
          <w:trHeight w:val="329"/>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310(a)(1)</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7.10</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(a)(2)</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7.10</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(a)(3)</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(a)(4)</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(a)(5)</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7.10</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7.10</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311(a)</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7.11</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7.11</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312(a)</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2.6</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10.3</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10.3</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313(a)</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7.6</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(b)(1)</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7.6</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(b)(2)</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7.6</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(c)(1)</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7.6</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7.6</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314(a)</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4.2, 10.5</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(c)(1)</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10.4</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(c)(2)</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10.4</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(c)(3)</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(e)</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10.5</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(f)</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315(a)</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7.5</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7.1</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(e)</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6.14</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316(a)</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2.10</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(a)(1)(A)</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6.12</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(a)(1)(B)</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6.13</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6.8</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317(a)(1)</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6.3</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(a)(2)</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6.4</w:t>
            </w:r>
          </w:p>
        </w:tc>
      </w:tr>
      <w:tr>
        <w:trPr>
          <w:trHeight w:val="161"/>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2.5</w:t>
            </w:r>
          </w:p>
        </w:tc>
      </w:tr>
      <w:tr>
        <w:trPr>
          <w:trHeight w:val="173"/>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 318(a)</w:t>
            </w:r>
          </w:p>
        </w:tc>
        <w:tc>
          <w:tcPr>
            <w:tcW w:w="42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70485</wp:posOffset>
            </wp:positionV>
            <wp:extent cx="56832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568325" cy="6350"/>
                    </a:xfrm>
                    <a:prstGeom prst="rect">
                      <a:avLst/>
                    </a:prstGeom>
                    <a:noFill/>
                  </pic:spPr>
                </pic:pic>
              </a:graphicData>
            </a:graphic>
          </wp:anchor>
        </w:drawing>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Note: This reconciliation and tie shall not, for any purpose, be deemed to be part of the Indenture.</w:t>
      </w:r>
    </w:p>
    <w:p>
      <w:pPr>
        <w:spacing w:after="0" w:line="1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-iv-</w:t>
      </w:r>
    </w:p>
    <w:p>
      <w:pPr>
        <w:sectPr>
          <w:pgSz w:w="11900" w:h="16838" w:orient="portrait"/>
          <w:cols w:equalWidth="0" w:num="1">
            <w:col w:w="9019"/>
          </w:cols>
          <w:pgMar w:left="1440" w:top="233" w:right="1440" w:bottom="1440" w:gutter="0" w:footer="0" w:header="0"/>
        </w:sectPr>
      </w:pPr>
    </w:p>
    <w:bookmarkStart w:id="42" w:name="page43"/>
    <w:bookmarkEnd w:id="42"/>
    <w:p>
      <w:pPr>
        <w:ind w:left="400" w:right="599" w:firstLine="738"/>
        <w:spacing w:after="0" w:line="29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Indenture dated as of , 20 between Lexeo Therapeutics, Inc., a company incorporated under the laws of Delaware (the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and [__________], a national banking association organized under the laws of the United States, as trustee (the “</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left="400" w:right="559" w:firstLine="738"/>
        <w:spacing w:after="0" w:line="296" w:lineRule="auto"/>
        <w:rPr>
          <w:sz w:val="20"/>
          <w:szCs w:val="20"/>
          <w:color w:val="auto"/>
        </w:rPr>
      </w:pPr>
      <w:r>
        <w:rPr>
          <w:rFonts w:ascii="Times New Roman" w:cs="Times New Roman" w:eastAsia="Times New Roman" w:hAnsi="Times New Roman"/>
          <w:sz w:val="13"/>
          <w:szCs w:val="13"/>
          <w:color w:val="auto"/>
        </w:rPr>
        <w:t>Each party agrees as follows for the benefit of the other party and for the equal and ratable benefit of the Holders of the Securities issued under this Indenture.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DEFINITIONS AND INCORPORATION BY REFERENCE</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left="400" w:right="53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Additional Amounts</w:t>
      </w:r>
      <w:r>
        <w:rPr>
          <w:rFonts w:ascii="Times New Roman" w:cs="Times New Roman" w:eastAsia="Times New Roman" w:hAnsi="Times New Roman"/>
          <w:sz w:val="13"/>
          <w:szCs w:val="13"/>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10" w:lineRule="exact"/>
        <w:rPr>
          <w:sz w:val="20"/>
          <w:szCs w:val="20"/>
          <w:color w:val="auto"/>
        </w:rPr>
      </w:pPr>
    </w:p>
    <w:p>
      <w:pPr>
        <w:ind w:left="400" w:right="419" w:firstLine="738"/>
        <w:spacing w:after="0" w:line="27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Affiliate</w:t>
      </w:r>
      <w:r>
        <w:rPr>
          <w:rFonts w:ascii="Times New Roman" w:cs="Times New Roman" w:eastAsia="Times New Roman" w:hAnsi="Times New Roman"/>
          <w:sz w:val="13"/>
          <w:szCs w:val="13"/>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Agent</w:t>
      </w:r>
      <w:r>
        <w:rPr>
          <w:rFonts w:ascii="Times New Roman" w:cs="Times New Roman" w:eastAsia="Times New Roman" w:hAnsi="Times New Roman"/>
          <w:sz w:val="13"/>
          <w:szCs w:val="13"/>
          <w:color w:val="auto"/>
        </w:rPr>
        <w:t>” means any Registrar, Paying Agent or Notice Agent.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Board of Directors</w:t>
      </w:r>
      <w:r>
        <w:rPr>
          <w:rFonts w:ascii="Times New Roman" w:cs="Times New Roman" w:eastAsia="Times New Roman" w:hAnsi="Times New Roman"/>
          <w:sz w:val="13"/>
          <w:szCs w:val="13"/>
          <w:color w:val="auto"/>
        </w:rPr>
        <w:t>” means the board of directors of the Company or any duly authorized committee thereof.</w:t>
      </w:r>
    </w:p>
    <w:p>
      <w:pPr>
        <w:spacing w:after="0" w:line="172" w:lineRule="exact"/>
        <w:rPr>
          <w:sz w:val="20"/>
          <w:szCs w:val="20"/>
          <w:color w:val="auto"/>
        </w:rPr>
      </w:pPr>
    </w:p>
    <w:p>
      <w:pPr>
        <w:ind w:left="400" w:right="439" w:firstLine="738"/>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Board Resolution</w:t>
      </w:r>
      <w:r>
        <w:rPr>
          <w:rFonts w:ascii="Times New Roman" w:cs="Times New Roman" w:eastAsia="Times New Roman" w:hAnsi="Times New Roman"/>
          <w:sz w:val="13"/>
          <w:szCs w:val="13"/>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4" w:lineRule="exact"/>
        <w:rPr>
          <w:sz w:val="20"/>
          <w:szCs w:val="20"/>
          <w:color w:val="auto"/>
        </w:rPr>
      </w:pPr>
    </w:p>
    <w:p>
      <w:pPr>
        <w:ind w:left="400" w:right="47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Business Day</w:t>
      </w:r>
      <w:r>
        <w:rPr>
          <w:rFonts w:ascii="Times New Roman" w:cs="Times New Roman" w:eastAsia="Times New Roman" w:hAnsi="Times New Roman"/>
          <w:sz w:val="13"/>
          <w:szCs w:val="13"/>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 Stock</w:t>
      </w:r>
      <w:r>
        <w:rPr>
          <w:rFonts w:ascii="Times New Roman" w:cs="Times New Roman" w:eastAsia="Times New Roman" w:hAnsi="Times New Roman"/>
          <w:sz w:val="13"/>
          <w:szCs w:val="13"/>
          <w:color w:val="auto"/>
        </w:rPr>
        <w:t>” means any and all shares, interests, participations, rights or other equivalents (however designated) of corporate stock.</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Common Stock</w:t>
      </w:r>
      <w:r>
        <w:rPr>
          <w:rFonts w:ascii="Times New Roman" w:cs="Times New Roman" w:eastAsia="Times New Roman" w:hAnsi="Times New Roman"/>
          <w:sz w:val="13"/>
          <w:szCs w:val="13"/>
          <w:color w:val="auto"/>
        </w:rPr>
        <w:t>” means the common stock, par value $0.0001 per share, of the Company.</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means the party named as such above until a successor replaces it and thereafter means the successor.</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Company Order</w:t>
      </w:r>
      <w:r>
        <w:rPr>
          <w:rFonts w:ascii="Times New Roman" w:cs="Times New Roman" w:eastAsia="Times New Roman" w:hAnsi="Times New Roman"/>
          <w:sz w:val="13"/>
          <w:szCs w:val="13"/>
          <w:color w:val="auto"/>
        </w:rPr>
        <w:t>” means a written order signed in the name of the Company by an Officer.</w:t>
      </w:r>
    </w:p>
    <w:p>
      <w:pPr>
        <w:spacing w:after="0" w:line="172" w:lineRule="exact"/>
        <w:rPr>
          <w:sz w:val="20"/>
          <w:szCs w:val="20"/>
          <w:color w:val="auto"/>
        </w:rPr>
      </w:pPr>
    </w:p>
    <w:p>
      <w:pPr>
        <w:ind w:left="400" w:right="499" w:firstLine="738"/>
        <w:spacing w:after="0" w:line="26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Corporate Trust Office</w:t>
      </w:r>
      <w:r>
        <w:rPr>
          <w:rFonts w:ascii="Times New Roman" w:cs="Times New Roman" w:eastAsia="Times New Roman" w:hAnsi="Times New Roman"/>
          <w:sz w:val="13"/>
          <w:szCs w:val="13"/>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ectPr>
          <w:pgSz w:w="11900" w:h="16838" w:orient="portrait"/>
          <w:cols w:equalWidth="0" w:num="1">
            <w:col w:w="9019"/>
          </w:cols>
          <w:pgMar w:left="1440" w:top="235" w:right="1440" w:bottom="1440" w:gutter="0" w:footer="0" w:header="0"/>
        </w:sectPr>
      </w:pPr>
    </w:p>
    <w:bookmarkStart w:id="43" w:name="page44"/>
    <w:bookmarkEnd w:id="43"/>
    <w:p>
      <w:pPr>
        <w:ind w:left="11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w:t>
      </w:r>
      <w:r>
        <w:rPr>
          <w:rFonts w:ascii="Times New Roman" w:cs="Times New Roman" w:eastAsia="Times New Roman" w:hAnsi="Times New Roman"/>
          <w:sz w:val="13"/>
          <w:szCs w:val="13"/>
          <w:i w:val="1"/>
          <w:iCs w:val="1"/>
          <w:color w:val="auto"/>
        </w:rPr>
        <w:t>Default</w:t>
      </w:r>
      <w:r>
        <w:rPr>
          <w:rFonts w:ascii="Times New Roman" w:cs="Times New Roman" w:eastAsia="Times New Roman" w:hAnsi="Times New Roman"/>
          <w:sz w:val="13"/>
          <w:szCs w:val="13"/>
          <w:color w:val="auto"/>
        </w:rPr>
        <w:t>” means any event which is, or after notice or passage of time or both would be, an Event of Default.</w:t>
      </w:r>
    </w:p>
    <w:p>
      <w:pPr>
        <w:spacing w:after="0" w:line="172" w:lineRule="exact"/>
        <w:rPr>
          <w:sz w:val="20"/>
          <w:szCs w:val="20"/>
          <w:color w:val="auto"/>
        </w:rPr>
      </w:pPr>
    </w:p>
    <w:p>
      <w:pPr>
        <w:ind w:left="400" w:right="579" w:firstLine="738"/>
        <w:spacing w:after="0" w:line="27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Depositary</w:t>
      </w:r>
      <w:r>
        <w:rPr>
          <w:rFonts w:ascii="Times New Roman" w:cs="Times New Roman" w:eastAsia="Times New Roman" w:hAnsi="Times New Roman"/>
          <w:sz w:val="13"/>
          <w:szCs w:val="13"/>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26" w:lineRule="exact"/>
        <w:rPr>
          <w:sz w:val="20"/>
          <w:szCs w:val="20"/>
          <w:color w:val="auto"/>
        </w:rPr>
      </w:pPr>
    </w:p>
    <w:p>
      <w:pPr>
        <w:ind w:left="400" w:right="59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Discount Security</w:t>
      </w:r>
      <w:r>
        <w:rPr>
          <w:rFonts w:ascii="Times New Roman" w:cs="Times New Roman" w:eastAsia="Times New Roman" w:hAnsi="Times New Roman"/>
          <w:sz w:val="13"/>
          <w:szCs w:val="13"/>
          <w:color w:val="auto"/>
        </w:rPr>
        <w:t>” means any Security that provides for an amount less than the stated principal amount thereof to be due and payable upon declaration of acceleration of the maturity thereof pursuant to Section 6.2.</w:t>
      </w:r>
    </w:p>
    <w:p>
      <w:pPr>
        <w:spacing w:after="0" w:line="1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Dollars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means the currency of The United States of America.</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Foreign Currency</w:t>
      </w:r>
      <w:r>
        <w:rPr>
          <w:rFonts w:ascii="Times New Roman" w:cs="Times New Roman" w:eastAsia="Times New Roman" w:hAnsi="Times New Roman"/>
          <w:sz w:val="13"/>
          <w:szCs w:val="13"/>
          <w:color w:val="auto"/>
        </w:rPr>
        <w:t>” means any currency or currency unit issued by a government other than the government of The United States of</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America.</w:t>
      </w:r>
    </w:p>
    <w:p>
      <w:pPr>
        <w:spacing w:after="0" w:line="158" w:lineRule="exact"/>
        <w:rPr>
          <w:sz w:val="20"/>
          <w:szCs w:val="20"/>
          <w:color w:val="auto"/>
        </w:rPr>
      </w:pPr>
    </w:p>
    <w:p>
      <w:pPr>
        <w:ind w:left="400" w:right="619" w:firstLine="738"/>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Foreign Government Obligations</w:t>
      </w:r>
      <w:r>
        <w:rPr>
          <w:rFonts w:ascii="Times New Roman" w:cs="Times New Roman" w:eastAsia="Times New Roman" w:hAnsi="Times New Roman"/>
          <w:sz w:val="13"/>
          <w:szCs w:val="13"/>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24" w:lineRule="exact"/>
        <w:rPr>
          <w:sz w:val="20"/>
          <w:szCs w:val="20"/>
          <w:color w:val="auto"/>
        </w:rPr>
      </w:pPr>
    </w:p>
    <w:p>
      <w:pPr>
        <w:ind w:left="400" w:right="479" w:firstLine="738"/>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“GAAP” </w:t>
      </w:r>
      <w:r>
        <w:rPr>
          <w:rFonts w:ascii="Times New Roman" w:cs="Times New Roman" w:eastAsia="Times New Roman" w:hAnsi="Times New Roman"/>
          <w:sz w:val="13"/>
          <w:szCs w:val="13"/>
          <w:color w:val="auto"/>
        </w:rPr>
        <w:t>means accounting principles generally accepted in the United States of America set forth in the opinions and pronouncements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26" w:lineRule="exact"/>
        <w:rPr>
          <w:sz w:val="20"/>
          <w:szCs w:val="20"/>
          <w:color w:val="auto"/>
        </w:rPr>
      </w:pPr>
    </w:p>
    <w:p>
      <w:pPr>
        <w:ind w:left="400" w:right="459" w:firstLine="738"/>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Global Security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Global Securities</w:t>
      </w:r>
      <w:r>
        <w:rPr>
          <w:rFonts w:ascii="Times New Roman" w:cs="Times New Roman" w:eastAsia="Times New Roman" w:hAnsi="Times New Roman"/>
          <w:sz w:val="13"/>
          <w:szCs w:val="13"/>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Holder</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Securityholder</w:t>
      </w:r>
      <w:r>
        <w:rPr>
          <w:rFonts w:ascii="Times New Roman" w:cs="Times New Roman" w:eastAsia="Times New Roman" w:hAnsi="Times New Roman"/>
          <w:sz w:val="13"/>
          <w:szCs w:val="13"/>
          <w:color w:val="auto"/>
        </w:rPr>
        <w:t>” means a person in whose name a Security is registered on the books of the Registrar.</w:t>
      </w:r>
    </w:p>
    <w:p>
      <w:pPr>
        <w:spacing w:after="0" w:line="172" w:lineRule="exact"/>
        <w:rPr>
          <w:sz w:val="20"/>
          <w:szCs w:val="20"/>
          <w:color w:val="auto"/>
        </w:rPr>
      </w:pPr>
    </w:p>
    <w:p>
      <w:pPr>
        <w:ind w:left="400" w:right="49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w:t>
      </w:r>
      <w:r>
        <w:rPr>
          <w:rFonts w:ascii="Times New Roman" w:cs="Times New Roman" w:eastAsia="Times New Roman" w:hAnsi="Times New Roman"/>
          <w:sz w:val="13"/>
          <w:szCs w:val="13"/>
          <w:color w:val="auto"/>
        </w:rPr>
        <w:t>” means this Indenture as amended or supplemented from time to time and shall include the form and terms of particular Series of Securities established as contemplated hereunder.</w:t>
      </w:r>
    </w:p>
    <w:p>
      <w:pPr>
        <w:spacing w:after="0" w:line="1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interest</w:t>
      </w:r>
      <w:r>
        <w:rPr>
          <w:rFonts w:ascii="Times New Roman" w:cs="Times New Roman" w:eastAsia="Times New Roman" w:hAnsi="Times New Roman"/>
          <w:sz w:val="13"/>
          <w:szCs w:val="13"/>
          <w:color w:val="auto"/>
        </w:rPr>
        <w:t>” with respect to any Discount Security which by its terms bears interest only after Maturity, means interest payable after Maturity.</w:t>
      </w:r>
    </w:p>
    <w:p>
      <w:pPr>
        <w:spacing w:after="0" w:line="172" w:lineRule="exact"/>
        <w:rPr>
          <w:sz w:val="20"/>
          <w:szCs w:val="20"/>
          <w:color w:val="auto"/>
        </w:rPr>
      </w:pPr>
    </w:p>
    <w:p>
      <w:pPr>
        <w:ind w:left="400" w:right="57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Maturity</w:t>
      </w:r>
      <w:r>
        <w:rPr>
          <w:rFonts w:ascii="Times New Roman" w:cs="Times New Roman" w:eastAsia="Times New Roman" w:hAnsi="Times New Roman"/>
          <w:sz w:val="13"/>
          <w:szCs w:val="13"/>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10" w:lineRule="exact"/>
        <w:rPr>
          <w:sz w:val="20"/>
          <w:szCs w:val="20"/>
          <w:color w:val="auto"/>
        </w:rPr>
      </w:pPr>
    </w:p>
    <w:p>
      <w:pPr>
        <w:ind w:left="400" w:right="43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Officer</w:t>
      </w:r>
      <w:r>
        <w:rPr>
          <w:rFonts w:ascii="Times New Roman" w:cs="Times New Roman" w:eastAsia="Times New Roman" w:hAnsi="Times New Roman"/>
          <w:sz w:val="13"/>
          <w:szCs w:val="13"/>
          <w:color w:val="auto"/>
        </w:rPr>
        <w:t>” means the Chief Executive Officer, President, the Chief Financial Officer, the Treasurer or any Assistant Treasurer, the Secretary or any Assistant Secretary, and any Vice President of the Company.</w:t>
      </w:r>
    </w:p>
    <w:p>
      <w:pPr>
        <w:spacing w:after="0" w:line="1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Officer’s Certificate</w:t>
      </w:r>
      <w:r>
        <w:rPr>
          <w:rFonts w:ascii="Times New Roman" w:cs="Times New Roman" w:eastAsia="Times New Roman" w:hAnsi="Times New Roman"/>
          <w:sz w:val="13"/>
          <w:szCs w:val="13"/>
          <w:color w:val="auto"/>
        </w:rPr>
        <w:t>” means a certificate signed by any Officer that meets the requirements of Section 10.5.</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5" w:right="1440" w:bottom="1440" w:gutter="0" w:footer="0" w:header="0"/>
        </w:sectPr>
      </w:pPr>
    </w:p>
    <w:bookmarkStart w:id="44" w:name="page45"/>
    <w:bookmarkEnd w:id="44"/>
    <w:p>
      <w:pPr>
        <w:ind w:left="400" w:right="759" w:firstLine="738"/>
        <w:spacing w:after="0" w:line="29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w:t>
      </w:r>
      <w:r>
        <w:rPr>
          <w:rFonts w:ascii="Times New Roman" w:cs="Times New Roman" w:eastAsia="Times New Roman" w:hAnsi="Times New Roman"/>
          <w:sz w:val="13"/>
          <w:szCs w:val="13"/>
          <w:i w:val="1"/>
          <w:iCs w:val="1"/>
          <w:color w:val="auto"/>
        </w:rPr>
        <w:t>Opinion of Counsel</w:t>
      </w:r>
      <w:r>
        <w:rPr>
          <w:rFonts w:ascii="Times New Roman" w:cs="Times New Roman" w:eastAsia="Times New Roman" w:hAnsi="Times New Roman"/>
          <w:sz w:val="13"/>
          <w:szCs w:val="13"/>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10" w:lineRule="exact"/>
        <w:rPr>
          <w:sz w:val="20"/>
          <w:szCs w:val="20"/>
          <w:color w:val="auto"/>
        </w:rPr>
      </w:pPr>
    </w:p>
    <w:p>
      <w:pPr>
        <w:ind w:left="400" w:right="53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person</w:t>
      </w:r>
      <w:r>
        <w:rPr>
          <w:rFonts w:ascii="Times New Roman" w:cs="Times New Roman" w:eastAsia="Times New Roman" w:hAnsi="Times New Roman"/>
          <w:sz w:val="13"/>
          <w:szCs w:val="13"/>
          <w:color w:val="auto"/>
        </w:rPr>
        <w:t>” means any individual, corporation, partnership, joint venture, association, limited liability company, joint-stock company, trust, unincorporated organization or government or any agency or political subdivision thereof.</w:t>
      </w:r>
    </w:p>
    <w:p>
      <w:pPr>
        <w:spacing w:after="0" w:line="110" w:lineRule="exact"/>
        <w:rPr>
          <w:sz w:val="20"/>
          <w:szCs w:val="20"/>
          <w:color w:val="auto"/>
        </w:rPr>
      </w:pPr>
    </w:p>
    <w:p>
      <w:pPr>
        <w:ind w:left="400" w:right="45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principal</w:t>
      </w:r>
      <w:r>
        <w:rPr>
          <w:rFonts w:ascii="Times New Roman" w:cs="Times New Roman" w:eastAsia="Times New Roman" w:hAnsi="Times New Roman"/>
          <w:sz w:val="13"/>
          <w:szCs w:val="13"/>
          <w:color w:val="auto"/>
        </w:rPr>
        <w:t>” of a Security means the principal of the Security plus, when appropriate, the premium, if any, on, and any Additional Amounts in respect of, the Security.</w:t>
      </w:r>
    </w:p>
    <w:p>
      <w:pPr>
        <w:spacing w:after="0" w:line="110" w:lineRule="exact"/>
        <w:rPr>
          <w:sz w:val="20"/>
          <w:szCs w:val="20"/>
          <w:color w:val="auto"/>
        </w:rPr>
      </w:pPr>
    </w:p>
    <w:p>
      <w:pPr>
        <w:ind w:left="400" w:right="439" w:firstLine="738"/>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Responsible Officer</w:t>
      </w:r>
      <w:r>
        <w:rPr>
          <w:rFonts w:ascii="Times New Roman" w:cs="Times New Roman" w:eastAsia="Times New Roman" w:hAnsi="Times New Roman"/>
          <w:sz w:val="13"/>
          <w:szCs w:val="13"/>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w:t>
      </w:r>
      <w:r>
        <w:rPr>
          <w:rFonts w:ascii="Times New Roman" w:cs="Times New Roman" w:eastAsia="Times New Roman" w:hAnsi="Times New Roman"/>
          <w:sz w:val="13"/>
          <w:szCs w:val="13"/>
          <w:color w:val="auto"/>
        </w:rPr>
        <w:t>” means the Securities and Exchange Commission.</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Securities</w:t>
      </w:r>
      <w:r>
        <w:rPr>
          <w:rFonts w:ascii="Times New Roman" w:cs="Times New Roman" w:eastAsia="Times New Roman" w:hAnsi="Times New Roman"/>
          <w:sz w:val="13"/>
          <w:szCs w:val="13"/>
          <w:color w:val="auto"/>
        </w:rPr>
        <w:t>” means the debentures, notes or other debt instruments of the Company of any Series authenticated and delivered under this</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Indenture.</w:t>
      </w:r>
    </w:p>
    <w:p>
      <w:pPr>
        <w:spacing w:after="0" w:line="158" w:lineRule="exact"/>
        <w:rPr>
          <w:sz w:val="20"/>
          <w:szCs w:val="20"/>
          <w:color w:val="auto"/>
        </w:rPr>
      </w:pPr>
    </w:p>
    <w:p>
      <w:pPr>
        <w:ind w:left="400" w:right="67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Series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Series of Securities</w:t>
      </w:r>
      <w:r>
        <w:rPr>
          <w:rFonts w:ascii="Times New Roman" w:cs="Times New Roman" w:eastAsia="Times New Roman" w:hAnsi="Times New Roman"/>
          <w:sz w:val="13"/>
          <w:szCs w:val="13"/>
          <w:color w:val="auto"/>
        </w:rPr>
        <w:t>” means each series of debentures, notes or other debt instruments of the Company created pursuant to Sections 2.1 and 2.2 hereof.</w:t>
      </w:r>
    </w:p>
    <w:p>
      <w:pPr>
        <w:spacing w:after="0" w:line="110" w:lineRule="exact"/>
        <w:rPr>
          <w:sz w:val="20"/>
          <w:szCs w:val="20"/>
          <w:color w:val="auto"/>
        </w:rPr>
      </w:pPr>
    </w:p>
    <w:p>
      <w:pPr>
        <w:ind w:left="400" w:right="899" w:firstLine="73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Stated Maturity</w:t>
      </w:r>
      <w:r>
        <w:rPr>
          <w:rFonts w:ascii="Times New Roman" w:cs="Times New Roman" w:eastAsia="Times New Roman" w:hAnsi="Times New Roman"/>
          <w:sz w:val="13"/>
          <w:szCs w:val="13"/>
          <w:color w:val="auto"/>
        </w:rPr>
        <w:t>” when used with respect to any Security, means the date specified in such Security as the fixed date on which the principal of such Security or interest is due and payable.</w:t>
      </w:r>
    </w:p>
    <w:p>
      <w:pPr>
        <w:spacing w:after="0" w:line="110" w:lineRule="exact"/>
        <w:rPr>
          <w:sz w:val="20"/>
          <w:szCs w:val="20"/>
          <w:color w:val="auto"/>
        </w:rPr>
      </w:pPr>
    </w:p>
    <w:p>
      <w:pPr>
        <w:ind w:left="400" w:right="559" w:firstLine="738"/>
        <w:spacing w:after="0" w:line="27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Subsidiary</w:t>
      </w:r>
      <w:r>
        <w:rPr>
          <w:rFonts w:ascii="Times New Roman" w:cs="Times New Roman" w:eastAsia="Times New Roman" w:hAnsi="Times New Roman"/>
          <w:sz w:val="13"/>
          <w:szCs w:val="13"/>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26" w:lineRule="exact"/>
        <w:rPr>
          <w:sz w:val="20"/>
          <w:szCs w:val="20"/>
          <w:color w:val="auto"/>
        </w:rPr>
      </w:pPr>
    </w:p>
    <w:p>
      <w:pPr>
        <w:ind w:left="400" w:right="479" w:firstLine="738"/>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TIA</w:t>
      </w:r>
      <w:r>
        <w:rPr>
          <w:rFonts w:ascii="Times New Roman" w:cs="Times New Roman" w:eastAsia="Times New Roman" w:hAnsi="Times New Roman"/>
          <w:sz w:val="13"/>
          <w:szCs w:val="13"/>
          <w:color w:val="auto"/>
        </w:rPr>
        <w:t xml:space="preserve">” means the Trust Indenture Act of 1939 (15 U.S. Code §§ 77aaa-77bbbb) as in effect on the date of this Indenture;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the event the Trust Indenture Act of 1939 is amended after such date, “TIA” means, to the extent required by any such amendment, the Trust Indenture Act as so amended.</w:t>
      </w:r>
    </w:p>
    <w:p>
      <w:pPr>
        <w:spacing w:after="0" w:line="124" w:lineRule="exact"/>
        <w:rPr>
          <w:sz w:val="20"/>
          <w:szCs w:val="20"/>
          <w:color w:val="auto"/>
        </w:rPr>
      </w:pPr>
    </w:p>
    <w:p>
      <w:pPr>
        <w:ind w:left="400" w:right="459" w:firstLine="738"/>
        <w:spacing w:after="0" w:line="27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26" w:lineRule="exact"/>
        <w:rPr>
          <w:sz w:val="20"/>
          <w:szCs w:val="20"/>
          <w:color w:val="auto"/>
        </w:rPr>
      </w:pPr>
    </w:p>
    <w:p>
      <w:pPr>
        <w:ind w:left="400" w:right="439" w:firstLine="738"/>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U.S. Government Obligations</w:t>
      </w:r>
      <w:r>
        <w:rPr>
          <w:rFonts w:ascii="Times New Roman" w:cs="Times New Roman" w:eastAsia="Times New Roman" w:hAnsi="Times New Roman"/>
          <w:sz w:val="13"/>
          <w:szCs w:val="13"/>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5" w:right="1440" w:bottom="1440" w:gutter="0" w:footer="0" w:header="0"/>
        </w:sectPr>
      </w:pPr>
    </w:p>
    <w:bookmarkStart w:id="45" w:name="page46"/>
    <w:bookmarkEnd w:id="45"/>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1.2 </w:t>
      </w:r>
      <w:r>
        <w:rPr>
          <w:rFonts w:ascii="Times New Roman" w:cs="Times New Roman" w:eastAsia="Times New Roman" w:hAnsi="Times New Roman"/>
          <w:sz w:val="13"/>
          <w:szCs w:val="13"/>
          <w:u w:val="single" w:color="auto"/>
          <w:color w:val="auto"/>
        </w:rPr>
        <w:t>Other Definitions</w:t>
      </w:r>
      <w:r>
        <w:rPr>
          <w:rFonts w:ascii="Times New Roman" w:cs="Times New Roman" w:eastAsia="Times New Roman" w:hAnsi="Times New Roman"/>
          <w:sz w:val="13"/>
          <w:szCs w:val="13"/>
          <w:color w:val="auto"/>
        </w:rPr>
        <w:t>.</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148"/>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1"/>
              </w:rPr>
              <w:t>TERM</w:t>
            </w:r>
          </w:p>
        </w:tc>
        <w:tc>
          <w:tcPr>
            <w:tcW w:w="2860" w:type="dxa"/>
            <w:vAlign w:val="bottom"/>
          </w:tcPr>
          <w:p>
            <w:pPr>
              <w:spacing w:after="0"/>
              <w:rPr>
                <w:sz w:val="12"/>
                <w:szCs w:val="12"/>
                <w:color w:val="auto"/>
              </w:rPr>
            </w:pPr>
          </w:p>
        </w:tc>
        <w:tc>
          <w:tcPr>
            <w:tcW w:w="2420" w:type="dxa"/>
            <w:vAlign w:val="bottom"/>
            <w:gridSpan w:val="3"/>
          </w:tcPr>
          <w:p>
            <w:pPr>
              <w:ind w:left="1280"/>
              <w:spacing w:after="0"/>
              <w:rPr>
                <w:sz w:val="20"/>
                <w:szCs w:val="20"/>
                <w:color w:val="auto"/>
              </w:rPr>
            </w:pPr>
            <w:r>
              <w:rPr>
                <w:rFonts w:ascii="Times New Roman" w:cs="Times New Roman" w:eastAsia="Times New Roman" w:hAnsi="Times New Roman"/>
                <w:sz w:val="11"/>
                <w:szCs w:val="11"/>
                <w:color w:val="auto"/>
              </w:rPr>
              <w:t>DEFINED IN SECTION</w:t>
            </w:r>
          </w:p>
        </w:tc>
      </w:tr>
      <w:tr>
        <w:trPr>
          <w:trHeight w:val="141"/>
        </w:trPr>
        <w:tc>
          <w:tcPr>
            <w:tcW w:w="316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Bankruptcy Law</w:t>
            </w:r>
            <w:r>
              <w:rPr>
                <w:rFonts w:ascii="Times New Roman" w:cs="Times New Roman" w:eastAsia="Times New Roman" w:hAnsi="Times New Roman"/>
                <w:sz w:val="13"/>
                <w:szCs w:val="13"/>
                <w:color w:val="auto"/>
              </w:rPr>
              <w:t>”</w:t>
            </w:r>
          </w:p>
        </w:tc>
        <w:tc>
          <w:tcPr>
            <w:tcW w:w="12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6.1</w:t>
            </w:r>
          </w:p>
        </w:tc>
        <w:tc>
          <w:tcPr>
            <w:tcW w:w="40" w:type="dxa"/>
            <w:vAlign w:val="bottom"/>
            <w:tcBorders>
              <w:top w:val="single" w:sz="8" w:color="CCEEFF"/>
            </w:tcBorders>
            <w:shd w:val="clear" w:color="auto" w:fill="CCEEFF"/>
          </w:tcPr>
          <w:p>
            <w:pPr>
              <w:spacing w:after="0"/>
              <w:rPr>
                <w:sz w:val="12"/>
                <w:szCs w:val="12"/>
                <w:color w:val="auto"/>
              </w:rPr>
            </w:pPr>
          </w:p>
        </w:tc>
      </w:tr>
      <w:tr>
        <w:trPr>
          <w:trHeight w:val="161"/>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Custodian</w:t>
            </w:r>
            <w:r>
              <w:rPr>
                <w:rFonts w:ascii="Times New Roman" w:cs="Times New Roman" w:eastAsia="Times New Roman" w:hAnsi="Times New Roman"/>
                <w:sz w:val="13"/>
                <w:szCs w:val="13"/>
                <w:color w:val="auto"/>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tcPr>
          <w:p>
            <w:pPr>
              <w:spacing w:after="0"/>
              <w:rPr>
                <w:sz w:val="13"/>
                <w:szCs w:val="13"/>
                <w:color w:val="auto"/>
              </w:rPr>
            </w:pPr>
          </w:p>
        </w:tc>
      </w:tr>
      <w:tr>
        <w:trPr>
          <w:trHeight w:val="161"/>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Event of Default</w:t>
            </w:r>
            <w:r>
              <w:rPr>
                <w:rFonts w:ascii="Times New Roman" w:cs="Times New Roman" w:eastAsia="Times New Roman" w:hAnsi="Times New Roman"/>
                <w:sz w:val="13"/>
                <w:szCs w:val="13"/>
                <w:color w:val="auto"/>
              </w:rPr>
              <w: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shd w:val="clear" w:color="auto" w:fill="CCEEFF"/>
          </w:tcPr>
          <w:p>
            <w:pPr>
              <w:spacing w:after="0"/>
              <w:rPr>
                <w:sz w:val="13"/>
                <w:szCs w:val="13"/>
                <w:color w:val="auto"/>
              </w:rPr>
            </w:pPr>
          </w:p>
        </w:tc>
      </w:tr>
      <w:tr>
        <w:trPr>
          <w:trHeight w:val="161"/>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Judgment Currency</w:t>
            </w:r>
            <w:r>
              <w:rPr>
                <w:rFonts w:ascii="Times New Roman" w:cs="Times New Roman" w:eastAsia="Times New Roman" w:hAnsi="Times New Roman"/>
                <w:sz w:val="13"/>
                <w:szCs w:val="13"/>
                <w:color w:val="auto"/>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40" w:type="dxa"/>
            <w:vAlign w:val="bottom"/>
          </w:tcPr>
          <w:p>
            <w:pPr>
              <w:spacing w:after="0"/>
              <w:rPr>
                <w:sz w:val="13"/>
                <w:szCs w:val="13"/>
                <w:color w:val="auto"/>
              </w:rPr>
            </w:pPr>
          </w:p>
        </w:tc>
      </w:tr>
      <w:tr>
        <w:trPr>
          <w:trHeight w:val="161"/>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Legal Holiday</w:t>
            </w:r>
            <w:r>
              <w:rPr>
                <w:rFonts w:ascii="Times New Roman" w:cs="Times New Roman" w:eastAsia="Times New Roman" w:hAnsi="Times New Roman"/>
                <w:sz w:val="13"/>
                <w:szCs w:val="13"/>
                <w:color w:val="auto"/>
              </w:rPr>
              <w: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40" w:type="dxa"/>
            <w:vAlign w:val="bottom"/>
            <w:shd w:val="clear" w:color="auto" w:fill="CCEEFF"/>
          </w:tcPr>
          <w:p>
            <w:pPr>
              <w:spacing w:after="0"/>
              <w:rPr>
                <w:sz w:val="13"/>
                <w:szCs w:val="13"/>
                <w:color w:val="auto"/>
              </w:rPr>
            </w:pPr>
          </w:p>
        </w:tc>
      </w:tr>
      <w:tr>
        <w:trPr>
          <w:trHeight w:val="161"/>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mandatory sinking fund payment</w:t>
            </w:r>
            <w:r>
              <w:rPr>
                <w:rFonts w:ascii="Times New Roman" w:cs="Times New Roman" w:eastAsia="Times New Roman" w:hAnsi="Times New Roman"/>
                <w:sz w:val="13"/>
                <w:szCs w:val="13"/>
                <w:color w:val="auto"/>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40" w:type="dxa"/>
            <w:vAlign w:val="bottom"/>
          </w:tcPr>
          <w:p>
            <w:pPr>
              <w:spacing w:after="0"/>
              <w:rPr>
                <w:sz w:val="13"/>
                <w:szCs w:val="13"/>
                <w:color w:val="auto"/>
              </w:rPr>
            </w:pPr>
          </w:p>
        </w:tc>
      </w:tr>
      <w:tr>
        <w:trPr>
          <w:trHeight w:val="161"/>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New York Banking Day</w:t>
            </w:r>
            <w:r>
              <w:rPr>
                <w:rFonts w:ascii="Times New Roman" w:cs="Times New Roman" w:eastAsia="Times New Roman" w:hAnsi="Times New Roman"/>
                <w:sz w:val="13"/>
                <w:szCs w:val="13"/>
                <w:color w:val="auto"/>
              </w:rPr>
              <w: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40" w:type="dxa"/>
            <w:vAlign w:val="bottom"/>
            <w:shd w:val="clear" w:color="auto" w:fill="CCEEFF"/>
          </w:tcPr>
          <w:p>
            <w:pPr>
              <w:spacing w:after="0"/>
              <w:rPr>
                <w:sz w:val="13"/>
                <w:szCs w:val="13"/>
                <w:color w:val="auto"/>
              </w:rPr>
            </w:pPr>
          </w:p>
        </w:tc>
      </w:tr>
      <w:tr>
        <w:trPr>
          <w:trHeight w:val="161"/>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Notice Agent</w:t>
            </w:r>
            <w:r>
              <w:rPr>
                <w:rFonts w:ascii="Times New Roman" w:cs="Times New Roman" w:eastAsia="Times New Roman" w:hAnsi="Times New Roman"/>
                <w:sz w:val="13"/>
                <w:szCs w:val="13"/>
                <w:color w:val="auto"/>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40" w:type="dxa"/>
            <w:vAlign w:val="bottom"/>
          </w:tcPr>
          <w:p>
            <w:pPr>
              <w:spacing w:after="0"/>
              <w:rPr>
                <w:sz w:val="13"/>
                <w:szCs w:val="13"/>
                <w:color w:val="auto"/>
              </w:rPr>
            </w:pPr>
          </w:p>
        </w:tc>
      </w:tr>
      <w:tr>
        <w:trPr>
          <w:trHeight w:val="161"/>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optional sinking fund payment</w:t>
            </w:r>
            <w:r>
              <w:rPr>
                <w:rFonts w:ascii="Times New Roman" w:cs="Times New Roman" w:eastAsia="Times New Roman" w:hAnsi="Times New Roman"/>
                <w:sz w:val="13"/>
                <w:szCs w:val="13"/>
                <w:color w:val="auto"/>
              </w:rPr>
              <w: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40" w:type="dxa"/>
            <w:vAlign w:val="bottom"/>
            <w:shd w:val="clear" w:color="auto" w:fill="CCEEFF"/>
          </w:tcPr>
          <w:p>
            <w:pPr>
              <w:spacing w:after="0"/>
              <w:rPr>
                <w:sz w:val="13"/>
                <w:szCs w:val="13"/>
                <w:color w:val="auto"/>
              </w:rPr>
            </w:pPr>
          </w:p>
        </w:tc>
      </w:tr>
      <w:tr>
        <w:trPr>
          <w:trHeight w:val="161"/>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Paying Agent</w:t>
            </w:r>
            <w:r>
              <w:rPr>
                <w:rFonts w:ascii="Times New Roman" w:cs="Times New Roman" w:eastAsia="Times New Roman" w:hAnsi="Times New Roman"/>
                <w:sz w:val="13"/>
                <w:szCs w:val="13"/>
                <w:color w:val="auto"/>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40" w:type="dxa"/>
            <w:vAlign w:val="bottom"/>
          </w:tcPr>
          <w:p>
            <w:pPr>
              <w:spacing w:after="0"/>
              <w:rPr>
                <w:sz w:val="13"/>
                <w:szCs w:val="13"/>
                <w:color w:val="auto"/>
              </w:rPr>
            </w:pPr>
          </w:p>
        </w:tc>
      </w:tr>
      <w:tr>
        <w:trPr>
          <w:trHeight w:val="161"/>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Registrar</w:t>
            </w:r>
            <w:r>
              <w:rPr>
                <w:rFonts w:ascii="Times New Roman" w:cs="Times New Roman" w:eastAsia="Times New Roman" w:hAnsi="Times New Roman"/>
                <w:sz w:val="13"/>
                <w:szCs w:val="13"/>
                <w:color w:val="auto"/>
              </w:rPr>
              <w: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40" w:type="dxa"/>
            <w:vAlign w:val="bottom"/>
            <w:shd w:val="clear" w:color="auto" w:fill="CCEEFF"/>
          </w:tcPr>
          <w:p>
            <w:pPr>
              <w:spacing w:after="0"/>
              <w:rPr>
                <w:sz w:val="13"/>
                <w:szCs w:val="13"/>
                <w:color w:val="auto"/>
              </w:rPr>
            </w:pPr>
          </w:p>
        </w:tc>
      </w:tr>
      <w:tr>
        <w:trPr>
          <w:trHeight w:val="161"/>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Required Currency</w:t>
            </w:r>
            <w:r>
              <w:rPr>
                <w:rFonts w:ascii="Times New Roman" w:cs="Times New Roman" w:eastAsia="Times New Roman" w:hAnsi="Times New Roman"/>
                <w:sz w:val="13"/>
                <w:szCs w:val="13"/>
                <w:color w:val="auto"/>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40" w:type="dxa"/>
            <w:vAlign w:val="bottom"/>
          </w:tcPr>
          <w:p>
            <w:pPr>
              <w:spacing w:after="0"/>
              <w:rPr>
                <w:sz w:val="13"/>
                <w:szCs w:val="13"/>
                <w:color w:val="auto"/>
              </w:rPr>
            </w:pPr>
          </w:p>
        </w:tc>
      </w:tr>
      <w:tr>
        <w:trPr>
          <w:trHeight w:val="161"/>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Specified Courts</w:t>
            </w:r>
            <w:r>
              <w:rPr>
                <w:rFonts w:ascii="Times New Roman" w:cs="Times New Roman" w:eastAsia="Times New Roman" w:hAnsi="Times New Roman"/>
                <w:sz w:val="13"/>
                <w:szCs w:val="13"/>
                <w:color w:val="auto"/>
              </w:rPr>
              <w: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40" w:type="dxa"/>
            <w:vAlign w:val="bottom"/>
            <w:shd w:val="clear" w:color="auto" w:fill="CCEEFF"/>
          </w:tcPr>
          <w:p>
            <w:pPr>
              <w:spacing w:after="0"/>
              <w:rPr>
                <w:sz w:val="13"/>
                <w:szCs w:val="13"/>
                <w:color w:val="auto"/>
              </w:rPr>
            </w:pPr>
          </w:p>
        </w:tc>
      </w:tr>
      <w:tr>
        <w:trPr>
          <w:trHeight w:val="175"/>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successor person</w:t>
            </w:r>
            <w:r>
              <w:rPr>
                <w:rFonts w:ascii="Times New Roman" w:cs="Times New Roman" w:eastAsia="Times New Roman" w:hAnsi="Times New Roman"/>
                <w:sz w:val="13"/>
                <w:szCs w:val="13"/>
                <w:color w:val="auto"/>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40" w:type="dxa"/>
            <w:vAlign w:val="bottom"/>
          </w:tcPr>
          <w:p>
            <w:pPr>
              <w:spacing w:after="0"/>
              <w:rPr>
                <w:sz w:val="15"/>
                <w:szCs w:val="15"/>
                <w:color w:val="auto"/>
              </w:rPr>
            </w:pPr>
          </w:p>
        </w:tc>
      </w:tr>
    </w:tbl>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Incorporation by Reference of Trust Indenture Act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Whenever this Indenture refers to a provision of the TIA, the provision is incorporated by reference in and made a part of this Indenture.</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following TIA terms used in this Indenture have the following meanings: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Commission</w:t>
      </w:r>
      <w:r>
        <w:rPr>
          <w:rFonts w:ascii="Times New Roman" w:cs="Times New Roman" w:eastAsia="Times New Roman" w:hAnsi="Times New Roman"/>
          <w:sz w:val="13"/>
          <w:szCs w:val="13"/>
          <w:color w:val="auto"/>
        </w:rPr>
        <w:t>” means the SEC.</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 securities</w:t>
      </w:r>
      <w:r>
        <w:rPr>
          <w:rFonts w:ascii="Times New Roman" w:cs="Times New Roman" w:eastAsia="Times New Roman" w:hAnsi="Times New Roman"/>
          <w:sz w:val="13"/>
          <w:szCs w:val="13"/>
          <w:color w:val="auto"/>
        </w:rPr>
        <w:t>” means the Securities.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 security holder</w:t>
      </w:r>
      <w:r>
        <w:rPr>
          <w:rFonts w:ascii="Times New Roman" w:cs="Times New Roman" w:eastAsia="Times New Roman" w:hAnsi="Times New Roman"/>
          <w:sz w:val="13"/>
          <w:szCs w:val="13"/>
          <w:color w:val="auto"/>
        </w:rPr>
        <w:t>” means a Securityholder.</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 to be qualified”</w:t>
      </w:r>
      <w:r>
        <w:rPr>
          <w:rFonts w:ascii="Times New Roman" w:cs="Times New Roman" w:eastAsia="Times New Roman" w:hAnsi="Times New Roman"/>
          <w:sz w:val="13"/>
          <w:szCs w:val="13"/>
          <w:color w:val="auto"/>
        </w:rPr>
        <w:t xml:space="preserve"> means this Indenture.</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indenture trustee</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institutional trustee</w:t>
      </w:r>
      <w:r>
        <w:rPr>
          <w:rFonts w:ascii="Times New Roman" w:cs="Times New Roman" w:eastAsia="Times New Roman" w:hAnsi="Times New Roman"/>
          <w:sz w:val="13"/>
          <w:szCs w:val="13"/>
          <w:color w:val="auto"/>
        </w:rPr>
        <w:t>” means the Trustee.</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obligor</w:t>
      </w:r>
      <w:r>
        <w:rPr>
          <w:rFonts w:ascii="Times New Roman" w:cs="Times New Roman" w:eastAsia="Times New Roman" w:hAnsi="Times New Roman"/>
          <w:sz w:val="13"/>
          <w:szCs w:val="13"/>
          <w:color w:val="auto"/>
        </w:rPr>
        <w:t>” on the indenture securities means the Company and any successor obligor upon the Securities.</w:t>
      </w:r>
    </w:p>
    <w:p>
      <w:pPr>
        <w:spacing w:after="0" w:line="174" w:lineRule="exact"/>
        <w:rPr>
          <w:sz w:val="20"/>
          <w:szCs w:val="20"/>
          <w:color w:val="auto"/>
        </w:rPr>
      </w:pPr>
    </w:p>
    <w:p>
      <w:pPr>
        <w:ind w:left="400" w:right="739" w:firstLine="738"/>
        <w:spacing w:after="0" w:line="296" w:lineRule="auto"/>
        <w:rPr>
          <w:sz w:val="20"/>
          <w:szCs w:val="20"/>
          <w:color w:val="auto"/>
        </w:rPr>
      </w:pPr>
      <w:r>
        <w:rPr>
          <w:rFonts w:ascii="Times New Roman" w:cs="Times New Roman" w:eastAsia="Times New Roman" w:hAnsi="Times New Roman"/>
          <w:sz w:val="13"/>
          <w:szCs w:val="13"/>
          <w:color w:val="auto"/>
        </w:rPr>
        <w:t>All other terms used in this Indenture that are defined by the TIA, defined by TIA reference to another statute or defined by SEC rule under the TIA and not otherwise defined herein are used herein as so defined.</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Rules of Construction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Unless the context otherwise requires:</w:t>
      </w:r>
    </w:p>
    <w:p>
      <w:pPr>
        <w:spacing w:after="0" w:line="92" w:lineRule="exact"/>
        <w:rPr>
          <w:sz w:val="20"/>
          <w:szCs w:val="20"/>
          <w:color w:val="auto"/>
        </w:rPr>
      </w:pPr>
    </w:p>
    <w:p>
      <w:pPr>
        <w:ind w:left="1660" w:hanging="191"/>
        <w:spacing w:after="0"/>
        <w:tabs>
          <w:tab w:leader="none" w:pos="16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term has the meaning assigned to it;</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accounting term not otherwise defined has the meaning assigned to it in accordance with GAAP;</w:t>
      </w:r>
    </w:p>
    <w:p>
      <w:pPr>
        <w:spacing w:after="0" w:line="170"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or</w:t>
      </w:r>
      <w:r>
        <w:rPr>
          <w:rFonts w:ascii="Times New Roman" w:cs="Times New Roman" w:eastAsia="Times New Roman" w:hAnsi="Times New Roman"/>
          <w:sz w:val="13"/>
          <w:szCs w:val="13"/>
          <w:color w:val="auto"/>
        </w:rPr>
        <w:t>” is not exclusive;</w:t>
      </w:r>
    </w:p>
    <w:p>
      <w:pPr>
        <w:spacing w:after="0" w:line="174"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words in the singular include the plural, and in the plural include the singular; and</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apply to successive events and transactions.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7"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ARTICLE 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SECURITIES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Issuable in Series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4" w:lineRule="auto"/>
        <w:rPr>
          <w:sz w:val="20"/>
          <w:szCs w:val="20"/>
          <w:color w:val="auto"/>
        </w:rPr>
      </w:pPr>
      <w:r>
        <w:rPr>
          <w:rFonts w:ascii="Times New Roman" w:cs="Times New Roman" w:eastAsia="Times New Roman" w:hAnsi="Times New Roman"/>
          <w:sz w:val="13"/>
          <w:szCs w:val="13"/>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Establishment of Terms of Series of Securities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99" w:firstLine="738"/>
        <w:spacing w:after="0" w:line="270" w:lineRule="auto"/>
        <w:rPr>
          <w:sz w:val="20"/>
          <w:szCs w:val="20"/>
          <w:color w:val="auto"/>
        </w:rPr>
      </w:pPr>
      <w:r>
        <w:rPr>
          <w:rFonts w:ascii="Times New Roman" w:cs="Times New Roman" w:eastAsia="Times New Roman" w:hAnsi="Times New Roman"/>
          <w:sz w:val="13"/>
          <w:szCs w:val="13"/>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hereto or Officer’s Certificate:</w:t>
      </w:r>
    </w:p>
    <w:p>
      <w:pPr>
        <w:spacing w:after="0" w:line="131" w:lineRule="exact"/>
        <w:rPr>
          <w:sz w:val="20"/>
          <w:szCs w:val="20"/>
          <w:color w:val="auto"/>
        </w:rPr>
      </w:pPr>
    </w:p>
    <w:p>
      <w:pPr>
        <w:ind w:left="400" w:right="639" w:firstLine="1066"/>
        <w:spacing w:after="0" w:line="296" w:lineRule="auto"/>
        <w:rPr>
          <w:sz w:val="20"/>
          <w:szCs w:val="20"/>
          <w:color w:val="auto"/>
        </w:rPr>
      </w:pPr>
      <w:r>
        <w:rPr>
          <w:rFonts w:ascii="Times New Roman" w:cs="Times New Roman" w:eastAsia="Times New Roman" w:hAnsi="Times New Roman"/>
          <w:sz w:val="13"/>
          <w:szCs w:val="13"/>
          <w:color w:val="auto"/>
        </w:rPr>
        <w:t>2.2.1. the title (which shall distinguish the Securities of that particular Series from the Securities of any other Series) and ranking (including the terms of any subordination provisions) of the Series;</w:t>
      </w:r>
    </w:p>
    <w:p>
      <w:pPr>
        <w:spacing w:after="0" w:line="1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2.2.2. the price or prices (expressed as a percentage of the principal amount thereof) at which the Securities of the Series will be</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issued;</w:t>
      </w:r>
    </w:p>
    <w:p>
      <w:pPr>
        <w:spacing w:after="0" w:line="160" w:lineRule="exact"/>
        <w:rPr>
          <w:sz w:val="20"/>
          <w:szCs w:val="20"/>
          <w:color w:val="auto"/>
        </w:rPr>
      </w:pPr>
    </w:p>
    <w:p>
      <w:pPr>
        <w:jc w:val="both"/>
        <w:ind w:left="400" w:right="499" w:firstLine="1066"/>
        <w:spacing w:after="0" w:line="277" w:lineRule="auto"/>
        <w:rPr>
          <w:sz w:val="20"/>
          <w:szCs w:val="20"/>
          <w:color w:val="auto"/>
        </w:rPr>
      </w:pPr>
      <w:r>
        <w:rPr>
          <w:rFonts w:ascii="Times New Roman" w:cs="Times New Roman" w:eastAsia="Times New Roman" w:hAnsi="Times New Roman"/>
          <w:sz w:val="13"/>
          <w:szCs w:val="13"/>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2.2.4. the date or dates on which the principal of the Securities of the Series is payable;</w:t>
      </w:r>
    </w:p>
    <w:p>
      <w:pPr>
        <w:spacing w:after="0" w:line="172" w:lineRule="exact"/>
        <w:rPr>
          <w:sz w:val="20"/>
          <w:szCs w:val="20"/>
          <w:color w:val="auto"/>
        </w:rPr>
      </w:pPr>
    </w:p>
    <w:p>
      <w:pPr>
        <w:ind w:left="400" w:right="419" w:firstLine="1066"/>
        <w:spacing w:after="0" w:line="270" w:lineRule="auto"/>
        <w:rPr>
          <w:sz w:val="20"/>
          <w:szCs w:val="20"/>
          <w:color w:val="auto"/>
        </w:rPr>
      </w:pPr>
      <w:r>
        <w:rPr>
          <w:rFonts w:ascii="Times New Roman" w:cs="Times New Roman" w:eastAsia="Times New Roman" w:hAnsi="Times New Roman"/>
          <w:sz w:val="13"/>
          <w:szCs w:val="13"/>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2.2.6. the right, if any, to defer payment of interest and the maximum length of any such deferral period;</w:t>
      </w:r>
    </w:p>
    <w:p>
      <w:pPr>
        <w:spacing w:after="0" w:line="172" w:lineRule="exact"/>
        <w:rPr>
          <w:sz w:val="20"/>
          <w:szCs w:val="20"/>
          <w:color w:val="auto"/>
        </w:rPr>
      </w:pPr>
    </w:p>
    <w:p>
      <w:pPr>
        <w:ind w:left="400" w:right="479" w:firstLine="1066"/>
        <w:spacing w:after="0" w:line="277" w:lineRule="auto"/>
        <w:rPr>
          <w:sz w:val="20"/>
          <w:szCs w:val="20"/>
          <w:color w:val="auto"/>
        </w:rPr>
      </w:pPr>
      <w:r>
        <w:rPr>
          <w:rFonts w:ascii="Times New Roman" w:cs="Times New Roman" w:eastAsia="Times New Roman" w:hAnsi="Times New Roman"/>
          <w:sz w:val="13"/>
          <w:szCs w:val="13"/>
          <w:color w:val="auto"/>
        </w:rPr>
        <w:t>2.2.7.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26" w:lineRule="exact"/>
        <w:rPr>
          <w:sz w:val="20"/>
          <w:szCs w:val="20"/>
          <w:color w:val="auto"/>
        </w:rPr>
      </w:pPr>
    </w:p>
    <w:p>
      <w:pPr>
        <w:ind w:left="400" w:right="679" w:firstLine="1066"/>
        <w:spacing w:after="0" w:line="296" w:lineRule="auto"/>
        <w:rPr>
          <w:sz w:val="20"/>
          <w:szCs w:val="20"/>
          <w:color w:val="auto"/>
        </w:rPr>
      </w:pPr>
      <w:r>
        <w:rPr>
          <w:rFonts w:ascii="Times New Roman" w:cs="Times New Roman" w:eastAsia="Times New Roman" w:hAnsi="Times New Roman"/>
          <w:sz w:val="13"/>
          <w:szCs w:val="13"/>
          <w:color w:val="auto"/>
        </w:rPr>
        <w:t>2.2.8. if applicable, the period or periods within which, the price or prices at which and the terms and conditions upon which the Securities of the Series may be redeemed, in whole or in part, at the option of the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3" w:right="1440" w:bottom="1440" w:gutter="0" w:footer="0" w:header="0"/>
        </w:sectPr>
      </w:pPr>
    </w:p>
    <w:bookmarkStart w:id="47" w:name="page48"/>
    <w:bookmarkEnd w:id="47"/>
    <w:p>
      <w:pPr>
        <w:jc w:val="both"/>
        <w:ind w:left="400" w:right="639" w:firstLine="1066"/>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26" w:lineRule="exact"/>
        <w:rPr>
          <w:sz w:val="20"/>
          <w:szCs w:val="20"/>
          <w:color w:val="auto"/>
        </w:rPr>
      </w:pPr>
    </w:p>
    <w:p>
      <w:pPr>
        <w:ind w:left="400" w:right="679" w:firstLine="1066"/>
        <w:spacing w:after="0" w:line="296" w:lineRule="auto"/>
        <w:rPr>
          <w:sz w:val="20"/>
          <w:szCs w:val="20"/>
          <w:color w:val="auto"/>
        </w:rPr>
      </w:pPr>
      <w:r>
        <w:rPr>
          <w:rFonts w:ascii="Times New Roman" w:cs="Times New Roman" w:eastAsia="Times New Roman" w:hAnsi="Times New Roman"/>
          <w:sz w:val="13"/>
          <w:szCs w:val="13"/>
          <w:color w:val="auto"/>
        </w:rPr>
        <w:t>2.2.10. if other than denominations of $1,000 and any integral multiple thereof, the denominations in which the Securities of the Series shall be issuable;</w:t>
      </w:r>
    </w:p>
    <w:p>
      <w:pPr>
        <w:spacing w:after="0" w:line="114" w:lineRule="exact"/>
        <w:rPr>
          <w:sz w:val="20"/>
          <w:szCs w:val="20"/>
          <w:color w:val="auto"/>
        </w:rPr>
      </w:pPr>
    </w:p>
    <w:p>
      <w:pPr>
        <w:ind w:left="400" w:right="459" w:firstLine="1066"/>
        <w:spacing w:after="0" w:line="267" w:lineRule="auto"/>
        <w:rPr>
          <w:sz w:val="20"/>
          <w:szCs w:val="20"/>
          <w:color w:val="auto"/>
        </w:rPr>
      </w:pPr>
      <w:r>
        <w:rPr>
          <w:rFonts w:ascii="Times New Roman" w:cs="Times New Roman" w:eastAsia="Times New Roman" w:hAnsi="Times New Roman"/>
          <w:sz w:val="13"/>
          <w:szCs w:val="13"/>
          <w:color w:val="auto"/>
        </w:rPr>
        <w:t>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 conversion or exchange provisions, the applicable conversion or exchange period and the manner of settlement for any such conversion or exchange;</w:t>
      </w:r>
    </w:p>
    <w:p>
      <w:pPr>
        <w:spacing w:after="0" w:line="1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2.2.12. the forms of the Securities of the Series and whether the Securities will be issuable as certificated Securities or Global</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Securities;</w:t>
      </w:r>
    </w:p>
    <w:p>
      <w:pPr>
        <w:spacing w:after="0" w:line="160" w:lineRule="exact"/>
        <w:rPr>
          <w:sz w:val="20"/>
          <w:szCs w:val="20"/>
          <w:color w:val="auto"/>
        </w:rPr>
      </w:pPr>
    </w:p>
    <w:p>
      <w:pPr>
        <w:ind w:left="400" w:right="719" w:firstLine="1066"/>
        <w:spacing w:after="0" w:line="296" w:lineRule="auto"/>
        <w:rPr>
          <w:sz w:val="20"/>
          <w:szCs w:val="20"/>
          <w:color w:val="auto"/>
        </w:rPr>
      </w:pPr>
      <w:r>
        <w:rPr>
          <w:rFonts w:ascii="Times New Roman" w:cs="Times New Roman" w:eastAsia="Times New Roman" w:hAnsi="Times New Roman"/>
          <w:sz w:val="13"/>
          <w:szCs w:val="13"/>
          <w:color w:val="auto"/>
        </w:rPr>
        <w:t>2.2.13. if other than the principal amount thereof, the portion of the principal amount of the Securities of the Series that shall be payable upon declaration of acceleration of the maturity thereof pursuant to Section 6.2;</w:t>
      </w:r>
    </w:p>
    <w:p>
      <w:pPr>
        <w:spacing w:after="0" w:line="114" w:lineRule="exact"/>
        <w:rPr>
          <w:sz w:val="20"/>
          <w:szCs w:val="20"/>
          <w:color w:val="auto"/>
        </w:rPr>
      </w:pPr>
    </w:p>
    <w:p>
      <w:pPr>
        <w:ind w:left="400" w:right="519" w:firstLine="1066"/>
        <w:spacing w:after="0" w:line="277" w:lineRule="auto"/>
        <w:rPr>
          <w:sz w:val="20"/>
          <w:szCs w:val="20"/>
          <w:color w:val="auto"/>
        </w:rPr>
      </w:pPr>
      <w:r>
        <w:rPr>
          <w:rFonts w:ascii="Times New Roman" w:cs="Times New Roman" w:eastAsia="Times New Roman" w:hAnsi="Times New Roman"/>
          <w:sz w:val="13"/>
          <w:szCs w:val="13"/>
          <w:color w:val="auto"/>
        </w:rPr>
        <w:t>2.2.14.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w:t>
      </w:r>
    </w:p>
    <w:p>
      <w:pPr>
        <w:spacing w:after="0" w:line="126" w:lineRule="exact"/>
        <w:rPr>
          <w:sz w:val="20"/>
          <w:szCs w:val="20"/>
          <w:color w:val="auto"/>
        </w:rPr>
      </w:pPr>
    </w:p>
    <w:p>
      <w:pPr>
        <w:ind w:left="400" w:right="439" w:firstLine="1066"/>
        <w:spacing w:after="0" w:line="277" w:lineRule="auto"/>
        <w:rPr>
          <w:sz w:val="20"/>
          <w:szCs w:val="20"/>
          <w:color w:val="auto"/>
        </w:rPr>
      </w:pPr>
      <w:r>
        <w:rPr>
          <w:rFonts w:ascii="Times New Roman" w:cs="Times New Roman" w:eastAsia="Times New Roman" w:hAnsi="Times New Roman"/>
          <w:sz w:val="13"/>
          <w:szCs w:val="13"/>
          <w:color w:val="auto"/>
        </w:rPr>
        <w:t>2.2.15.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2.2.16. the provisions, if any, relating to any security provided for the Securities of the Series;</w:t>
      </w:r>
    </w:p>
    <w:p>
      <w:pPr>
        <w:spacing w:after="0" w:line="172" w:lineRule="exact"/>
        <w:rPr>
          <w:sz w:val="20"/>
          <w:szCs w:val="20"/>
          <w:color w:val="auto"/>
        </w:rPr>
      </w:pPr>
    </w:p>
    <w:p>
      <w:pPr>
        <w:ind w:left="400" w:right="499" w:firstLine="1066"/>
        <w:spacing w:after="0" w:line="277" w:lineRule="auto"/>
        <w:rPr>
          <w:sz w:val="20"/>
          <w:szCs w:val="20"/>
          <w:color w:val="auto"/>
        </w:rPr>
      </w:pPr>
      <w:r>
        <w:rPr>
          <w:rFonts w:ascii="Times New Roman" w:cs="Times New Roman" w:eastAsia="Times New Roman" w:hAnsi="Times New Roman"/>
          <w:sz w:val="13"/>
          <w:szCs w:val="13"/>
          <w:color w:val="auto"/>
        </w:rPr>
        <w:t>2.2.17.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w:t>
      </w:r>
    </w:p>
    <w:p>
      <w:pPr>
        <w:spacing w:after="0" w:line="126" w:lineRule="exact"/>
        <w:rPr>
          <w:sz w:val="20"/>
          <w:szCs w:val="20"/>
          <w:color w:val="auto"/>
        </w:rPr>
      </w:pPr>
    </w:p>
    <w:p>
      <w:pPr>
        <w:ind w:left="400" w:right="619" w:firstLine="1066"/>
        <w:spacing w:after="0" w:line="296" w:lineRule="auto"/>
        <w:rPr>
          <w:sz w:val="20"/>
          <w:szCs w:val="20"/>
          <w:color w:val="auto"/>
        </w:rPr>
      </w:pPr>
      <w:r>
        <w:rPr>
          <w:rFonts w:ascii="Times New Roman" w:cs="Times New Roman" w:eastAsia="Times New Roman" w:hAnsi="Times New Roman"/>
          <w:sz w:val="13"/>
          <w:szCs w:val="13"/>
          <w:color w:val="auto"/>
        </w:rPr>
        <w:t>2.2.18. any Depositaries, interest rate calculation agents, exchange rate calculation agents, conversion agents or other agents with respect to Securities of such Series if other than those appointed herein;</w:t>
      </w:r>
    </w:p>
    <w:p>
      <w:pPr>
        <w:spacing w:after="0" w:line="114" w:lineRule="exact"/>
        <w:rPr>
          <w:sz w:val="20"/>
          <w:szCs w:val="20"/>
          <w:color w:val="auto"/>
        </w:rPr>
      </w:pPr>
    </w:p>
    <w:p>
      <w:pPr>
        <w:ind w:left="400" w:right="499" w:firstLine="1066"/>
        <w:spacing w:after="0" w:line="296" w:lineRule="auto"/>
        <w:rPr>
          <w:sz w:val="20"/>
          <w:szCs w:val="20"/>
          <w:color w:val="auto"/>
        </w:rPr>
      </w:pPr>
      <w:r>
        <w:rPr>
          <w:rFonts w:ascii="Times New Roman" w:cs="Times New Roman" w:eastAsia="Times New Roman" w:hAnsi="Times New Roman"/>
          <w:sz w:val="13"/>
          <w:szCs w:val="13"/>
          <w:color w:val="auto"/>
        </w:rPr>
        <w:t>2.2.19. if there is more than one Trustee or a different Trustee, the identity of the Trustee and, if not the Trustee, the identity of each Agent with respect to such Securities;</w:t>
      </w:r>
    </w:p>
    <w:p>
      <w:pPr>
        <w:spacing w:after="0" w:line="114" w:lineRule="exact"/>
        <w:rPr>
          <w:sz w:val="20"/>
          <w:szCs w:val="20"/>
          <w:color w:val="auto"/>
        </w:rPr>
      </w:pPr>
    </w:p>
    <w:p>
      <w:pPr>
        <w:jc w:val="both"/>
        <w:ind w:left="400" w:right="439" w:firstLine="1066"/>
        <w:spacing w:after="0" w:line="277" w:lineRule="auto"/>
        <w:rPr>
          <w:sz w:val="20"/>
          <w:szCs w:val="20"/>
          <w:color w:val="auto"/>
        </w:rPr>
      </w:pPr>
      <w:r>
        <w:rPr>
          <w:rFonts w:ascii="Times New Roman" w:cs="Times New Roman" w:eastAsia="Times New Roman" w:hAnsi="Times New Roman"/>
          <w:sz w:val="13"/>
          <w:szCs w:val="13"/>
          <w:color w:val="auto"/>
        </w:rPr>
        <w:t>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26" w:lineRule="exact"/>
        <w:rPr>
          <w:sz w:val="20"/>
          <w:szCs w:val="20"/>
          <w:color w:val="auto"/>
        </w:rPr>
      </w:pPr>
    </w:p>
    <w:p>
      <w:pPr>
        <w:ind w:left="400" w:right="499" w:firstLine="1066"/>
        <w:spacing w:after="0" w:line="296" w:lineRule="auto"/>
        <w:rPr>
          <w:sz w:val="20"/>
          <w:szCs w:val="20"/>
          <w:color w:val="auto"/>
        </w:rPr>
      </w:pPr>
      <w:r>
        <w:rPr>
          <w:rFonts w:ascii="Times New Roman" w:cs="Times New Roman" w:eastAsia="Times New Roman" w:hAnsi="Times New Roman"/>
          <w:sz w:val="13"/>
          <w:szCs w:val="13"/>
          <w:color w:val="auto"/>
        </w:rPr>
        <w:t>2.2.21. whether any of the Company’s direct or indirect Subsidiaries will guarantee the Securities of that Series, including the terms of subordination, if any, of such guarantees.</w:t>
      </w:r>
    </w:p>
    <w:p>
      <w:pPr>
        <w:spacing w:after="0" w:line="114" w:lineRule="exact"/>
        <w:rPr>
          <w:sz w:val="20"/>
          <w:szCs w:val="20"/>
          <w:color w:val="auto"/>
        </w:rPr>
      </w:pPr>
    </w:p>
    <w:p>
      <w:pPr>
        <w:ind w:left="400" w:right="499" w:firstLine="738"/>
        <w:spacing w:after="0" w:line="270" w:lineRule="auto"/>
        <w:rPr>
          <w:sz w:val="20"/>
          <w:szCs w:val="20"/>
          <w:color w:val="auto"/>
        </w:rPr>
      </w:pPr>
      <w:r>
        <w:rPr>
          <w:rFonts w:ascii="Times New Roman" w:cs="Times New Roman" w:eastAsia="Times New Roman" w:hAnsi="Times New Roman"/>
          <w:sz w:val="13"/>
          <w:szCs w:val="13"/>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7" w:right="1440" w:bottom="1440" w:gutter="0" w:footer="0" w:header="0"/>
        </w:sectPr>
      </w:pPr>
    </w:p>
    <w:bookmarkStart w:id="48" w:name="page49"/>
    <w:bookmarkEnd w:id="48"/>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2.3 </w:t>
      </w:r>
      <w:r>
        <w:rPr>
          <w:rFonts w:ascii="Times New Roman" w:cs="Times New Roman" w:eastAsia="Times New Roman" w:hAnsi="Times New Roman"/>
          <w:sz w:val="13"/>
          <w:szCs w:val="13"/>
          <w:u w:val="single" w:color="auto"/>
          <w:color w:val="auto"/>
        </w:rPr>
        <w:t>Execution and Authentication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An Officer shall sign the Securities for the Company by manual or facsimile signature.</w:t>
      </w:r>
    </w:p>
    <w:p>
      <w:pPr>
        <w:spacing w:after="0" w:line="172" w:lineRule="exact"/>
        <w:rPr>
          <w:sz w:val="20"/>
          <w:szCs w:val="20"/>
          <w:color w:val="auto"/>
        </w:rPr>
      </w:pPr>
    </w:p>
    <w:p>
      <w:pPr>
        <w:ind w:left="400" w:right="859" w:firstLine="738"/>
        <w:spacing w:after="0" w:line="296" w:lineRule="auto"/>
        <w:rPr>
          <w:sz w:val="20"/>
          <w:szCs w:val="20"/>
          <w:color w:val="auto"/>
        </w:rPr>
      </w:pPr>
      <w:r>
        <w:rPr>
          <w:rFonts w:ascii="Times New Roman" w:cs="Times New Roman" w:eastAsia="Times New Roman" w:hAnsi="Times New Roman"/>
          <w:sz w:val="13"/>
          <w:szCs w:val="13"/>
          <w:color w:val="auto"/>
        </w:rPr>
        <w:t>If an Officer whose signature is on a Security no longer holds that office at the time the Security is authenticated, the Security shall nevertheless be valid.</w:t>
      </w:r>
    </w:p>
    <w:p>
      <w:pPr>
        <w:spacing w:after="0" w:line="114" w:lineRule="exact"/>
        <w:rPr>
          <w:sz w:val="20"/>
          <w:szCs w:val="20"/>
          <w:color w:val="auto"/>
        </w:rPr>
      </w:pPr>
    </w:p>
    <w:p>
      <w:pPr>
        <w:ind w:left="400" w:right="559" w:firstLine="738"/>
        <w:spacing w:after="0" w:line="296" w:lineRule="auto"/>
        <w:rPr>
          <w:sz w:val="20"/>
          <w:szCs w:val="20"/>
          <w:color w:val="auto"/>
        </w:rPr>
      </w:pPr>
      <w:r>
        <w:rPr>
          <w:rFonts w:ascii="Times New Roman" w:cs="Times New Roman" w:eastAsia="Times New Roman" w:hAnsi="Times New Roman"/>
          <w:sz w:val="13"/>
          <w:szCs w:val="13"/>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14" w:lineRule="exact"/>
        <w:rPr>
          <w:sz w:val="20"/>
          <w:szCs w:val="20"/>
          <w:color w:val="auto"/>
        </w:rPr>
      </w:pPr>
    </w:p>
    <w:p>
      <w:pPr>
        <w:ind w:left="400" w:right="479" w:firstLine="738"/>
        <w:spacing w:after="0" w:line="277" w:lineRule="auto"/>
        <w:rPr>
          <w:sz w:val="20"/>
          <w:szCs w:val="20"/>
          <w:color w:val="auto"/>
        </w:rPr>
      </w:pPr>
      <w:r>
        <w:rPr>
          <w:rFonts w:ascii="Times New Roman" w:cs="Times New Roman" w:eastAsia="Times New Roman" w:hAnsi="Times New Roman"/>
          <w:sz w:val="13"/>
          <w:szCs w:val="13"/>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26" w:lineRule="exact"/>
        <w:rPr>
          <w:sz w:val="20"/>
          <w:szCs w:val="20"/>
          <w:color w:val="auto"/>
        </w:rPr>
      </w:pPr>
    </w:p>
    <w:p>
      <w:pPr>
        <w:jc w:val="both"/>
        <w:ind w:left="400" w:right="439" w:firstLine="738"/>
        <w:spacing w:after="0" w:line="277" w:lineRule="auto"/>
        <w:rPr>
          <w:sz w:val="20"/>
          <w:szCs w:val="20"/>
          <w:color w:val="auto"/>
        </w:rPr>
      </w:pPr>
      <w:r>
        <w:rPr>
          <w:rFonts w:ascii="Times New Roman" w:cs="Times New Roman" w:eastAsia="Times New Roman" w:hAnsi="Times New Roman"/>
          <w:sz w:val="13"/>
          <w:szCs w:val="13"/>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Prior to the issuance of Securities of any Series, the Trustee shall have received and (subject to Section 7.2) shall be fully protected in</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relying on: (a) the Board Resolution, supplemental indenture hereto or Officer’s Certificate establishing the form of the Securities of that Series or of</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Securities within that Series and the terms of the Securities of that Series or of Securities within that Series, (b) an Officer’s Certificate complying with</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Section 10.4, (c) an Opinion of Counsel complying with Section 10.4 and (d) an Opinion of Counsel (which may be the same Opinion of Counsel</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referred to in the preceding clause (c)) that such Securities, when they have been duly executed, issued, and authenticated in accordance with the terms</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of the Indenture and delivered against payment therefor in the circumstances described in such Opinion of Counsel, will be legally valid and binding</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obligations of the Company, enforceable against the Company in accordance with their terms.</w:t>
      </w:r>
    </w:p>
    <w:p>
      <w:pPr>
        <w:spacing w:after="0" w:line="160" w:lineRule="exact"/>
        <w:rPr>
          <w:sz w:val="20"/>
          <w:szCs w:val="20"/>
          <w:color w:val="auto"/>
        </w:rPr>
      </w:pPr>
    </w:p>
    <w:p>
      <w:pPr>
        <w:jc w:val="both"/>
        <w:ind w:left="400" w:right="659" w:firstLine="738"/>
        <w:spacing w:after="0" w:line="277" w:lineRule="auto"/>
        <w:rPr>
          <w:sz w:val="20"/>
          <w:szCs w:val="20"/>
          <w:color w:val="auto"/>
        </w:rPr>
      </w:pPr>
      <w:r>
        <w:rPr>
          <w:rFonts w:ascii="Times New Roman" w:cs="Times New Roman" w:eastAsia="Times New Roman" w:hAnsi="Times New Roman"/>
          <w:sz w:val="13"/>
          <w:szCs w:val="13"/>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26" w:lineRule="exact"/>
        <w:rPr>
          <w:sz w:val="20"/>
          <w:szCs w:val="20"/>
          <w:color w:val="auto"/>
        </w:rPr>
      </w:pPr>
    </w:p>
    <w:p>
      <w:pPr>
        <w:ind w:left="400" w:right="419" w:firstLine="738"/>
        <w:spacing w:after="0" w:line="277" w:lineRule="auto"/>
        <w:rPr>
          <w:sz w:val="20"/>
          <w:szCs w:val="20"/>
          <w:color w:val="auto"/>
        </w:rPr>
      </w:pPr>
      <w:r>
        <w:rPr>
          <w:rFonts w:ascii="Times New Roman" w:cs="Times New Roman" w:eastAsia="Times New Roman" w:hAnsi="Times New Roman"/>
          <w:sz w:val="13"/>
          <w:szCs w:val="13"/>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Registrar and Paying Agent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62" w:lineRule="auto"/>
        <w:rPr>
          <w:sz w:val="20"/>
          <w:szCs w:val="20"/>
          <w:color w:val="auto"/>
        </w:rPr>
      </w:pPr>
      <w:r>
        <w:rPr>
          <w:rFonts w:ascii="Times New Roman" w:cs="Times New Roman" w:eastAsia="Times New Roman" w:hAnsi="Times New Roman"/>
          <w:sz w:val="13"/>
          <w:szCs w:val="13"/>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3"/>
          <w:szCs w:val="13"/>
          <w:i w:val="1"/>
          <w:iCs w:val="1"/>
          <w:color w:val="auto"/>
        </w:rPr>
        <w:t>Paying Agent</w:t>
      </w:r>
      <w:r>
        <w:rPr>
          <w:rFonts w:ascii="Times New Roman" w:cs="Times New Roman" w:eastAsia="Times New Roman" w:hAnsi="Times New Roman"/>
          <w:sz w:val="13"/>
          <w:szCs w:val="13"/>
          <w:color w:val="auto"/>
        </w:rPr>
        <w:t>”), where Securities of such Series may be surrendered for registration of transfer or exchange (“</w:t>
      </w:r>
      <w:r>
        <w:rPr>
          <w:rFonts w:ascii="Times New Roman" w:cs="Times New Roman" w:eastAsia="Times New Roman" w:hAnsi="Times New Roman"/>
          <w:sz w:val="13"/>
          <w:szCs w:val="13"/>
          <w:i w:val="1"/>
          <w:iCs w:val="1"/>
          <w:color w:val="auto"/>
        </w:rPr>
        <w:t>Registrar</w:t>
      </w:r>
      <w:r>
        <w:rPr>
          <w:rFonts w:ascii="Times New Roman" w:cs="Times New Roman" w:eastAsia="Times New Roman" w:hAnsi="Times New Roman"/>
          <w:sz w:val="13"/>
          <w:szCs w:val="13"/>
          <w:color w:val="auto"/>
        </w:rPr>
        <w:t>”) and where notices and demands to or upon the Company in respect of the Securities of such Series and this Indenture may be delivered (“</w:t>
      </w:r>
      <w:r>
        <w:rPr>
          <w:rFonts w:ascii="Times New Roman" w:cs="Times New Roman" w:eastAsia="Times New Roman" w:hAnsi="Times New Roman"/>
          <w:sz w:val="13"/>
          <w:szCs w:val="13"/>
          <w:i w:val="1"/>
          <w:iCs w:val="1"/>
          <w:color w:val="auto"/>
        </w:rPr>
        <w:t>Notice Agent</w:t>
      </w:r>
      <w:r>
        <w:rPr>
          <w:rFonts w:ascii="Times New Roman" w:cs="Times New Roman" w:eastAsia="Times New Roman" w:hAnsi="Times New Roman"/>
          <w:sz w:val="13"/>
          <w:szCs w:val="13"/>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any appointment of the Trustee as the Notice Agent shall exclude the appointment of the Trustee or any office of the Trustee as an agent to receive the service of legal process on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7" w:right="1440" w:bottom="1440" w:gutter="0" w:footer="0" w:header="0"/>
        </w:sectPr>
      </w:pPr>
    </w:p>
    <w:bookmarkStart w:id="49" w:name="page50"/>
    <w:bookmarkEnd w:id="49"/>
    <w:p>
      <w:pPr>
        <w:ind w:left="400" w:right="479" w:firstLine="738"/>
        <w:spacing w:after="0" w:line="26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3"/>
          <w:szCs w:val="13"/>
          <w:i w:val="1"/>
          <w:iCs w:val="1"/>
          <w:color w:val="auto"/>
        </w:rPr>
        <w:t>Registrar</w:t>
      </w:r>
      <w:r>
        <w:rPr>
          <w:rFonts w:ascii="Times New Roman" w:cs="Times New Roman" w:eastAsia="Times New Roman" w:hAnsi="Times New Roman"/>
          <w:sz w:val="13"/>
          <w:szCs w:val="13"/>
          <w:color w:val="auto"/>
        </w:rPr>
        <w:t>” includes any co-registrar; the term “</w:t>
      </w:r>
      <w:r>
        <w:rPr>
          <w:rFonts w:ascii="Times New Roman" w:cs="Times New Roman" w:eastAsia="Times New Roman" w:hAnsi="Times New Roman"/>
          <w:sz w:val="13"/>
          <w:szCs w:val="13"/>
          <w:i w:val="1"/>
          <w:iCs w:val="1"/>
          <w:color w:val="auto"/>
        </w:rPr>
        <w:t>Paying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Agent</w:t>
      </w:r>
      <w:r>
        <w:rPr>
          <w:rFonts w:ascii="Times New Roman" w:cs="Times New Roman" w:eastAsia="Times New Roman" w:hAnsi="Times New Roman"/>
          <w:sz w:val="13"/>
          <w:szCs w:val="13"/>
          <w:color w:val="auto"/>
        </w:rPr>
        <w:t>” includes any additional paying agent; and the term “</w:t>
      </w:r>
      <w:r>
        <w:rPr>
          <w:rFonts w:ascii="Times New Roman" w:cs="Times New Roman" w:eastAsia="Times New Roman" w:hAnsi="Times New Roman"/>
          <w:sz w:val="13"/>
          <w:szCs w:val="13"/>
          <w:i w:val="1"/>
          <w:iCs w:val="1"/>
          <w:color w:val="auto"/>
        </w:rPr>
        <w:t>Notice Agent</w:t>
      </w:r>
      <w:r>
        <w:rPr>
          <w:rFonts w:ascii="Times New Roman" w:cs="Times New Roman" w:eastAsia="Times New Roman" w:hAnsi="Times New Roman"/>
          <w:sz w:val="13"/>
          <w:szCs w:val="13"/>
          <w:color w:val="auto"/>
        </w:rPr>
        <w:t>” includes any additional notice agent. The Company or any of its Affiliates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may serve as Registrar or Paying Agent.</w:t>
      </w:r>
    </w:p>
    <w:p>
      <w:pPr>
        <w:spacing w:after="0" w:line="135" w:lineRule="exact"/>
        <w:rPr>
          <w:sz w:val="20"/>
          <w:szCs w:val="20"/>
          <w:color w:val="auto"/>
        </w:rPr>
      </w:pPr>
    </w:p>
    <w:p>
      <w:pPr>
        <w:ind w:left="400" w:right="579" w:firstLine="738"/>
        <w:spacing w:after="0" w:line="296" w:lineRule="auto"/>
        <w:rPr>
          <w:sz w:val="20"/>
          <w:szCs w:val="20"/>
          <w:color w:val="auto"/>
        </w:rPr>
      </w:pPr>
      <w:r>
        <w:rPr>
          <w:rFonts w:ascii="Times New Roman" w:cs="Times New Roman" w:eastAsia="Times New Roman" w:hAnsi="Times New Roman"/>
          <w:sz w:val="13"/>
          <w:szCs w:val="13"/>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2.5 </w:t>
      </w:r>
      <w:r>
        <w:rPr>
          <w:rFonts w:ascii="Times New Roman" w:cs="Times New Roman" w:eastAsia="Times New Roman" w:hAnsi="Times New Roman"/>
          <w:sz w:val="13"/>
          <w:szCs w:val="13"/>
          <w:u w:val="single" w:color="auto"/>
          <w:color w:val="auto"/>
        </w:rPr>
        <w:t>Paying Agent to Hold Money in Trust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3" w:lineRule="auto"/>
        <w:rPr>
          <w:sz w:val="20"/>
          <w:szCs w:val="20"/>
          <w:color w:val="auto"/>
        </w:rPr>
      </w:pPr>
      <w:r>
        <w:rPr>
          <w:rFonts w:ascii="Times New Roman" w:cs="Times New Roman" w:eastAsia="Times New Roman" w:hAnsi="Times New Roman"/>
          <w:sz w:val="13"/>
          <w:szCs w:val="13"/>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2.6 </w:t>
      </w:r>
      <w:r>
        <w:rPr>
          <w:rFonts w:ascii="Times New Roman" w:cs="Times New Roman" w:eastAsia="Times New Roman" w:hAnsi="Times New Roman"/>
          <w:sz w:val="13"/>
          <w:szCs w:val="13"/>
          <w:u w:val="single" w:color="auto"/>
          <w:color w:val="auto"/>
        </w:rPr>
        <w:t>Securityholder Lists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left="400" w:right="439" w:firstLine="738"/>
        <w:spacing w:after="0" w:line="270" w:lineRule="auto"/>
        <w:rPr>
          <w:sz w:val="20"/>
          <w:szCs w:val="20"/>
          <w:color w:val="auto"/>
        </w:rPr>
      </w:pPr>
      <w:r>
        <w:rPr>
          <w:rFonts w:ascii="Times New Roman" w:cs="Times New Roman" w:eastAsia="Times New Roman" w:hAnsi="Times New Roman"/>
          <w:sz w:val="13"/>
          <w:szCs w:val="13"/>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2.7 </w:t>
      </w:r>
      <w:r>
        <w:rPr>
          <w:rFonts w:ascii="Times New Roman" w:cs="Times New Roman" w:eastAsia="Times New Roman" w:hAnsi="Times New Roman"/>
          <w:sz w:val="13"/>
          <w:szCs w:val="13"/>
          <w:u w:val="single" w:color="auto"/>
          <w:color w:val="auto"/>
        </w:rPr>
        <w:t>Transfer and Exchange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5" w:lineRule="auto"/>
        <w:rPr>
          <w:sz w:val="20"/>
          <w:szCs w:val="20"/>
          <w:color w:val="auto"/>
        </w:rPr>
      </w:pPr>
      <w:r>
        <w:rPr>
          <w:rFonts w:ascii="Times New Roman" w:cs="Times New Roman" w:eastAsia="Times New Roman" w:hAnsi="Times New Roman"/>
          <w:sz w:val="13"/>
          <w:szCs w:val="13"/>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35" w:lineRule="exact"/>
        <w:rPr>
          <w:sz w:val="20"/>
          <w:szCs w:val="20"/>
          <w:color w:val="auto"/>
        </w:rPr>
      </w:pPr>
    </w:p>
    <w:p>
      <w:pPr>
        <w:ind w:left="400" w:right="439" w:firstLine="738"/>
        <w:spacing w:after="0" w:line="269" w:lineRule="auto"/>
        <w:rPr>
          <w:sz w:val="20"/>
          <w:szCs w:val="20"/>
          <w:color w:val="auto"/>
        </w:rPr>
      </w:pPr>
      <w:r>
        <w:rPr>
          <w:rFonts w:ascii="Times New Roman" w:cs="Times New Roman" w:eastAsia="Times New Roman" w:hAnsi="Times New Roman"/>
          <w:sz w:val="13"/>
          <w:szCs w:val="13"/>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7" w:right="1440" w:bottom="1440" w:gutter="0" w:footer="0" w:header="0"/>
        </w:sectPr>
      </w:pPr>
    </w:p>
    <w:bookmarkStart w:id="50" w:name="page51"/>
    <w:bookmarkEnd w:id="50"/>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2.8 </w:t>
      </w:r>
      <w:r>
        <w:rPr>
          <w:rFonts w:ascii="Times New Roman" w:cs="Times New Roman" w:eastAsia="Times New Roman" w:hAnsi="Times New Roman"/>
          <w:sz w:val="13"/>
          <w:szCs w:val="13"/>
          <w:u w:val="single" w:color="auto"/>
          <w:color w:val="auto"/>
        </w:rPr>
        <w:t>Mutilated, Destroyed, Lost and Stolen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39" w:firstLine="738"/>
        <w:spacing w:after="0" w:line="296" w:lineRule="auto"/>
        <w:rPr>
          <w:sz w:val="20"/>
          <w:szCs w:val="20"/>
          <w:color w:val="auto"/>
        </w:rPr>
      </w:pPr>
      <w:r>
        <w:rPr>
          <w:rFonts w:ascii="Times New Roman" w:cs="Times New Roman" w:eastAsia="Times New Roman" w:hAnsi="Times New Roman"/>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14" w:lineRule="exact"/>
        <w:rPr>
          <w:sz w:val="20"/>
          <w:szCs w:val="20"/>
          <w:color w:val="auto"/>
        </w:rPr>
      </w:pPr>
    </w:p>
    <w:p>
      <w:pPr>
        <w:ind w:left="400" w:right="419" w:firstLine="738"/>
        <w:spacing w:after="0" w:line="267" w:lineRule="auto"/>
        <w:rPr>
          <w:sz w:val="20"/>
          <w:szCs w:val="20"/>
          <w:color w:val="auto"/>
        </w:rPr>
      </w:pPr>
      <w:r>
        <w:rPr>
          <w:rFonts w:ascii="Times New Roman" w:cs="Times New Roman" w:eastAsia="Times New Roman" w:hAnsi="Times New Roman"/>
          <w:sz w:val="13"/>
          <w:szCs w:val="13"/>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33" w:lineRule="exact"/>
        <w:rPr>
          <w:sz w:val="20"/>
          <w:szCs w:val="20"/>
          <w:color w:val="auto"/>
        </w:rPr>
      </w:pPr>
    </w:p>
    <w:p>
      <w:pPr>
        <w:ind w:left="400" w:right="799" w:firstLine="738"/>
        <w:spacing w:after="0" w:line="296" w:lineRule="auto"/>
        <w:rPr>
          <w:sz w:val="20"/>
          <w:szCs w:val="20"/>
          <w:color w:val="auto"/>
        </w:rPr>
      </w:pPr>
      <w:r>
        <w:rPr>
          <w:rFonts w:ascii="Times New Roman" w:cs="Times New Roman" w:eastAsia="Times New Roman" w:hAnsi="Times New Roman"/>
          <w:sz w:val="13"/>
          <w:szCs w:val="13"/>
          <w:color w:val="auto"/>
        </w:rPr>
        <w:t>In case any such mutilated, destroyed, lost or stolen Security has become or is about to become due and payable, the Company in its discretion may, instead of issuing a new Security, pay such Security.</w:t>
      </w:r>
    </w:p>
    <w:p>
      <w:pPr>
        <w:spacing w:after="0" w:line="114" w:lineRule="exact"/>
        <w:rPr>
          <w:sz w:val="20"/>
          <w:szCs w:val="20"/>
          <w:color w:val="auto"/>
        </w:rPr>
      </w:pPr>
    </w:p>
    <w:p>
      <w:pPr>
        <w:jc w:val="both"/>
        <w:ind w:left="400" w:right="559" w:firstLine="738"/>
        <w:spacing w:after="0" w:line="277" w:lineRule="auto"/>
        <w:rPr>
          <w:sz w:val="20"/>
          <w:szCs w:val="20"/>
          <w:color w:val="auto"/>
        </w:rPr>
      </w:pPr>
      <w:r>
        <w:rPr>
          <w:rFonts w:ascii="Times New Roman" w:cs="Times New Roman" w:eastAsia="Times New Roman" w:hAnsi="Times New Roman"/>
          <w:sz w:val="13"/>
          <w:szCs w:val="13"/>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6" w:lineRule="exact"/>
        <w:rPr>
          <w:sz w:val="20"/>
          <w:szCs w:val="20"/>
          <w:color w:val="auto"/>
        </w:rPr>
      </w:pPr>
    </w:p>
    <w:p>
      <w:pPr>
        <w:ind w:left="400" w:right="439" w:firstLine="738"/>
        <w:spacing w:after="0" w:line="277" w:lineRule="auto"/>
        <w:rPr>
          <w:sz w:val="20"/>
          <w:szCs w:val="20"/>
          <w:color w:val="auto"/>
        </w:rPr>
      </w:pPr>
      <w:r>
        <w:rPr>
          <w:rFonts w:ascii="Times New Roman" w:cs="Times New Roman" w:eastAsia="Times New Roman" w:hAnsi="Times New Roman"/>
          <w:sz w:val="13"/>
          <w:szCs w:val="13"/>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26" w:lineRule="exact"/>
        <w:rPr>
          <w:sz w:val="20"/>
          <w:szCs w:val="20"/>
          <w:color w:val="auto"/>
        </w:rPr>
      </w:pPr>
    </w:p>
    <w:p>
      <w:pPr>
        <w:ind w:left="400" w:right="779" w:firstLine="738"/>
        <w:spacing w:after="0" w:line="296" w:lineRule="auto"/>
        <w:rPr>
          <w:sz w:val="20"/>
          <w:szCs w:val="20"/>
          <w:color w:val="auto"/>
        </w:rPr>
      </w:pPr>
      <w:r>
        <w:rPr>
          <w:rFonts w:ascii="Times New Roman" w:cs="Times New Roman" w:eastAsia="Times New Roman" w:hAnsi="Times New Roman"/>
          <w:sz w:val="13"/>
          <w:szCs w:val="13"/>
          <w:color w:val="auto"/>
        </w:rPr>
        <w:t>The provisions of this Section are exclusive and shall preclude (to the extent lawful) all other rights and remedies with respect to the replacement or payment of mutilated, destroyed, lost or stolen Securities.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2.9 </w:t>
      </w:r>
      <w:r>
        <w:rPr>
          <w:rFonts w:ascii="Times New Roman" w:cs="Times New Roman" w:eastAsia="Times New Roman" w:hAnsi="Times New Roman"/>
          <w:sz w:val="13"/>
          <w:szCs w:val="13"/>
          <w:u w:val="single" w:color="auto"/>
          <w:color w:val="auto"/>
        </w:rPr>
        <w:t>Outstanding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59" w:firstLine="738"/>
        <w:spacing w:after="0" w:line="277" w:lineRule="auto"/>
        <w:rPr>
          <w:sz w:val="20"/>
          <w:szCs w:val="20"/>
          <w:color w:val="auto"/>
        </w:rPr>
      </w:pPr>
      <w:r>
        <w:rPr>
          <w:rFonts w:ascii="Times New Roman" w:cs="Times New Roman" w:eastAsia="Times New Roman" w:hAnsi="Times New Roman"/>
          <w:sz w:val="13"/>
          <w:szCs w:val="13"/>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26" w:lineRule="exact"/>
        <w:rPr>
          <w:sz w:val="20"/>
          <w:szCs w:val="20"/>
          <w:color w:val="auto"/>
        </w:rPr>
      </w:pPr>
    </w:p>
    <w:p>
      <w:pPr>
        <w:ind w:left="400" w:right="839" w:firstLine="738"/>
        <w:spacing w:after="0" w:line="296" w:lineRule="auto"/>
        <w:rPr>
          <w:sz w:val="20"/>
          <w:szCs w:val="20"/>
          <w:color w:val="auto"/>
        </w:rPr>
      </w:pPr>
      <w:r>
        <w:rPr>
          <w:rFonts w:ascii="Times New Roman" w:cs="Times New Roman" w:eastAsia="Times New Roman" w:hAnsi="Times New Roman"/>
          <w:sz w:val="13"/>
          <w:szCs w:val="13"/>
          <w:color w:val="auto"/>
        </w:rPr>
        <w:t>If a Security is replaced pursuant to Section 2.8, it ceases to be outstanding until the Trustee receives proof satisfactory to it that the replaced Security is held by a bona fide purchaser.</w:t>
      </w:r>
    </w:p>
    <w:p>
      <w:pPr>
        <w:spacing w:after="0" w:line="114" w:lineRule="exact"/>
        <w:rPr>
          <w:sz w:val="20"/>
          <w:szCs w:val="20"/>
          <w:color w:val="auto"/>
        </w:rPr>
      </w:pPr>
    </w:p>
    <w:p>
      <w:pPr>
        <w:ind w:left="400" w:right="619" w:firstLine="738"/>
        <w:spacing w:after="0" w:line="277" w:lineRule="auto"/>
        <w:rPr>
          <w:sz w:val="20"/>
          <w:szCs w:val="20"/>
          <w:color w:val="auto"/>
        </w:rPr>
      </w:pPr>
      <w:r>
        <w:rPr>
          <w:rFonts w:ascii="Times New Roman" w:cs="Times New Roman" w:eastAsia="Times New Roman" w:hAnsi="Times New Roman"/>
          <w:sz w:val="13"/>
          <w:szCs w:val="13"/>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The Company may purchase or otherwise acquire the Securities, whether by open market purchases, negotiated transactions or otherwise.</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 Security does not cease to be outstanding because the Company or an Affiliate of the Company holds the Security (but see Section 2.10 below).</w:t>
      </w:r>
    </w:p>
    <w:p>
      <w:pPr>
        <w:spacing w:after="0" w:line="160" w:lineRule="exact"/>
        <w:rPr>
          <w:sz w:val="20"/>
          <w:szCs w:val="20"/>
          <w:color w:val="auto"/>
        </w:rPr>
      </w:pPr>
    </w:p>
    <w:p>
      <w:pPr>
        <w:ind w:left="400" w:right="419" w:firstLine="738"/>
        <w:spacing w:after="0" w:line="270" w:lineRule="auto"/>
        <w:rPr>
          <w:sz w:val="20"/>
          <w:szCs w:val="20"/>
          <w:color w:val="auto"/>
        </w:rPr>
      </w:pPr>
      <w:r>
        <w:rPr>
          <w:rFonts w:ascii="Times New Roman" w:cs="Times New Roman" w:eastAsia="Times New Roman" w:hAnsi="Times New Roman"/>
          <w:sz w:val="13"/>
          <w:szCs w:val="13"/>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7" w:right="1440" w:bottom="1440" w:gutter="0" w:footer="0" w:header="0"/>
        </w:sectPr>
      </w:pPr>
    </w:p>
    <w:bookmarkStart w:id="51" w:name="page52"/>
    <w:bookmarkEnd w:id="51"/>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2.10 </w:t>
      </w:r>
      <w:r>
        <w:rPr>
          <w:rFonts w:ascii="Times New Roman" w:cs="Times New Roman" w:eastAsia="Times New Roman" w:hAnsi="Times New Roman"/>
          <w:sz w:val="13"/>
          <w:szCs w:val="13"/>
          <w:u w:val="single" w:color="auto"/>
          <w:color w:val="auto"/>
        </w:rPr>
        <w:t>Treasury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59" w:firstLine="738"/>
        <w:spacing w:after="0" w:line="270" w:lineRule="auto"/>
        <w:rPr>
          <w:sz w:val="20"/>
          <w:szCs w:val="20"/>
          <w:color w:val="auto"/>
        </w:rPr>
      </w:pPr>
      <w:r>
        <w:rPr>
          <w:rFonts w:ascii="Times New Roman" w:cs="Times New Roman" w:eastAsia="Times New Roman" w:hAnsi="Times New Roman"/>
          <w:sz w:val="13"/>
          <w:szCs w:val="13"/>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2.11 </w:t>
      </w:r>
      <w:r>
        <w:rPr>
          <w:rFonts w:ascii="Times New Roman" w:cs="Times New Roman" w:eastAsia="Times New Roman" w:hAnsi="Times New Roman"/>
          <w:sz w:val="13"/>
          <w:szCs w:val="13"/>
          <w:u w:val="single" w:color="auto"/>
          <w:color w:val="auto"/>
        </w:rPr>
        <w:t>Temporary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59" w:firstLine="738"/>
        <w:spacing w:after="0" w:line="267" w:lineRule="auto"/>
        <w:rPr>
          <w:sz w:val="20"/>
          <w:szCs w:val="20"/>
          <w:color w:val="auto"/>
        </w:rPr>
      </w:pPr>
      <w:r>
        <w:rPr>
          <w:rFonts w:ascii="Times New Roman" w:cs="Times New Roman" w:eastAsia="Times New Roman" w:hAnsi="Times New Roman"/>
          <w:sz w:val="13"/>
          <w:szCs w:val="13"/>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2.12 </w:t>
      </w:r>
      <w:r>
        <w:rPr>
          <w:rFonts w:ascii="Times New Roman" w:cs="Times New Roman" w:eastAsia="Times New Roman" w:hAnsi="Times New Roman"/>
          <w:sz w:val="13"/>
          <w:szCs w:val="13"/>
          <w:u w:val="single" w:color="auto"/>
          <w:color w:val="auto"/>
        </w:rPr>
        <w:t>Cancellation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67" w:lineRule="auto"/>
        <w:rPr>
          <w:sz w:val="20"/>
          <w:szCs w:val="20"/>
          <w:color w:val="auto"/>
        </w:rPr>
      </w:pPr>
      <w:r>
        <w:rPr>
          <w:rFonts w:ascii="Times New Roman" w:cs="Times New Roman" w:eastAsia="Times New Roman" w:hAnsi="Times New Roman"/>
          <w:sz w:val="13"/>
          <w:szCs w:val="13"/>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2.13 </w:t>
      </w:r>
      <w:r>
        <w:rPr>
          <w:rFonts w:ascii="Times New Roman" w:cs="Times New Roman" w:eastAsia="Times New Roman" w:hAnsi="Times New Roman"/>
          <w:sz w:val="13"/>
          <w:szCs w:val="13"/>
          <w:u w:val="single" w:color="auto"/>
          <w:color w:val="auto"/>
        </w:rPr>
        <w:t>Defaulted Interest</w:t>
      </w:r>
    </w:p>
    <w:p>
      <w:pPr>
        <w:spacing w:after="0" w:line="172" w:lineRule="exact"/>
        <w:rPr>
          <w:sz w:val="20"/>
          <w:szCs w:val="20"/>
          <w:color w:val="auto"/>
        </w:rPr>
      </w:pPr>
    </w:p>
    <w:p>
      <w:pPr>
        <w:ind w:left="400" w:right="519" w:firstLine="738"/>
        <w:spacing w:after="0" w:line="267" w:lineRule="auto"/>
        <w:rPr>
          <w:sz w:val="20"/>
          <w:szCs w:val="20"/>
          <w:color w:val="auto"/>
        </w:rPr>
      </w:pPr>
      <w:r>
        <w:rPr>
          <w:rFonts w:ascii="Times New Roman" w:cs="Times New Roman" w:eastAsia="Times New Roman" w:hAnsi="Times New Roman"/>
          <w:sz w:val="13"/>
          <w:szCs w:val="13"/>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2.14 </w:t>
      </w:r>
      <w:r>
        <w:rPr>
          <w:rFonts w:ascii="Times New Roman" w:cs="Times New Roman" w:eastAsia="Times New Roman" w:hAnsi="Times New Roman"/>
          <w:sz w:val="13"/>
          <w:szCs w:val="13"/>
          <w:u w:val="single" w:color="auto"/>
          <w:color w:val="auto"/>
        </w:rPr>
        <w:t>Global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left="400" w:right="499" w:firstLine="1066"/>
        <w:spacing w:after="0" w:line="277" w:lineRule="auto"/>
        <w:rPr>
          <w:sz w:val="20"/>
          <w:szCs w:val="20"/>
          <w:color w:val="auto"/>
        </w:rPr>
      </w:pPr>
      <w:r>
        <w:rPr>
          <w:rFonts w:ascii="Times New Roman" w:cs="Times New Roman" w:eastAsia="Times New Roman" w:hAnsi="Times New Roman"/>
          <w:sz w:val="13"/>
          <w:szCs w:val="13"/>
          <w:color w:val="auto"/>
        </w:rPr>
        <w:t xml:space="preserve">2.14.1. </w:t>
      </w:r>
      <w:r>
        <w:rPr>
          <w:rFonts w:ascii="Times New Roman" w:cs="Times New Roman" w:eastAsia="Times New Roman" w:hAnsi="Times New Roman"/>
          <w:sz w:val="13"/>
          <w:szCs w:val="13"/>
          <w:u w:val="single" w:color="auto"/>
          <w:color w:val="auto"/>
        </w:rPr>
        <w:t>Terms of Securities</w:t>
      </w:r>
      <w:r>
        <w:rPr>
          <w:rFonts w:ascii="Times New Roman" w:cs="Times New Roman" w:eastAsia="Times New Roman" w:hAnsi="Times New Roman"/>
          <w:sz w:val="13"/>
          <w:szCs w:val="13"/>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26" w:lineRule="exact"/>
        <w:rPr>
          <w:sz w:val="20"/>
          <w:szCs w:val="20"/>
          <w:color w:val="auto"/>
        </w:rPr>
      </w:pPr>
    </w:p>
    <w:p>
      <w:pPr>
        <w:ind w:left="400" w:right="559" w:firstLine="1066"/>
        <w:spacing w:after="0" w:line="263" w:lineRule="auto"/>
        <w:rPr>
          <w:sz w:val="20"/>
          <w:szCs w:val="20"/>
          <w:color w:val="auto"/>
        </w:rPr>
      </w:pPr>
      <w:r>
        <w:rPr>
          <w:rFonts w:ascii="Times New Roman" w:cs="Times New Roman" w:eastAsia="Times New Roman" w:hAnsi="Times New Roman"/>
          <w:sz w:val="13"/>
          <w:szCs w:val="13"/>
          <w:color w:val="auto"/>
        </w:rPr>
        <w:t xml:space="preserve">2.14.2. </w:t>
      </w:r>
      <w:r>
        <w:rPr>
          <w:rFonts w:ascii="Times New Roman" w:cs="Times New Roman" w:eastAsia="Times New Roman" w:hAnsi="Times New Roman"/>
          <w:sz w:val="13"/>
          <w:szCs w:val="13"/>
          <w:u w:val="single" w:color="auto"/>
          <w:color w:val="auto"/>
        </w:rPr>
        <w:t>Transfer and Exchange</w:t>
      </w:r>
      <w:r>
        <w:rPr>
          <w:rFonts w:ascii="Times New Roman" w:cs="Times New Roman" w:eastAsia="Times New Roman" w:hAnsi="Times New Roman"/>
          <w:sz w:val="13"/>
          <w:szCs w:val="13"/>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7" w:right="1440" w:bottom="1440" w:gutter="0" w:footer="0" w:header="0"/>
        </w:sectPr>
      </w:pPr>
    </w:p>
    <w:bookmarkStart w:id="52" w:name="page53"/>
    <w:bookmarkEnd w:id="52"/>
    <w:p>
      <w:pPr>
        <w:ind w:left="400" w:right="499" w:firstLine="328"/>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Neither the Trustee nor any Agent shall have any responsibility for any actions taken or not taken by the Depositary.</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 xml:space="preserve">2.14.3. </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Any Global Security issued hereunder shall bear a legend in substantially the following form:</w:t>
      </w:r>
    </w:p>
    <w:p>
      <w:pPr>
        <w:spacing w:after="0" w:line="172" w:lineRule="exact"/>
        <w:rPr>
          <w:sz w:val="20"/>
          <w:szCs w:val="20"/>
          <w:color w:val="auto"/>
        </w:rPr>
      </w:pPr>
    </w:p>
    <w:p>
      <w:pPr>
        <w:ind w:left="400" w:right="419" w:firstLine="738"/>
        <w:spacing w:after="0" w:line="264" w:lineRule="auto"/>
        <w:rPr>
          <w:sz w:val="20"/>
          <w:szCs w:val="20"/>
          <w:color w:val="auto"/>
        </w:rPr>
      </w:pPr>
      <w:r>
        <w:rPr>
          <w:rFonts w:ascii="Times New Roman" w:cs="Times New Roman" w:eastAsia="Times New Roman" w:hAnsi="Times New Roman"/>
          <w:sz w:val="13"/>
          <w:szCs w:val="13"/>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33" w:lineRule="exact"/>
        <w:rPr>
          <w:sz w:val="20"/>
          <w:szCs w:val="20"/>
          <w:color w:val="auto"/>
        </w:rPr>
      </w:pPr>
    </w:p>
    <w:p>
      <w:pPr>
        <w:ind w:left="400" w:right="579" w:firstLine="738"/>
        <w:spacing w:after="0" w:line="299" w:lineRule="auto"/>
        <w:rPr>
          <w:sz w:val="20"/>
          <w:szCs w:val="20"/>
          <w:color w:val="auto"/>
        </w:rPr>
      </w:pPr>
      <w:r>
        <w:rPr>
          <w:rFonts w:ascii="Times New Roman" w:cs="Times New Roman" w:eastAsia="Times New Roman" w:hAnsi="Times New Roman"/>
          <w:sz w:val="13"/>
          <w:szCs w:val="13"/>
          <w:color w:val="auto"/>
        </w:rPr>
        <w:t>In addition, so long as the Depository Trust Company (“</w:t>
      </w:r>
      <w:r>
        <w:rPr>
          <w:rFonts w:ascii="Times New Roman" w:cs="Times New Roman" w:eastAsia="Times New Roman" w:hAnsi="Times New Roman"/>
          <w:sz w:val="13"/>
          <w:szCs w:val="13"/>
          <w:i w:val="1"/>
          <w:iCs w:val="1"/>
          <w:color w:val="auto"/>
        </w:rPr>
        <w:t>DTC</w:t>
      </w:r>
      <w:r>
        <w:rPr>
          <w:rFonts w:ascii="Times New Roman" w:cs="Times New Roman" w:eastAsia="Times New Roman" w:hAnsi="Times New Roman"/>
          <w:sz w:val="13"/>
          <w:szCs w:val="13"/>
          <w:color w:val="auto"/>
        </w:rPr>
        <w:t>”) is the Depositary, each Global Note registered in the name of DTC or its nominee shall bear a legend in substantially the following form:</w:t>
      </w:r>
    </w:p>
    <w:p>
      <w:pPr>
        <w:spacing w:after="0" w:line="112" w:lineRule="exact"/>
        <w:rPr>
          <w:sz w:val="20"/>
          <w:szCs w:val="20"/>
          <w:color w:val="auto"/>
        </w:rPr>
      </w:pPr>
    </w:p>
    <w:p>
      <w:pPr>
        <w:ind w:left="400" w:right="559" w:firstLine="738"/>
        <w:spacing w:after="0" w:line="264" w:lineRule="auto"/>
        <w:rPr>
          <w:sz w:val="20"/>
          <w:szCs w:val="20"/>
          <w:color w:val="auto"/>
        </w:rPr>
      </w:pPr>
      <w:r>
        <w:rPr>
          <w:rFonts w:ascii="Times New Roman" w:cs="Times New Roman" w:eastAsia="Times New Roman" w:hAnsi="Times New Roman"/>
          <w:sz w:val="13"/>
          <w:szCs w:val="13"/>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135" w:lineRule="exact"/>
        <w:rPr>
          <w:sz w:val="20"/>
          <w:szCs w:val="20"/>
          <w:color w:val="auto"/>
        </w:rPr>
      </w:pPr>
    </w:p>
    <w:p>
      <w:pPr>
        <w:ind w:left="400" w:right="639" w:firstLine="1066"/>
        <w:spacing w:after="0" w:line="296" w:lineRule="auto"/>
        <w:rPr>
          <w:sz w:val="20"/>
          <w:szCs w:val="20"/>
          <w:color w:val="auto"/>
        </w:rPr>
      </w:pPr>
      <w:r>
        <w:rPr>
          <w:rFonts w:ascii="Times New Roman" w:cs="Times New Roman" w:eastAsia="Times New Roman" w:hAnsi="Times New Roman"/>
          <w:sz w:val="13"/>
          <w:szCs w:val="13"/>
          <w:color w:val="auto"/>
        </w:rPr>
        <w:t xml:space="preserve">2.14.4. </w:t>
      </w:r>
      <w:r>
        <w:rPr>
          <w:rFonts w:ascii="Times New Roman" w:cs="Times New Roman" w:eastAsia="Times New Roman" w:hAnsi="Times New Roman"/>
          <w:sz w:val="13"/>
          <w:szCs w:val="13"/>
          <w:u w:val="single" w:color="auto"/>
          <w:color w:val="auto"/>
        </w:rPr>
        <w:t>Acts of Holders</w:t>
      </w:r>
      <w:r>
        <w:rPr>
          <w:rFonts w:ascii="Times New Roman" w:cs="Times New Roman" w:eastAsia="Times New Roman" w:hAnsi="Times New Roman"/>
          <w:sz w:val="13"/>
          <w:szCs w:val="13"/>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14" w:lineRule="exact"/>
        <w:rPr>
          <w:sz w:val="20"/>
          <w:szCs w:val="20"/>
          <w:color w:val="auto"/>
        </w:rPr>
      </w:pPr>
    </w:p>
    <w:p>
      <w:pPr>
        <w:ind w:left="400" w:right="539" w:firstLine="1069"/>
        <w:spacing w:after="0" w:line="264" w:lineRule="auto"/>
        <w:tabs>
          <w:tab w:leader="none" w:pos="164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35" w:lineRule="exact"/>
        <w:rPr>
          <w:rFonts w:ascii="Times New Roman" w:cs="Times New Roman" w:eastAsia="Times New Roman" w:hAnsi="Times New Roman"/>
          <w:sz w:val="13"/>
          <w:szCs w:val="13"/>
          <w:color w:val="auto"/>
        </w:rPr>
      </w:pPr>
    </w:p>
    <w:p>
      <w:pPr>
        <w:ind w:left="400" w:right="419" w:firstLine="1069"/>
        <w:spacing w:after="0" w:line="265" w:lineRule="auto"/>
        <w:tabs>
          <w:tab w:leader="none" w:pos="1656"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7" w:right="1440" w:bottom="1440" w:gutter="0" w:footer="0" w:header="0"/>
        </w:sectPr>
      </w:pPr>
    </w:p>
    <w:bookmarkStart w:id="53" w:name="page54"/>
    <w:bookmarkEnd w:id="53"/>
    <w:p>
      <w:pPr>
        <w:ind w:left="1660" w:hanging="191"/>
        <w:spacing w:after="0"/>
        <w:tabs>
          <w:tab w:leader="none" w:pos="16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The ownership of Global Securities or any Securities issued in certificated form shall be proved by the Registrar.</w:t>
      </w:r>
    </w:p>
    <w:p>
      <w:pPr>
        <w:spacing w:after="0" w:line="172" w:lineRule="exact"/>
        <w:rPr>
          <w:rFonts w:ascii="Times New Roman" w:cs="Times New Roman" w:eastAsia="Times New Roman" w:hAnsi="Times New Roman"/>
          <w:sz w:val="13"/>
          <w:szCs w:val="13"/>
          <w:color w:val="auto"/>
        </w:rPr>
      </w:pPr>
    </w:p>
    <w:p>
      <w:pPr>
        <w:ind w:left="400" w:right="439" w:firstLine="1069"/>
        <w:spacing w:after="0" w:line="270" w:lineRule="auto"/>
        <w:tabs>
          <w:tab w:leader="none" w:pos="1656"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31" w:lineRule="exact"/>
        <w:rPr>
          <w:rFonts w:ascii="Times New Roman" w:cs="Times New Roman" w:eastAsia="Times New Roman" w:hAnsi="Times New Roman"/>
          <w:sz w:val="13"/>
          <w:szCs w:val="13"/>
          <w:color w:val="auto"/>
        </w:rPr>
      </w:pPr>
    </w:p>
    <w:p>
      <w:pPr>
        <w:ind w:left="400" w:right="459" w:firstLine="1069"/>
        <w:spacing w:after="0" w:line="262" w:lineRule="auto"/>
        <w:tabs>
          <w:tab w:leader="none" w:pos="164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39" w:lineRule="exact"/>
        <w:rPr>
          <w:sz w:val="20"/>
          <w:szCs w:val="20"/>
          <w:color w:val="auto"/>
        </w:rPr>
      </w:pPr>
    </w:p>
    <w:p>
      <w:pPr>
        <w:ind w:left="400" w:right="439" w:firstLine="1066"/>
        <w:spacing w:after="0" w:line="296" w:lineRule="auto"/>
        <w:rPr>
          <w:sz w:val="20"/>
          <w:szCs w:val="20"/>
          <w:color w:val="auto"/>
        </w:rPr>
      </w:pPr>
      <w:r>
        <w:rPr>
          <w:rFonts w:ascii="Times New Roman" w:cs="Times New Roman" w:eastAsia="Times New Roman" w:hAnsi="Times New Roman"/>
          <w:sz w:val="13"/>
          <w:szCs w:val="13"/>
          <w:color w:val="auto"/>
        </w:rPr>
        <w:t xml:space="preserve">2.14.5. </w:t>
      </w:r>
      <w:r>
        <w:rPr>
          <w:rFonts w:ascii="Times New Roman" w:cs="Times New Roman" w:eastAsia="Times New Roman" w:hAnsi="Times New Roman"/>
          <w:sz w:val="13"/>
          <w:szCs w:val="13"/>
          <w:u w:val="single" w:color="auto"/>
          <w:color w:val="auto"/>
        </w:rPr>
        <w:t>Payments</w:t>
      </w:r>
      <w:r>
        <w:rPr>
          <w:rFonts w:ascii="Times New Roman" w:cs="Times New Roman" w:eastAsia="Times New Roman" w:hAnsi="Times New Roman"/>
          <w:sz w:val="13"/>
          <w:szCs w:val="13"/>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14" w:lineRule="exact"/>
        <w:rPr>
          <w:sz w:val="20"/>
          <w:szCs w:val="20"/>
          <w:color w:val="auto"/>
        </w:rPr>
      </w:pPr>
    </w:p>
    <w:p>
      <w:pPr>
        <w:ind w:left="400" w:right="439" w:firstLine="1066"/>
        <w:spacing w:after="0" w:line="270" w:lineRule="auto"/>
        <w:rPr>
          <w:sz w:val="20"/>
          <w:szCs w:val="20"/>
          <w:color w:val="auto"/>
        </w:rPr>
      </w:pPr>
      <w:r>
        <w:rPr>
          <w:rFonts w:ascii="Times New Roman" w:cs="Times New Roman" w:eastAsia="Times New Roman" w:hAnsi="Times New Roman"/>
          <w:sz w:val="13"/>
          <w:szCs w:val="13"/>
          <w:color w:val="auto"/>
        </w:rPr>
        <w:t xml:space="preserve">2.14.6. </w:t>
      </w:r>
      <w:r>
        <w:rPr>
          <w:rFonts w:ascii="Times New Roman" w:cs="Times New Roman" w:eastAsia="Times New Roman" w:hAnsi="Times New Roman"/>
          <w:sz w:val="13"/>
          <w:szCs w:val="13"/>
          <w:u w:val="single" w:color="auto"/>
          <w:color w:val="auto"/>
        </w:rPr>
        <w:t>Consents, Declaration and Directions</w:t>
      </w:r>
      <w:r>
        <w:rPr>
          <w:rFonts w:ascii="Times New Roman" w:cs="Times New Roman" w:eastAsia="Times New Roman" w:hAnsi="Times New Roman"/>
          <w:sz w:val="13"/>
          <w:szCs w:val="13"/>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2.15 </w:t>
      </w:r>
      <w:r>
        <w:rPr>
          <w:rFonts w:ascii="Times New Roman" w:cs="Times New Roman" w:eastAsia="Times New Roman" w:hAnsi="Times New Roman"/>
          <w:sz w:val="13"/>
          <w:szCs w:val="13"/>
          <w:u w:val="single" w:color="auto"/>
          <w:color w:val="auto"/>
        </w:rPr>
        <w:t>CUSIP Numbers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59" w:firstLine="738"/>
        <w:spacing w:after="0" w:line="267" w:lineRule="auto"/>
        <w:rPr>
          <w:sz w:val="20"/>
          <w:szCs w:val="20"/>
          <w:color w:val="auto"/>
        </w:rPr>
      </w:pPr>
      <w:r>
        <w:rPr>
          <w:rFonts w:ascii="Times New Roman" w:cs="Times New Roman" w:eastAsia="Times New Roman" w:hAnsi="Times New Roman"/>
          <w:sz w:val="13"/>
          <w:szCs w:val="13"/>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Notice to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5" w:lineRule="auto"/>
        <w:rPr>
          <w:sz w:val="20"/>
          <w:szCs w:val="20"/>
          <w:color w:val="auto"/>
        </w:rPr>
      </w:pPr>
      <w:r>
        <w:rPr>
          <w:rFonts w:ascii="Times New Roman" w:cs="Times New Roman" w:eastAsia="Times New Roman" w:hAnsi="Times New Roman"/>
          <w:sz w:val="13"/>
          <w:szCs w:val="13"/>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7" w:right="1440" w:bottom="1440" w:gutter="0" w:footer="0" w:header="0"/>
        </w:sectPr>
      </w:pPr>
    </w:p>
    <w:bookmarkStart w:id="54" w:name="page55"/>
    <w:bookmarkEnd w:id="54"/>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3.2 </w:t>
      </w:r>
      <w:r>
        <w:rPr>
          <w:rFonts w:ascii="Times New Roman" w:cs="Times New Roman" w:eastAsia="Times New Roman" w:hAnsi="Times New Roman"/>
          <w:sz w:val="13"/>
          <w:szCs w:val="13"/>
          <w:u w:val="single" w:color="auto"/>
          <w:color w:val="auto"/>
        </w:rPr>
        <w:t>Selection of Securities to be Redeemed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1" w:lineRule="auto"/>
        <w:rPr>
          <w:sz w:val="20"/>
          <w:szCs w:val="20"/>
          <w:color w:val="auto"/>
        </w:rPr>
      </w:pPr>
      <w:r>
        <w:rPr>
          <w:rFonts w:ascii="Times New Roman" w:cs="Times New Roman" w:eastAsia="Times New Roman" w:hAnsi="Times New Roman"/>
          <w:sz w:val="13"/>
          <w:szCs w:val="13"/>
          <w:color w:val="auto"/>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3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Notice of Redemption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59" w:firstLine="738"/>
        <w:spacing w:after="0" w:line="277" w:lineRule="auto"/>
        <w:rPr>
          <w:sz w:val="20"/>
          <w:szCs w:val="20"/>
          <w:color w:val="auto"/>
        </w:rPr>
      </w:pPr>
      <w:r>
        <w:rPr>
          <w:rFonts w:ascii="Times New Roman" w:cs="Times New Roman" w:eastAsia="Times New Roman" w:hAnsi="Times New Roman"/>
          <w:sz w:val="13"/>
          <w:szCs w:val="13"/>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The notice shall identify the Securities of the Series to be redeemed and shall state:</w:t>
      </w:r>
    </w:p>
    <w:p>
      <w:pPr>
        <w:spacing w:after="0" w:line="172" w:lineRule="exact"/>
        <w:rPr>
          <w:sz w:val="20"/>
          <w:szCs w:val="20"/>
          <w:color w:val="auto"/>
        </w:rPr>
      </w:pPr>
    </w:p>
    <w:p>
      <w:pPr>
        <w:ind w:left="1660" w:hanging="191"/>
        <w:spacing w:after="0"/>
        <w:tabs>
          <w:tab w:leader="none" w:pos="16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date;</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price (or manner of calculation if not then known);</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and address of the Paying Agent;</w:t>
      </w:r>
    </w:p>
    <w:p>
      <w:pPr>
        <w:spacing w:after="0" w:line="172" w:lineRule="exact"/>
        <w:rPr>
          <w:rFonts w:ascii="Times New Roman" w:cs="Times New Roman" w:eastAsia="Times New Roman" w:hAnsi="Times New Roman"/>
          <w:sz w:val="13"/>
          <w:szCs w:val="13"/>
          <w:color w:val="auto"/>
        </w:rPr>
      </w:pPr>
    </w:p>
    <w:p>
      <w:pPr>
        <w:ind w:left="400" w:right="479" w:firstLine="1069"/>
        <w:spacing w:after="0" w:line="277" w:lineRule="auto"/>
        <w:tabs>
          <w:tab w:leader="none" w:pos="1656"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25"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Securities of the Series called for redemption must be surrendered to the Paying Agent to collect the redemption price;</w:t>
      </w:r>
    </w:p>
    <w:p>
      <w:pPr>
        <w:spacing w:after="0" w:line="172" w:lineRule="exact"/>
        <w:rPr>
          <w:rFonts w:ascii="Times New Roman" w:cs="Times New Roman" w:eastAsia="Times New Roman" w:hAnsi="Times New Roman"/>
          <w:sz w:val="13"/>
          <w:szCs w:val="13"/>
          <w:color w:val="auto"/>
        </w:rPr>
      </w:pPr>
    </w:p>
    <w:p>
      <w:pPr>
        <w:ind w:left="400" w:right="899" w:firstLine="1069"/>
        <w:spacing w:after="0" w:line="296" w:lineRule="auto"/>
        <w:tabs>
          <w:tab w:leader="none" w:pos="163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interest on Securities of the Series called for redemption ceases to accrue on and after the redemption date unless the Company defaults in the deposit of the redemption price;</w:t>
      </w:r>
    </w:p>
    <w:p>
      <w:pPr>
        <w:spacing w:after="0" w:line="113"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CUSIP number, if any; and</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information as may be required by the terms of the particular Series or the Securities of a Series being redeemed.</w:t>
      </w:r>
    </w:p>
    <w:p>
      <w:pPr>
        <w:spacing w:after="0" w:line="172" w:lineRule="exact"/>
        <w:rPr>
          <w:sz w:val="20"/>
          <w:szCs w:val="20"/>
          <w:color w:val="auto"/>
        </w:rPr>
      </w:pPr>
    </w:p>
    <w:p>
      <w:pPr>
        <w:ind w:left="400" w:right="539" w:firstLine="738"/>
        <w:spacing w:after="0" w:line="277" w:lineRule="auto"/>
        <w:rPr>
          <w:sz w:val="20"/>
          <w:szCs w:val="20"/>
          <w:color w:val="auto"/>
        </w:rPr>
      </w:pPr>
      <w:r>
        <w:rPr>
          <w:rFonts w:ascii="Times New Roman" w:cs="Times New Roman" w:eastAsia="Times New Roman" w:hAnsi="Times New Roman"/>
          <w:sz w:val="13"/>
          <w:szCs w:val="13"/>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7" w:right="1440" w:bottom="1440" w:gutter="0" w:footer="0" w:header="0"/>
        </w:sectPr>
      </w:pPr>
    </w:p>
    <w:bookmarkStart w:id="55" w:name="page56"/>
    <w:bookmarkEnd w:id="55"/>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3.4 </w:t>
      </w:r>
      <w:r>
        <w:rPr>
          <w:rFonts w:ascii="Times New Roman" w:cs="Times New Roman" w:eastAsia="Times New Roman" w:hAnsi="Times New Roman"/>
          <w:sz w:val="13"/>
          <w:szCs w:val="13"/>
          <w:u w:val="single" w:color="auto"/>
          <w:color w:val="auto"/>
        </w:rPr>
        <w:t>Effect of Notice of Redemption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70" w:lineRule="auto"/>
        <w:rPr>
          <w:sz w:val="20"/>
          <w:szCs w:val="20"/>
          <w:color w:val="auto"/>
        </w:rPr>
      </w:pPr>
      <w:r>
        <w:rPr>
          <w:rFonts w:ascii="Times New Roman" w:cs="Times New Roman" w:eastAsia="Times New Roman" w:hAnsi="Times New Roman"/>
          <w:sz w:val="13"/>
          <w:szCs w:val="13"/>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3.5 </w:t>
      </w:r>
      <w:r>
        <w:rPr>
          <w:rFonts w:ascii="Times New Roman" w:cs="Times New Roman" w:eastAsia="Times New Roman" w:hAnsi="Times New Roman"/>
          <w:sz w:val="13"/>
          <w:szCs w:val="13"/>
          <w:u w:val="single" w:color="auto"/>
          <w:color w:val="auto"/>
        </w:rPr>
        <w:t>Deposit of Redemption Price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619" w:firstLine="738"/>
        <w:spacing w:after="0" w:line="277" w:lineRule="auto"/>
        <w:rPr>
          <w:sz w:val="20"/>
          <w:szCs w:val="20"/>
          <w:color w:val="auto"/>
        </w:rPr>
      </w:pPr>
      <w:r>
        <w:rPr>
          <w:rFonts w:ascii="Times New Roman" w:cs="Times New Roman" w:eastAsia="Times New Roman" w:hAnsi="Times New Roman"/>
          <w:sz w:val="13"/>
          <w:szCs w:val="13"/>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3.6 </w:t>
      </w:r>
      <w:r>
        <w:rPr>
          <w:rFonts w:ascii="Times New Roman" w:cs="Times New Roman" w:eastAsia="Times New Roman" w:hAnsi="Times New Roman"/>
          <w:sz w:val="13"/>
          <w:szCs w:val="13"/>
          <w:u w:val="single" w:color="auto"/>
          <w:color w:val="auto"/>
        </w:rPr>
        <w:t>Securities Redeemed in Part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39" w:firstLine="738"/>
        <w:spacing w:after="0" w:line="296" w:lineRule="auto"/>
        <w:rPr>
          <w:sz w:val="20"/>
          <w:szCs w:val="20"/>
          <w:color w:val="auto"/>
        </w:rPr>
      </w:pPr>
      <w:r>
        <w:rPr>
          <w:rFonts w:ascii="Times New Roman" w:cs="Times New Roman" w:eastAsia="Times New Roman" w:hAnsi="Times New Roman"/>
          <w:sz w:val="13"/>
          <w:szCs w:val="13"/>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Payment of Principal and Interest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619" w:firstLine="738"/>
        <w:spacing w:after="0" w:line="270" w:lineRule="auto"/>
        <w:rPr>
          <w:sz w:val="20"/>
          <w:szCs w:val="20"/>
          <w:color w:val="auto"/>
        </w:rPr>
      </w:pPr>
      <w:r>
        <w:rPr>
          <w:rFonts w:ascii="Times New Roman" w:cs="Times New Roman" w:eastAsia="Times New Roman" w:hAnsi="Times New Roman"/>
          <w:sz w:val="13"/>
          <w:szCs w:val="13"/>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SEC Reports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4" w:lineRule="auto"/>
        <w:rPr>
          <w:sz w:val="20"/>
          <w:szCs w:val="20"/>
          <w:color w:val="auto"/>
        </w:rPr>
      </w:pPr>
      <w:r>
        <w:rPr>
          <w:rFonts w:ascii="Times New Roman" w:cs="Times New Roman" w:eastAsia="Times New Roman" w:hAnsi="Times New Roman"/>
          <w:sz w:val="13"/>
          <w:szCs w:val="13"/>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35" w:lineRule="exact"/>
        <w:rPr>
          <w:sz w:val="20"/>
          <w:szCs w:val="20"/>
          <w:color w:val="auto"/>
        </w:rPr>
      </w:pPr>
    </w:p>
    <w:p>
      <w:pPr>
        <w:ind w:left="400" w:right="479" w:firstLine="738"/>
        <w:spacing w:after="0" w:line="270" w:lineRule="auto"/>
        <w:rPr>
          <w:sz w:val="20"/>
          <w:szCs w:val="20"/>
          <w:color w:val="auto"/>
        </w:rPr>
      </w:pPr>
      <w:r>
        <w:rPr>
          <w:rFonts w:ascii="Times New Roman" w:cs="Times New Roman" w:eastAsia="Times New Roman" w:hAnsi="Times New Roman"/>
          <w:sz w:val="13"/>
          <w:szCs w:val="13"/>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Compliance Certificate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64" w:lineRule="auto"/>
        <w:rPr>
          <w:sz w:val="20"/>
          <w:szCs w:val="20"/>
          <w:color w:val="auto"/>
        </w:rPr>
      </w:pPr>
      <w:r>
        <w:rPr>
          <w:rFonts w:ascii="Times New Roman" w:cs="Times New Roman" w:eastAsia="Times New Roman" w:hAnsi="Times New Roman"/>
          <w:sz w:val="13"/>
          <w:szCs w:val="13"/>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7" w:right="1440" w:bottom="1440" w:gutter="0" w:footer="0" w:header="0"/>
        </w:sectPr>
      </w:pPr>
    </w:p>
    <w:bookmarkStart w:id="56" w:name="page57"/>
    <w:bookmarkEnd w:id="56"/>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4.4 </w:t>
      </w:r>
      <w:r>
        <w:rPr>
          <w:rFonts w:ascii="Times New Roman" w:cs="Times New Roman" w:eastAsia="Times New Roman" w:hAnsi="Times New Roman"/>
          <w:sz w:val="13"/>
          <w:szCs w:val="13"/>
          <w:u w:val="single" w:color="auto"/>
          <w:color w:val="auto"/>
        </w:rPr>
        <w:t>Stay, Extension and Usury Laws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99" w:firstLine="738"/>
        <w:spacing w:after="0" w:line="267" w:lineRule="auto"/>
        <w:rPr>
          <w:sz w:val="20"/>
          <w:szCs w:val="20"/>
          <w:color w:val="auto"/>
        </w:rPr>
      </w:pPr>
      <w:r>
        <w:rPr>
          <w:rFonts w:ascii="Times New Roman" w:cs="Times New Roman" w:eastAsia="Times New Roman" w:hAnsi="Times New Roman"/>
          <w:sz w:val="13"/>
          <w:szCs w:val="13"/>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SUCCESSORS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When Company May Merge, Etc</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739" w:firstLine="738"/>
        <w:spacing w:after="0" w:line="296" w:lineRule="auto"/>
        <w:rPr>
          <w:sz w:val="20"/>
          <w:szCs w:val="20"/>
          <w:color w:val="auto"/>
        </w:rPr>
      </w:pPr>
      <w:r>
        <w:rPr>
          <w:rFonts w:ascii="Times New Roman" w:cs="Times New Roman" w:eastAsia="Times New Roman" w:hAnsi="Times New Roman"/>
          <w:sz w:val="13"/>
          <w:szCs w:val="13"/>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3"/>
          <w:szCs w:val="13"/>
          <w:i w:val="1"/>
          <w:iCs w:val="1"/>
          <w:color w:val="auto"/>
        </w:rPr>
        <w:t>successor person</w:t>
      </w:r>
      <w:r>
        <w:rPr>
          <w:rFonts w:ascii="Times New Roman" w:cs="Times New Roman" w:eastAsia="Times New Roman" w:hAnsi="Times New Roman"/>
          <w:sz w:val="13"/>
          <w:szCs w:val="13"/>
          <w:color w:val="auto"/>
        </w:rPr>
        <w:t>”) unless:</w:t>
      </w:r>
    </w:p>
    <w:p>
      <w:pPr>
        <w:spacing w:after="0" w:line="33" w:lineRule="exact"/>
        <w:rPr>
          <w:sz w:val="20"/>
          <w:szCs w:val="20"/>
          <w:color w:val="auto"/>
        </w:rPr>
      </w:pPr>
    </w:p>
    <w:p>
      <w:pPr>
        <w:jc w:val="both"/>
        <w:ind w:left="400" w:right="679" w:firstLine="1069"/>
        <w:spacing w:after="0" w:line="277" w:lineRule="auto"/>
        <w:tabs>
          <w:tab w:leader="none" w:pos="164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125"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the transaction, no Default or Event of Default, shall have occurred and be continuing.</w:t>
      </w:r>
    </w:p>
    <w:p>
      <w:pPr>
        <w:spacing w:after="0" w:line="172" w:lineRule="exact"/>
        <w:rPr>
          <w:sz w:val="20"/>
          <w:szCs w:val="20"/>
          <w:color w:val="auto"/>
        </w:rPr>
      </w:pPr>
    </w:p>
    <w:p>
      <w:pPr>
        <w:ind w:left="400" w:right="499" w:firstLine="738"/>
        <w:spacing w:after="0" w:line="277" w:lineRule="auto"/>
        <w:rPr>
          <w:sz w:val="20"/>
          <w:szCs w:val="20"/>
          <w:color w:val="auto"/>
        </w:rPr>
      </w:pPr>
      <w:r>
        <w:rPr>
          <w:rFonts w:ascii="Times New Roman" w:cs="Times New Roman" w:eastAsia="Times New Roman" w:hAnsi="Times New Roman"/>
          <w:sz w:val="13"/>
          <w:szCs w:val="13"/>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26" w:lineRule="exact"/>
        <w:rPr>
          <w:sz w:val="20"/>
          <w:szCs w:val="20"/>
          <w:color w:val="auto"/>
        </w:rPr>
      </w:pPr>
    </w:p>
    <w:p>
      <w:pPr>
        <w:ind w:left="400" w:right="499" w:firstLine="738"/>
        <w:spacing w:after="0" w:line="296" w:lineRule="auto"/>
        <w:rPr>
          <w:sz w:val="20"/>
          <w:szCs w:val="20"/>
          <w:color w:val="auto"/>
        </w:rPr>
      </w:pPr>
      <w:r>
        <w:rPr>
          <w:rFonts w:ascii="Times New Roman" w:cs="Times New Roman" w:eastAsia="Times New Roman" w:hAnsi="Times New Roman"/>
          <w:sz w:val="13"/>
          <w:szCs w:val="13"/>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Successor Corporation Substituted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19" w:firstLine="738"/>
        <w:spacing w:after="0" w:line="265" w:lineRule="auto"/>
        <w:rPr>
          <w:sz w:val="20"/>
          <w:szCs w:val="20"/>
          <w:color w:val="auto"/>
        </w:rPr>
      </w:pPr>
      <w:r>
        <w:rPr>
          <w:rFonts w:ascii="Times New Roman" w:cs="Times New Roman" w:eastAsia="Times New Roman" w:hAnsi="Times New Roman"/>
          <w:sz w:val="13"/>
          <w:szCs w:val="13"/>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predecessor Company in the case of a sale, conveyance or other disposition (other than a lease) shall be released from all obligations and covenants under this Indenture and the Securities.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7"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ARTICLE VI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DEFAULTS AND REMEDIES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Events of Default</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00" w:right="519" w:firstLine="738"/>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Event of Default</w:t>
      </w:r>
      <w:r>
        <w:rPr>
          <w:rFonts w:ascii="Times New Roman" w:cs="Times New Roman" w:eastAsia="Times New Roman" w:hAnsi="Times New Roman"/>
          <w:sz w:val="13"/>
          <w:szCs w:val="13"/>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26" w:lineRule="exact"/>
        <w:rPr>
          <w:sz w:val="20"/>
          <w:szCs w:val="20"/>
          <w:color w:val="auto"/>
        </w:rPr>
      </w:pPr>
    </w:p>
    <w:p>
      <w:pPr>
        <w:ind w:left="400" w:right="499" w:firstLine="1069"/>
        <w:spacing w:after="0" w:line="277" w:lineRule="auto"/>
        <w:tabs>
          <w:tab w:leader="none" w:pos="164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spacing w:after="0" w:line="125"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principal of any Security of that Series at its Maturity; or</w:t>
      </w:r>
    </w:p>
    <w:p>
      <w:pPr>
        <w:spacing w:after="0" w:line="172" w:lineRule="exact"/>
        <w:rPr>
          <w:rFonts w:ascii="Times New Roman" w:cs="Times New Roman" w:eastAsia="Times New Roman" w:hAnsi="Times New Roman"/>
          <w:sz w:val="13"/>
          <w:szCs w:val="13"/>
          <w:color w:val="auto"/>
        </w:rPr>
      </w:pPr>
    </w:p>
    <w:p>
      <w:pPr>
        <w:ind w:left="400" w:right="479" w:firstLine="1069"/>
        <w:spacing w:after="0" w:line="266" w:lineRule="auto"/>
        <w:tabs>
          <w:tab w:leader="none" w:pos="164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297"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pursuant to or within the meaning of any Bankruptcy Law:</w:t>
      </w:r>
    </w:p>
    <w:p>
      <w:pPr>
        <w:spacing w:after="0" w:line="172" w:lineRule="exact"/>
        <w:rPr>
          <w:rFonts w:ascii="Times New Roman" w:cs="Times New Roman" w:eastAsia="Times New Roman" w:hAnsi="Times New Roman"/>
          <w:sz w:val="13"/>
          <w:szCs w:val="13"/>
          <w:color w:val="auto"/>
        </w:rPr>
      </w:pPr>
    </w:p>
    <w:p>
      <w:pPr>
        <w:ind w:left="2040" w:hanging="161"/>
        <w:spacing w:after="0"/>
        <w:tabs>
          <w:tab w:leader="none" w:pos="20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commences a voluntary case,</w:t>
      </w:r>
    </w:p>
    <w:p>
      <w:pPr>
        <w:spacing w:after="0" w:line="172" w:lineRule="exact"/>
        <w:rPr>
          <w:rFonts w:ascii="Times New Roman" w:cs="Times New Roman" w:eastAsia="Times New Roman" w:hAnsi="Times New Roman"/>
          <w:sz w:val="13"/>
          <w:szCs w:val="13"/>
          <w:color w:val="auto"/>
        </w:rPr>
      </w:pPr>
    </w:p>
    <w:p>
      <w:pPr>
        <w:ind w:left="2080" w:hanging="201"/>
        <w:spacing w:after="0"/>
        <w:tabs>
          <w:tab w:leader="none" w:pos="20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to the entry of an order for relief against it in an involuntary case,</w:t>
      </w:r>
    </w:p>
    <w:p>
      <w:pPr>
        <w:spacing w:after="0" w:line="172" w:lineRule="exact"/>
        <w:rPr>
          <w:rFonts w:ascii="Times New Roman" w:cs="Times New Roman" w:eastAsia="Times New Roman" w:hAnsi="Times New Roman"/>
          <w:sz w:val="13"/>
          <w:szCs w:val="13"/>
          <w:color w:val="auto"/>
        </w:rPr>
      </w:pPr>
    </w:p>
    <w:p>
      <w:pPr>
        <w:ind w:left="2120" w:hanging="241"/>
        <w:spacing w:after="0"/>
        <w:tabs>
          <w:tab w:leader="none" w:pos="212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to the appointment of a Custodian of it or for all or substantially all of its property,</w:t>
      </w:r>
    </w:p>
    <w:p>
      <w:pPr>
        <w:spacing w:after="0" w:line="172" w:lineRule="exact"/>
        <w:rPr>
          <w:rFonts w:ascii="Times New Roman" w:cs="Times New Roman" w:eastAsia="Times New Roman" w:hAnsi="Times New Roman"/>
          <w:sz w:val="13"/>
          <w:szCs w:val="13"/>
          <w:color w:val="auto"/>
        </w:rPr>
      </w:pPr>
    </w:p>
    <w:p>
      <w:pPr>
        <w:ind w:left="2100" w:hanging="221"/>
        <w:spacing w:after="0"/>
        <w:tabs>
          <w:tab w:leader="none" w:pos="210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makes a general assignment for the benefit of its creditors, or</w:t>
      </w:r>
    </w:p>
    <w:p>
      <w:pPr>
        <w:spacing w:after="0" w:line="172" w:lineRule="exact"/>
        <w:rPr>
          <w:rFonts w:ascii="Times New Roman" w:cs="Times New Roman" w:eastAsia="Times New Roman" w:hAnsi="Times New Roman"/>
          <w:sz w:val="13"/>
          <w:szCs w:val="13"/>
          <w:color w:val="auto"/>
        </w:rPr>
      </w:pPr>
    </w:p>
    <w:p>
      <w:pPr>
        <w:ind w:left="2060" w:hanging="181"/>
        <w:spacing w:after="0"/>
        <w:tabs>
          <w:tab w:leader="none" w:pos="206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generally is unable to pay its debts as the same become due; or</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court of competent jurisdiction enters an order or decree under any Bankruptcy Law that:</w:t>
      </w:r>
    </w:p>
    <w:p>
      <w:pPr>
        <w:spacing w:after="0" w:line="172" w:lineRule="exact"/>
        <w:rPr>
          <w:rFonts w:ascii="Times New Roman" w:cs="Times New Roman" w:eastAsia="Times New Roman" w:hAnsi="Times New Roman"/>
          <w:sz w:val="13"/>
          <w:szCs w:val="13"/>
          <w:color w:val="auto"/>
        </w:rPr>
      </w:pPr>
    </w:p>
    <w:p>
      <w:pPr>
        <w:ind w:left="2040" w:hanging="161"/>
        <w:spacing w:after="0"/>
        <w:tabs>
          <w:tab w:leader="none" w:pos="20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for relief against the Company in an involuntary case,</w:t>
      </w:r>
    </w:p>
    <w:p>
      <w:pPr>
        <w:spacing w:after="0" w:line="172" w:lineRule="exact"/>
        <w:rPr>
          <w:rFonts w:ascii="Times New Roman" w:cs="Times New Roman" w:eastAsia="Times New Roman" w:hAnsi="Times New Roman"/>
          <w:sz w:val="13"/>
          <w:szCs w:val="13"/>
          <w:color w:val="auto"/>
        </w:rPr>
      </w:pPr>
    </w:p>
    <w:p>
      <w:pPr>
        <w:ind w:left="2080" w:hanging="201"/>
        <w:spacing w:after="0"/>
        <w:tabs>
          <w:tab w:leader="none" w:pos="20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appoints a Custodian of the Company or for all or substantially all of its property, or</w:t>
      </w:r>
    </w:p>
    <w:p>
      <w:pPr>
        <w:spacing w:after="0" w:line="172" w:lineRule="exact"/>
        <w:rPr>
          <w:rFonts w:ascii="Times New Roman" w:cs="Times New Roman" w:eastAsia="Times New Roman" w:hAnsi="Times New Roman"/>
          <w:sz w:val="13"/>
          <w:szCs w:val="13"/>
          <w:color w:val="auto"/>
        </w:rPr>
      </w:pPr>
    </w:p>
    <w:p>
      <w:pPr>
        <w:ind w:left="2120" w:hanging="241"/>
        <w:spacing w:after="0"/>
        <w:tabs>
          <w:tab w:leader="none" w:pos="212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orders the liquidation of the Company,</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and the order or decree remains unstayed and in effect for 60 days; or</w:t>
      </w:r>
    </w:p>
    <w:p>
      <w:pPr>
        <w:spacing w:after="0" w:line="172" w:lineRule="exact"/>
        <w:rPr>
          <w:sz w:val="20"/>
          <w:szCs w:val="20"/>
          <w:color w:val="auto"/>
        </w:rPr>
      </w:pPr>
    </w:p>
    <w:p>
      <w:pPr>
        <w:ind w:left="400" w:right="959" w:firstLine="1069"/>
        <w:spacing w:after="0" w:line="296" w:lineRule="auto"/>
        <w:tabs>
          <w:tab w:leader="none" w:pos="163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with respect to Securities of that Series, which is specified in a Board Resolution, a supplemental indenture hereto or an Officer’s Certificate, in accordance with Section 2.2.18.</w:t>
      </w:r>
    </w:p>
    <w:p>
      <w:pPr>
        <w:spacing w:after="0" w:line="112" w:lineRule="exact"/>
        <w:rPr>
          <w:sz w:val="20"/>
          <w:szCs w:val="20"/>
          <w:color w:val="auto"/>
        </w:rPr>
      </w:pPr>
    </w:p>
    <w:p>
      <w:pPr>
        <w:ind w:left="400" w:right="959" w:firstLine="738"/>
        <w:spacing w:after="0" w:line="299" w:lineRule="auto"/>
        <w:rPr>
          <w:sz w:val="20"/>
          <w:szCs w:val="20"/>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i w:val="1"/>
          <w:iCs w:val="1"/>
          <w:color w:val="auto"/>
        </w:rPr>
        <w:t>Bankruptcy Law</w:t>
      </w:r>
      <w:r>
        <w:rPr>
          <w:rFonts w:ascii="Times New Roman" w:cs="Times New Roman" w:eastAsia="Times New Roman" w:hAnsi="Times New Roman"/>
          <w:sz w:val="13"/>
          <w:szCs w:val="13"/>
          <w:color w:val="auto"/>
        </w:rPr>
        <w:t>” means title 11, U.S. Code or any similar U.S. Federal or State law for the relief of debtors. The term “</w:t>
      </w:r>
      <w:r>
        <w:rPr>
          <w:rFonts w:ascii="Times New Roman" w:cs="Times New Roman" w:eastAsia="Times New Roman" w:hAnsi="Times New Roman"/>
          <w:sz w:val="13"/>
          <w:szCs w:val="13"/>
          <w:i w:val="1"/>
          <w:iCs w:val="1"/>
          <w:color w:val="auto"/>
        </w:rPr>
        <w:t>Custodian</w:t>
      </w:r>
      <w:r>
        <w:rPr>
          <w:rFonts w:ascii="Times New Roman" w:cs="Times New Roman" w:eastAsia="Times New Roman" w:hAnsi="Times New Roman"/>
          <w:sz w:val="13"/>
          <w:szCs w:val="13"/>
          <w:color w:val="auto"/>
        </w:rPr>
        <w:t>” means any receiver, trustee, assignee, liquidator or similar official under any Bankruptcy Law.</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3" w:right="1440" w:bottom="1440" w:gutter="0" w:footer="0" w:header="0"/>
        </w:sectPr>
      </w:pPr>
    </w:p>
    <w:bookmarkStart w:id="58" w:name="page59"/>
    <w:bookmarkEnd w:id="58"/>
    <w:p>
      <w:pPr>
        <w:ind w:left="400" w:right="559" w:firstLine="738"/>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Acceleration of Maturity; Rescission and Annulment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39" w:firstLine="738"/>
        <w:spacing w:after="0" w:line="263" w:lineRule="auto"/>
        <w:rPr>
          <w:sz w:val="20"/>
          <w:szCs w:val="20"/>
          <w:color w:val="auto"/>
        </w:rPr>
      </w:pPr>
      <w:r>
        <w:rPr>
          <w:rFonts w:ascii="Times New Roman" w:cs="Times New Roman" w:eastAsia="Times New Roman" w:hAnsi="Times New Roman"/>
          <w:sz w:val="13"/>
          <w:szCs w:val="13"/>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3"/>
          <w:szCs w:val="13"/>
          <w:i w:val="1"/>
          <w:iCs w:val="1"/>
          <w:color w:val="auto"/>
        </w:rPr>
        <w:t>ipso facto</w:t>
      </w:r>
      <w:r>
        <w:rPr>
          <w:rFonts w:ascii="Times New Roman" w:cs="Times New Roman" w:eastAsia="Times New Roman" w:hAnsi="Times New Roman"/>
          <w:sz w:val="13"/>
          <w:szCs w:val="13"/>
          <w:color w:val="auto"/>
        </w:rPr>
        <w:t xml:space="preserve"> become and be immediately due and payable without any declaration or other act on the part of the Trustee or any Holder.</w:t>
      </w:r>
    </w:p>
    <w:p>
      <w:pPr>
        <w:spacing w:after="0" w:line="137" w:lineRule="exact"/>
        <w:rPr>
          <w:sz w:val="20"/>
          <w:szCs w:val="20"/>
          <w:color w:val="auto"/>
        </w:rPr>
      </w:pPr>
    </w:p>
    <w:p>
      <w:pPr>
        <w:ind w:left="400" w:right="459" w:firstLine="738"/>
        <w:spacing w:after="0" w:line="267" w:lineRule="auto"/>
        <w:rPr>
          <w:sz w:val="20"/>
          <w:szCs w:val="20"/>
          <w:color w:val="auto"/>
        </w:rPr>
      </w:pPr>
      <w:r>
        <w:rPr>
          <w:rFonts w:ascii="Times New Roman" w:cs="Times New Roman" w:eastAsia="Times New Roman" w:hAnsi="Times New Roman"/>
          <w:sz w:val="13"/>
          <w:szCs w:val="13"/>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No such rescission shall affect any subsequent Default or impair any right consequent thereon.</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Collection of Indebtedness and Suits for Enforcement by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The Company covenants that if</w:t>
      </w:r>
    </w:p>
    <w:p>
      <w:pPr>
        <w:spacing w:after="0" w:line="172" w:lineRule="exact"/>
        <w:rPr>
          <w:sz w:val="20"/>
          <w:szCs w:val="20"/>
          <w:color w:val="auto"/>
        </w:rPr>
      </w:pPr>
    </w:p>
    <w:p>
      <w:pPr>
        <w:ind w:left="400" w:right="699" w:firstLine="1069"/>
        <w:spacing w:after="0" w:line="296" w:lineRule="auto"/>
        <w:tabs>
          <w:tab w:leader="none" w:pos="164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payment of any interest on any Security when such interest becomes due and payable and such default continues for a period of 30 days, or</w:t>
      </w:r>
    </w:p>
    <w:p>
      <w:pPr>
        <w:spacing w:after="0" w:line="113"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payment of principal of any Security at the Maturity thereof, or</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deposit of any sinking fund payment, if any, when and as due by the terms of a Security,</w:t>
      </w:r>
    </w:p>
    <w:p>
      <w:pPr>
        <w:spacing w:after="0" w:line="170" w:lineRule="exact"/>
        <w:rPr>
          <w:sz w:val="20"/>
          <w:szCs w:val="20"/>
          <w:color w:val="auto"/>
        </w:rPr>
      </w:pPr>
    </w:p>
    <w:p>
      <w:pPr>
        <w:ind w:left="400" w:right="419" w:firstLine="738"/>
        <w:spacing w:after="0" w:line="268" w:lineRule="auto"/>
        <w:rPr>
          <w:sz w:val="20"/>
          <w:szCs w:val="20"/>
          <w:color w:val="auto"/>
        </w:rPr>
      </w:pPr>
      <w:r>
        <w:rPr>
          <w:rFonts w:ascii="Times New Roman" w:cs="Times New Roman" w:eastAsia="Times New Roman" w:hAnsi="Times New Roman"/>
          <w:sz w:val="13"/>
          <w:szCs w:val="13"/>
          <w:i w:val="1"/>
          <w:iCs w:val="1"/>
          <w:color w:val="auto"/>
        </w:rPr>
        <w:t>then</w:t>
      </w:r>
      <w:r>
        <w:rPr>
          <w:rFonts w:ascii="Times New Roman" w:cs="Times New Roman" w:eastAsia="Times New Roman" w:hAnsi="Times New Roman"/>
          <w:sz w:val="13"/>
          <w:szCs w:val="13"/>
          <w:color w:val="auto"/>
        </w:rPr>
        <w:t>, the Company will, upon demand of the Trustee, pay to it, for the benefit of the Holders of such Securities, the whole amount then due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32" w:lineRule="exact"/>
        <w:rPr>
          <w:sz w:val="20"/>
          <w:szCs w:val="20"/>
          <w:color w:val="auto"/>
        </w:rPr>
      </w:pPr>
    </w:p>
    <w:p>
      <w:pPr>
        <w:ind w:left="400" w:right="419" w:firstLine="738"/>
        <w:spacing w:after="0" w:line="270" w:lineRule="auto"/>
        <w:rPr>
          <w:sz w:val="20"/>
          <w:szCs w:val="20"/>
          <w:color w:val="auto"/>
        </w:rPr>
      </w:pPr>
      <w:r>
        <w:rPr>
          <w:rFonts w:ascii="Times New Roman" w:cs="Times New Roman" w:eastAsia="Times New Roman" w:hAnsi="Times New Roman"/>
          <w:sz w:val="13"/>
          <w:szCs w:val="13"/>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7" w:right="1440" w:bottom="1440" w:gutter="0" w:footer="0" w:header="0"/>
        </w:sectPr>
      </w:pPr>
    </w:p>
    <w:bookmarkStart w:id="59" w:name="page60"/>
    <w:bookmarkEnd w:id="59"/>
    <w:p>
      <w:pPr>
        <w:ind w:left="400" w:right="439" w:firstLine="738"/>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6.4 </w:t>
      </w:r>
      <w:r>
        <w:rPr>
          <w:rFonts w:ascii="Times New Roman" w:cs="Times New Roman" w:eastAsia="Times New Roman" w:hAnsi="Times New Roman"/>
          <w:sz w:val="13"/>
          <w:szCs w:val="13"/>
          <w:u w:val="single" w:color="auto"/>
          <w:color w:val="auto"/>
        </w:rPr>
        <w:t>Trustee May File Proofs of Claim</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79" w:firstLine="738"/>
        <w:spacing w:after="0" w:line="267" w:lineRule="auto"/>
        <w:rPr>
          <w:sz w:val="20"/>
          <w:szCs w:val="20"/>
          <w:color w:val="auto"/>
        </w:rPr>
      </w:pPr>
      <w:r>
        <w:rPr>
          <w:rFonts w:ascii="Times New Roman" w:cs="Times New Roman" w:eastAsia="Times New Roman" w:hAnsi="Times New Roman"/>
          <w:sz w:val="13"/>
          <w:szCs w:val="13"/>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33" w:lineRule="exact"/>
        <w:rPr>
          <w:sz w:val="20"/>
          <w:szCs w:val="20"/>
          <w:color w:val="auto"/>
        </w:rPr>
      </w:pPr>
    </w:p>
    <w:p>
      <w:pPr>
        <w:jc w:val="both"/>
        <w:ind w:left="400" w:right="539" w:firstLine="1069"/>
        <w:spacing w:after="0" w:line="277" w:lineRule="auto"/>
        <w:tabs>
          <w:tab w:leader="none" w:pos="164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25" w:lineRule="exact"/>
        <w:rPr>
          <w:rFonts w:ascii="Times New Roman" w:cs="Times New Roman" w:eastAsia="Times New Roman" w:hAnsi="Times New Roman"/>
          <w:sz w:val="13"/>
          <w:szCs w:val="13"/>
          <w:color w:val="auto"/>
        </w:rPr>
      </w:pPr>
    </w:p>
    <w:p>
      <w:pPr>
        <w:ind w:left="400" w:right="419" w:firstLine="1069"/>
        <w:spacing w:after="0" w:line="267" w:lineRule="auto"/>
        <w:tabs>
          <w:tab w:leader="none" w:pos="1656"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33" w:lineRule="exact"/>
        <w:rPr>
          <w:sz w:val="20"/>
          <w:szCs w:val="20"/>
          <w:color w:val="auto"/>
        </w:rPr>
      </w:pPr>
    </w:p>
    <w:p>
      <w:pPr>
        <w:ind w:left="400" w:right="619" w:firstLine="738"/>
        <w:spacing w:after="0" w:line="277" w:lineRule="auto"/>
        <w:rPr>
          <w:sz w:val="20"/>
          <w:szCs w:val="20"/>
          <w:color w:val="auto"/>
        </w:rPr>
      </w:pPr>
      <w:r>
        <w:rPr>
          <w:rFonts w:ascii="Times New Roman" w:cs="Times New Roman" w:eastAsia="Times New Roman" w:hAnsi="Times New Roman"/>
          <w:sz w:val="13"/>
          <w:szCs w:val="13"/>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Trustee May Enforce Claims Without Possession of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7" w:lineRule="auto"/>
        <w:rPr>
          <w:sz w:val="20"/>
          <w:szCs w:val="20"/>
          <w:color w:val="auto"/>
        </w:rPr>
      </w:pPr>
      <w:r>
        <w:rPr>
          <w:rFonts w:ascii="Times New Roman" w:cs="Times New Roman" w:eastAsia="Times New Roman" w:hAnsi="Times New Roman"/>
          <w:sz w:val="13"/>
          <w:szCs w:val="13"/>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6.6 </w:t>
      </w:r>
      <w:r>
        <w:rPr>
          <w:rFonts w:ascii="Times New Roman" w:cs="Times New Roman" w:eastAsia="Times New Roman" w:hAnsi="Times New Roman"/>
          <w:sz w:val="13"/>
          <w:szCs w:val="13"/>
          <w:u w:val="single" w:color="auto"/>
          <w:color w:val="auto"/>
        </w:rPr>
        <w:t>Application of Money Collected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77" w:lineRule="auto"/>
        <w:rPr>
          <w:sz w:val="20"/>
          <w:szCs w:val="20"/>
          <w:color w:val="auto"/>
        </w:rPr>
      </w:pPr>
      <w:r>
        <w:rPr>
          <w:rFonts w:ascii="Times New Roman" w:cs="Times New Roman" w:eastAsia="Times New Roman" w:hAnsi="Times New Roman"/>
          <w:sz w:val="13"/>
          <w:szCs w:val="13"/>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First: To the payment of all amounts due the Trustee under Section 7.7; and</w:t>
      </w:r>
    </w:p>
    <w:p>
      <w:pPr>
        <w:spacing w:after="0" w:line="172" w:lineRule="exact"/>
        <w:rPr>
          <w:sz w:val="20"/>
          <w:szCs w:val="20"/>
          <w:color w:val="auto"/>
        </w:rPr>
      </w:pPr>
    </w:p>
    <w:p>
      <w:pPr>
        <w:ind w:left="400" w:right="539" w:firstLine="738"/>
        <w:spacing w:after="0" w:line="277" w:lineRule="auto"/>
        <w:rPr>
          <w:sz w:val="20"/>
          <w:szCs w:val="20"/>
          <w:color w:val="auto"/>
        </w:rPr>
      </w:pPr>
      <w:r>
        <w:rPr>
          <w:rFonts w:ascii="Times New Roman" w:cs="Times New Roman" w:eastAsia="Times New Roman" w:hAnsi="Times New Roman"/>
          <w:sz w:val="13"/>
          <w:szCs w:val="13"/>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Third: To the Company.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7" w:right="1440" w:bottom="1440" w:gutter="0" w:footer="0" w:header="0"/>
        </w:sectPr>
      </w:pPr>
    </w:p>
    <w:bookmarkStart w:id="60" w:name="page61"/>
    <w:bookmarkEnd w:id="60"/>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6.7 </w:t>
      </w:r>
      <w:r>
        <w:rPr>
          <w:rFonts w:ascii="Times New Roman" w:cs="Times New Roman" w:eastAsia="Times New Roman" w:hAnsi="Times New Roman"/>
          <w:sz w:val="13"/>
          <w:szCs w:val="13"/>
          <w:u w:val="single" w:color="auto"/>
          <w:color w:val="auto"/>
        </w:rPr>
        <w:t>Limitation on Suits</w:t>
      </w:r>
    </w:p>
    <w:p>
      <w:pPr>
        <w:spacing w:after="0" w:line="172" w:lineRule="exact"/>
        <w:rPr>
          <w:sz w:val="20"/>
          <w:szCs w:val="20"/>
          <w:color w:val="auto"/>
        </w:rPr>
      </w:pPr>
    </w:p>
    <w:p>
      <w:pPr>
        <w:ind w:left="400" w:right="919" w:firstLine="738"/>
        <w:spacing w:after="0" w:line="296" w:lineRule="auto"/>
        <w:rPr>
          <w:sz w:val="20"/>
          <w:szCs w:val="20"/>
          <w:color w:val="auto"/>
        </w:rPr>
      </w:pPr>
      <w:r>
        <w:rPr>
          <w:rFonts w:ascii="Times New Roman" w:cs="Times New Roman" w:eastAsia="Times New Roman" w:hAnsi="Times New Roman"/>
          <w:sz w:val="13"/>
          <w:szCs w:val="13"/>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(a) such Holder has previously given written notice to the Trustee of a continuing Event of Default with respect to the Securities of</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that Series;</w:t>
      </w:r>
    </w:p>
    <w:p>
      <w:pPr>
        <w:spacing w:after="0" w:line="160" w:lineRule="exact"/>
        <w:rPr>
          <w:sz w:val="20"/>
          <w:szCs w:val="20"/>
          <w:color w:val="auto"/>
        </w:rPr>
      </w:pPr>
    </w:p>
    <w:p>
      <w:pPr>
        <w:ind w:left="400" w:right="499" w:firstLine="1069"/>
        <w:spacing w:after="0" w:line="296" w:lineRule="auto"/>
        <w:tabs>
          <w:tab w:leader="none" w:pos="1656"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13" w:lineRule="exact"/>
        <w:rPr>
          <w:rFonts w:ascii="Times New Roman" w:cs="Times New Roman" w:eastAsia="Times New Roman" w:hAnsi="Times New Roman"/>
          <w:sz w:val="13"/>
          <w:szCs w:val="13"/>
          <w:color w:val="auto"/>
        </w:rPr>
      </w:pPr>
    </w:p>
    <w:p>
      <w:pPr>
        <w:ind w:left="400" w:right="579" w:firstLine="1069"/>
        <w:spacing w:after="0" w:line="296" w:lineRule="auto"/>
        <w:tabs>
          <w:tab w:leader="none" w:pos="164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 or Holders have offered to the Trustee indemnity or security satisfactory to the Trustee against the costs, expenses and liabilities which might be incurred by the Trustee in compliance with such request;</w:t>
      </w:r>
    </w:p>
    <w:p>
      <w:pPr>
        <w:spacing w:after="0" w:line="113"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for 60 days after its receipt of such notice, request and offer of indemnity has failed to institute any such proceeding;</w:t>
      </w:r>
    </w:p>
    <w:p>
      <w:pPr>
        <w:spacing w:after="0" w:line="23" w:lineRule="exact"/>
        <w:rPr>
          <w:rFonts w:ascii="Times New Roman" w:cs="Times New Roman" w:eastAsia="Times New Roman" w:hAnsi="Times New Roman"/>
          <w:sz w:val="13"/>
          <w:szCs w:val="13"/>
          <w:color w:val="auto"/>
        </w:rPr>
      </w:pPr>
    </w:p>
    <w:p>
      <w:pPr>
        <w:ind w:left="4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w:t>
      </w:r>
    </w:p>
    <w:p>
      <w:pPr>
        <w:spacing w:after="0" w:line="159" w:lineRule="exact"/>
        <w:rPr>
          <w:rFonts w:ascii="Times New Roman" w:cs="Times New Roman" w:eastAsia="Times New Roman" w:hAnsi="Times New Roman"/>
          <w:sz w:val="13"/>
          <w:szCs w:val="13"/>
          <w:color w:val="auto"/>
        </w:rPr>
      </w:pPr>
    </w:p>
    <w:p>
      <w:pPr>
        <w:ind w:left="400" w:right="559" w:firstLine="1069"/>
        <w:spacing w:after="0" w:line="296" w:lineRule="auto"/>
        <w:tabs>
          <w:tab w:leader="none" w:pos="164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direction inconsistent with such written request has been given to the Trustee during such 60-day period by the Holders of a majority in principal amount of the outstanding Securities of that Series;</w:t>
      </w:r>
    </w:p>
    <w:p>
      <w:pPr>
        <w:spacing w:after="0" w:line="114" w:lineRule="exact"/>
        <w:rPr>
          <w:sz w:val="20"/>
          <w:szCs w:val="20"/>
          <w:color w:val="auto"/>
        </w:rPr>
      </w:pPr>
    </w:p>
    <w:p>
      <w:pPr>
        <w:ind w:left="400" w:right="439" w:firstLine="738"/>
        <w:spacing w:after="0" w:line="270" w:lineRule="auto"/>
        <w:rPr>
          <w:sz w:val="20"/>
          <w:szCs w:val="20"/>
          <w:color w:val="auto"/>
        </w:rPr>
      </w:pPr>
      <w:r>
        <w:rPr>
          <w:rFonts w:ascii="Times New Roman" w:cs="Times New Roman" w:eastAsia="Times New Roman" w:hAnsi="Times New Roman"/>
          <w:sz w:val="13"/>
          <w:szCs w:val="13"/>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6.8 </w:t>
      </w:r>
      <w:r>
        <w:rPr>
          <w:rFonts w:ascii="Times New Roman" w:cs="Times New Roman" w:eastAsia="Times New Roman" w:hAnsi="Times New Roman"/>
          <w:sz w:val="13"/>
          <w:szCs w:val="13"/>
          <w:u w:val="single" w:color="auto"/>
          <w:color w:val="auto"/>
        </w:rPr>
        <w:t>Unconditional Right of Holders to Receive Principal and Interest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70" w:lineRule="auto"/>
        <w:rPr>
          <w:sz w:val="20"/>
          <w:szCs w:val="20"/>
          <w:color w:val="auto"/>
        </w:rPr>
      </w:pPr>
      <w:r>
        <w:rPr>
          <w:rFonts w:ascii="Times New Roman" w:cs="Times New Roman" w:eastAsia="Times New Roman" w:hAnsi="Times New Roman"/>
          <w:sz w:val="13"/>
          <w:szCs w:val="13"/>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6.9 </w:t>
      </w:r>
      <w:r>
        <w:rPr>
          <w:rFonts w:ascii="Times New Roman" w:cs="Times New Roman" w:eastAsia="Times New Roman" w:hAnsi="Times New Roman"/>
          <w:sz w:val="13"/>
          <w:szCs w:val="13"/>
          <w:u w:val="single" w:color="auto"/>
          <w:color w:val="auto"/>
        </w:rPr>
        <w:t>Restoration of Rights and Remedies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79" w:firstLine="738"/>
        <w:spacing w:after="0" w:line="270" w:lineRule="auto"/>
        <w:rPr>
          <w:sz w:val="20"/>
          <w:szCs w:val="20"/>
          <w:color w:val="auto"/>
        </w:rPr>
      </w:pPr>
      <w:r>
        <w:rPr>
          <w:rFonts w:ascii="Times New Roman" w:cs="Times New Roman" w:eastAsia="Times New Roman" w:hAnsi="Times New Roman"/>
          <w:sz w:val="13"/>
          <w:szCs w:val="13"/>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u w:val="single" w:color="auto"/>
          <w:color w:val="auto"/>
        </w:rPr>
        <w:t>Rights and Remedies Cumulative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79" w:firstLine="738"/>
        <w:spacing w:after="0" w:line="267" w:lineRule="auto"/>
        <w:rPr>
          <w:sz w:val="20"/>
          <w:szCs w:val="20"/>
          <w:color w:val="auto"/>
        </w:rPr>
      </w:pPr>
      <w:r>
        <w:rPr>
          <w:rFonts w:ascii="Times New Roman" w:cs="Times New Roman" w:eastAsia="Times New Roman" w:hAnsi="Times New Roman"/>
          <w:sz w:val="13"/>
          <w:szCs w:val="13"/>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7" w:right="1440" w:bottom="1440" w:gutter="0" w:footer="0" w:header="0"/>
        </w:sectPr>
      </w:pPr>
    </w:p>
    <w:bookmarkStart w:id="61" w:name="page62"/>
    <w:bookmarkEnd w:id="61"/>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6.11 </w:t>
      </w:r>
      <w:r>
        <w:rPr>
          <w:rFonts w:ascii="Times New Roman" w:cs="Times New Roman" w:eastAsia="Times New Roman" w:hAnsi="Times New Roman"/>
          <w:sz w:val="13"/>
          <w:szCs w:val="13"/>
          <w:u w:val="single" w:color="auto"/>
          <w:color w:val="auto"/>
        </w:rPr>
        <w:t>Delay or Omission Not Waiver</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70" w:lineRule="auto"/>
        <w:rPr>
          <w:sz w:val="20"/>
          <w:szCs w:val="20"/>
          <w:color w:val="auto"/>
        </w:rPr>
      </w:pPr>
      <w:r>
        <w:rPr>
          <w:rFonts w:ascii="Times New Roman" w:cs="Times New Roman" w:eastAsia="Times New Roman" w:hAnsi="Times New Roman"/>
          <w:sz w:val="13"/>
          <w:szCs w:val="13"/>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6.12 </w:t>
      </w:r>
      <w:r>
        <w:rPr>
          <w:rFonts w:ascii="Times New Roman" w:cs="Times New Roman" w:eastAsia="Times New Roman" w:hAnsi="Times New Roman"/>
          <w:sz w:val="13"/>
          <w:szCs w:val="13"/>
          <w:u w:val="single" w:color="auto"/>
          <w:color w:val="auto"/>
        </w:rPr>
        <w:t>Control by Holders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99" w:firstLine="738"/>
        <w:spacing w:after="0" w:line="277" w:lineRule="auto"/>
        <w:rPr>
          <w:sz w:val="20"/>
          <w:szCs w:val="20"/>
          <w:color w:val="auto"/>
        </w:rPr>
      </w:pPr>
      <w:r>
        <w:rPr>
          <w:rFonts w:ascii="Times New Roman" w:cs="Times New Roman" w:eastAsia="Times New Roman" w:hAnsi="Times New Roman"/>
          <w:sz w:val="13"/>
          <w:szCs w:val="13"/>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26" w:lineRule="exact"/>
        <w:rPr>
          <w:sz w:val="20"/>
          <w:szCs w:val="20"/>
          <w:color w:val="auto"/>
        </w:rPr>
      </w:pPr>
    </w:p>
    <w:p>
      <w:pPr>
        <w:ind w:left="1660" w:hanging="191"/>
        <w:spacing w:after="0"/>
        <w:tabs>
          <w:tab w:leader="none" w:pos="16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direction shall not be in conflict with any rule of law or with this Indenture,</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take any other action deemed proper by the Trustee which is not inconsistent with such direction,</w:t>
      </w:r>
    </w:p>
    <w:p>
      <w:pPr>
        <w:spacing w:after="0" w:line="172" w:lineRule="exact"/>
        <w:rPr>
          <w:rFonts w:ascii="Times New Roman" w:cs="Times New Roman" w:eastAsia="Times New Roman" w:hAnsi="Times New Roman"/>
          <w:sz w:val="13"/>
          <w:szCs w:val="13"/>
          <w:color w:val="auto"/>
        </w:rPr>
      </w:pPr>
    </w:p>
    <w:p>
      <w:pPr>
        <w:jc w:val="both"/>
        <w:ind w:left="400" w:right="579" w:firstLine="1069"/>
        <w:spacing w:after="0" w:line="296" w:lineRule="auto"/>
        <w:tabs>
          <w:tab w:leader="none" w:pos="164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13" w:lineRule="exact"/>
        <w:rPr>
          <w:rFonts w:ascii="Times New Roman" w:cs="Times New Roman" w:eastAsia="Times New Roman" w:hAnsi="Times New Roman"/>
          <w:sz w:val="13"/>
          <w:szCs w:val="13"/>
          <w:color w:val="auto"/>
        </w:rPr>
      </w:pPr>
    </w:p>
    <w:p>
      <w:pPr>
        <w:ind w:left="400" w:right="559" w:firstLine="1069"/>
        <w:spacing w:after="0" w:line="296" w:lineRule="auto"/>
        <w:tabs>
          <w:tab w:leader="none" w:pos="1656"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6.13 </w:t>
      </w:r>
      <w:r>
        <w:rPr>
          <w:rFonts w:ascii="Times New Roman" w:cs="Times New Roman" w:eastAsia="Times New Roman" w:hAnsi="Times New Roman"/>
          <w:sz w:val="13"/>
          <w:szCs w:val="13"/>
          <w:u w:val="single" w:color="auto"/>
          <w:color w:val="auto"/>
        </w:rPr>
        <w:t>Waiver of Past Defaults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4" w:lineRule="auto"/>
        <w:rPr>
          <w:sz w:val="20"/>
          <w:szCs w:val="20"/>
          <w:color w:val="auto"/>
        </w:rPr>
      </w:pPr>
      <w:r>
        <w:rPr>
          <w:rFonts w:ascii="Times New Roman" w:cs="Times New Roman" w:eastAsia="Times New Roman" w:hAnsi="Times New Roman"/>
          <w:sz w:val="13"/>
          <w:szCs w:val="13"/>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6.14 </w:t>
      </w:r>
      <w:r>
        <w:rPr>
          <w:rFonts w:ascii="Times New Roman" w:cs="Times New Roman" w:eastAsia="Times New Roman" w:hAnsi="Times New Roman"/>
          <w:sz w:val="13"/>
          <w:szCs w:val="13"/>
          <w:u w:val="single" w:color="auto"/>
          <w:color w:val="auto"/>
        </w:rPr>
        <w:t>Undertaking for Costs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63" w:lineRule="auto"/>
        <w:rPr>
          <w:sz w:val="20"/>
          <w:szCs w:val="20"/>
          <w:color w:val="auto"/>
        </w:rPr>
      </w:pPr>
      <w:r>
        <w:rPr>
          <w:rFonts w:ascii="Times New Roman" w:cs="Times New Roman" w:eastAsia="Times New Roman" w:hAnsi="Times New Roman"/>
          <w:sz w:val="13"/>
          <w:szCs w:val="13"/>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7"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ARTICLE VII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TRUSTEE</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Duties of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59" w:firstLine="1069"/>
        <w:spacing w:after="0" w:line="277" w:lineRule="auto"/>
        <w:tabs>
          <w:tab w:leader="none" w:pos="164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25"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during the continuance of an Event of Default:</w:t>
      </w:r>
    </w:p>
    <w:p>
      <w:pPr>
        <w:spacing w:after="0" w:line="91" w:lineRule="exact"/>
        <w:rPr>
          <w:rFonts w:ascii="Times New Roman" w:cs="Times New Roman" w:eastAsia="Times New Roman" w:hAnsi="Times New Roman"/>
          <w:sz w:val="13"/>
          <w:szCs w:val="13"/>
          <w:color w:val="auto"/>
        </w:rPr>
      </w:pPr>
    </w:p>
    <w:p>
      <w:pPr>
        <w:ind w:left="400" w:right="559" w:firstLine="1479"/>
        <w:spacing w:after="0" w:line="296" w:lineRule="auto"/>
        <w:tabs>
          <w:tab w:leader="none" w:pos="2036"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need perform only those duties that are specifically set forth in this Indenture and no others, and no implied covenants or obligations shall be read into this Indenture against the Trustee.</w:t>
      </w:r>
    </w:p>
    <w:p>
      <w:pPr>
        <w:spacing w:after="0" w:line="113" w:lineRule="exact"/>
        <w:rPr>
          <w:rFonts w:ascii="Times New Roman" w:cs="Times New Roman" w:eastAsia="Times New Roman" w:hAnsi="Times New Roman"/>
          <w:sz w:val="13"/>
          <w:szCs w:val="13"/>
          <w:color w:val="auto"/>
        </w:rPr>
      </w:pPr>
    </w:p>
    <w:p>
      <w:pPr>
        <w:ind w:left="400" w:right="499" w:firstLine="1479"/>
        <w:spacing w:after="0" w:line="265" w:lineRule="auto"/>
        <w:tabs>
          <w:tab w:leader="none" w:pos="2073"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135" w:lineRule="exact"/>
        <w:rPr>
          <w:rFonts w:ascii="Times New Roman" w:cs="Times New Roman" w:eastAsia="Times New Roman" w:hAnsi="Times New Roman"/>
          <w:sz w:val="13"/>
          <w:szCs w:val="13"/>
          <w:color w:val="auto"/>
        </w:rPr>
      </w:pPr>
    </w:p>
    <w:p>
      <w:pPr>
        <w:ind w:left="400" w:right="719" w:firstLine="1069"/>
        <w:spacing w:after="0" w:line="296" w:lineRule="auto"/>
        <w:tabs>
          <w:tab w:leader="none" w:pos="164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not be relieved from liability for its own negligent action, its own negligent failure to act or its own willful misconduct, except that:</w:t>
      </w:r>
    </w:p>
    <w:p>
      <w:pPr>
        <w:spacing w:after="0" w:line="33" w:lineRule="exact"/>
        <w:rPr>
          <w:rFonts w:ascii="Times New Roman" w:cs="Times New Roman" w:eastAsia="Times New Roman" w:hAnsi="Times New Roman"/>
          <w:sz w:val="13"/>
          <w:szCs w:val="13"/>
          <w:color w:val="auto"/>
        </w:rPr>
      </w:pPr>
    </w:p>
    <w:p>
      <w:pPr>
        <w:ind w:left="2040" w:hanging="161"/>
        <w:spacing w:after="0"/>
        <w:tabs>
          <w:tab w:leader="none" w:pos="20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paragraph does not limit the effect of paragraph (b) of this Section.</w:t>
      </w:r>
    </w:p>
    <w:p>
      <w:pPr>
        <w:spacing w:after="0" w:line="172" w:lineRule="exact"/>
        <w:rPr>
          <w:rFonts w:ascii="Times New Roman" w:cs="Times New Roman" w:eastAsia="Times New Roman" w:hAnsi="Times New Roman"/>
          <w:sz w:val="13"/>
          <w:szCs w:val="13"/>
          <w:color w:val="auto"/>
        </w:rPr>
      </w:pPr>
    </w:p>
    <w:p>
      <w:pPr>
        <w:ind w:left="400" w:right="479" w:firstLine="1479"/>
        <w:spacing w:after="0" w:line="296" w:lineRule="auto"/>
        <w:tabs>
          <w:tab w:leader="none" w:pos="2073"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113" w:lineRule="exact"/>
        <w:rPr>
          <w:rFonts w:ascii="Times New Roman" w:cs="Times New Roman" w:eastAsia="Times New Roman" w:hAnsi="Times New Roman"/>
          <w:sz w:val="13"/>
          <w:szCs w:val="13"/>
          <w:color w:val="auto"/>
        </w:rPr>
      </w:pPr>
    </w:p>
    <w:p>
      <w:pPr>
        <w:ind w:left="400" w:right="579" w:firstLine="1479"/>
        <w:spacing w:after="0" w:line="270" w:lineRule="auto"/>
        <w:tabs>
          <w:tab w:leader="none" w:pos="2111"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31"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provision of this Indenture that in any way relates to the Trustee is subject to paragraph (a), (b) and (c) of this Section.</w:t>
      </w:r>
    </w:p>
    <w:p>
      <w:pPr>
        <w:spacing w:after="0" w:line="172" w:lineRule="exact"/>
        <w:rPr>
          <w:rFonts w:ascii="Times New Roman" w:cs="Times New Roman" w:eastAsia="Times New Roman" w:hAnsi="Times New Roman"/>
          <w:sz w:val="13"/>
          <w:szCs w:val="13"/>
          <w:color w:val="auto"/>
        </w:rPr>
      </w:pPr>
    </w:p>
    <w:p>
      <w:pPr>
        <w:ind w:left="400" w:right="519" w:firstLine="1069"/>
        <w:spacing w:after="0" w:line="296" w:lineRule="auto"/>
        <w:tabs>
          <w:tab w:leader="none" w:pos="164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13" w:lineRule="exact"/>
        <w:rPr>
          <w:rFonts w:ascii="Times New Roman" w:cs="Times New Roman" w:eastAsia="Times New Roman" w:hAnsi="Times New Roman"/>
          <w:sz w:val="13"/>
          <w:szCs w:val="13"/>
          <w:color w:val="auto"/>
        </w:rPr>
      </w:pPr>
    </w:p>
    <w:p>
      <w:pPr>
        <w:ind w:left="400" w:right="519" w:firstLine="1069"/>
        <w:spacing w:after="0" w:line="296" w:lineRule="auto"/>
        <w:tabs>
          <w:tab w:leader="none" w:pos="163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113" w:lineRule="exact"/>
        <w:rPr>
          <w:rFonts w:ascii="Times New Roman" w:cs="Times New Roman" w:eastAsia="Times New Roman" w:hAnsi="Times New Roman"/>
          <w:sz w:val="13"/>
          <w:szCs w:val="13"/>
          <w:color w:val="auto"/>
        </w:rPr>
      </w:pPr>
    </w:p>
    <w:p>
      <w:pPr>
        <w:ind w:left="400" w:right="539" w:firstLine="1069"/>
        <w:spacing w:after="0" w:line="296" w:lineRule="auto"/>
        <w:tabs>
          <w:tab w:leader="none" w:pos="1656"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3" w:right="1440" w:bottom="1440" w:gutter="0" w:footer="0" w:header="0"/>
        </w:sectPr>
      </w:pPr>
    </w:p>
    <w:bookmarkStart w:id="63" w:name="page64"/>
    <w:bookmarkEnd w:id="63"/>
    <w:p>
      <w:pPr>
        <w:ind w:left="400" w:right="539" w:firstLine="1069"/>
        <w:spacing w:after="0" w:line="296" w:lineRule="auto"/>
        <w:tabs>
          <w:tab w:leader="none" w:pos="1656"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The Paying Agent, the Registrar and any authenticating agent shall be entitled to the protections and immunities as are set forth in paragraphs (e), (f) and (g) of this Section and in Section 7.2, each with respect to the Trustee.</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Rights of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left="400" w:right="539" w:firstLine="1069"/>
        <w:spacing w:after="0" w:line="277" w:lineRule="auto"/>
        <w:tabs>
          <w:tab w:leader="none" w:pos="164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25" w:lineRule="exact"/>
        <w:rPr>
          <w:rFonts w:ascii="Times New Roman" w:cs="Times New Roman" w:eastAsia="Times New Roman" w:hAnsi="Times New Roman"/>
          <w:sz w:val="13"/>
          <w:szCs w:val="13"/>
          <w:color w:val="auto"/>
        </w:rPr>
      </w:pPr>
    </w:p>
    <w:p>
      <w:pPr>
        <w:ind w:left="400" w:right="699" w:firstLine="1069"/>
        <w:spacing w:after="0" w:line="296" w:lineRule="auto"/>
        <w:tabs>
          <w:tab w:leader="none" w:pos="165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13" w:lineRule="exact"/>
        <w:rPr>
          <w:rFonts w:ascii="Times New Roman" w:cs="Times New Roman" w:eastAsia="Times New Roman" w:hAnsi="Times New Roman"/>
          <w:sz w:val="13"/>
          <w:szCs w:val="13"/>
          <w:color w:val="auto"/>
        </w:rPr>
      </w:pPr>
    </w:p>
    <w:p>
      <w:pPr>
        <w:ind w:left="400" w:right="479" w:firstLine="1069"/>
        <w:spacing w:after="0" w:line="277" w:lineRule="auto"/>
        <w:tabs>
          <w:tab w:leader="none" w:pos="164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125" w:lineRule="exact"/>
        <w:rPr>
          <w:rFonts w:ascii="Times New Roman" w:cs="Times New Roman" w:eastAsia="Times New Roman" w:hAnsi="Times New Roman"/>
          <w:sz w:val="13"/>
          <w:szCs w:val="13"/>
          <w:color w:val="auto"/>
        </w:rPr>
      </w:pPr>
    </w:p>
    <w:p>
      <w:pPr>
        <w:ind w:left="400" w:right="439" w:firstLine="1069"/>
        <w:spacing w:after="0" w:line="296" w:lineRule="auto"/>
        <w:tabs>
          <w:tab w:leader="none" w:pos="165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13" w:lineRule="exact"/>
        <w:rPr>
          <w:rFonts w:ascii="Times New Roman" w:cs="Times New Roman" w:eastAsia="Times New Roman" w:hAnsi="Times New Roman"/>
          <w:sz w:val="13"/>
          <w:szCs w:val="13"/>
          <w:color w:val="auto"/>
        </w:rPr>
      </w:pPr>
    </w:p>
    <w:p>
      <w:pPr>
        <w:ind w:left="400" w:right="459" w:firstLine="1069"/>
        <w:spacing w:after="0" w:line="277" w:lineRule="auto"/>
        <w:tabs>
          <w:tab w:leader="none" w:pos="164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25" w:lineRule="exact"/>
        <w:rPr>
          <w:rFonts w:ascii="Times New Roman" w:cs="Times New Roman" w:eastAsia="Times New Roman" w:hAnsi="Times New Roman"/>
          <w:sz w:val="13"/>
          <w:szCs w:val="13"/>
          <w:color w:val="auto"/>
        </w:rPr>
      </w:pPr>
    </w:p>
    <w:p>
      <w:pPr>
        <w:jc w:val="both"/>
        <w:ind w:left="400" w:right="659" w:firstLine="1069"/>
        <w:spacing w:after="0" w:line="277" w:lineRule="auto"/>
        <w:tabs>
          <w:tab w:leader="none" w:pos="1634"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125" w:lineRule="exact"/>
        <w:rPr>
          <w:rFonts w:ascii="Times New Roman" w:cs="Times New Roman" w:eastAsia="Times New Roman" w:hAnsi="Times New Roman"/>
          <w:sz w:val="13"/>
          <w:szCs w:val="13"/>
          <w:color w:val="auto"/>
        </w:rPr>
      </w:pPr>
    </w:p>
    <w:p>
      <w:pPr>
        <w:jc w:val="both"/>
        <w:ind w:left="400" w:right="499" w:firstLine="1069"/>
        <w:spacing w:after="0" w:line="277" w:lineRule="auto"/>
        <w:tabs>
          <w:tab w:leader="none" w:pos="165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25" w:lineRule="exact"/>
        <w:rPr>
          <w:rFonts w:ascii="Times New Roman" w:cs="Times New Roman" w:eastAsia="Times New Roman" w:hAnsi="Times New Roman"/>
          <w:sz w:val="13"/>
          <w:szCs w:val="13"/>
          <w:color w:val="auto"/>
        </w:rPr>
      </w:pPr>
    </w:p>
    <w:p>
      <w:pPr>
        <w:ind w:left="400" w:right="439" w:firstLine="1069"/>
        <w:spacing w:after="0" w:line="270" w:lineRule="auto"/>
        <w:tabs>
          <w:tab w:leader="none" w:pos="165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131" w:lineRule="exact"/>
        <w:rPr>
          <w:rFonts w:ascii="Times New Roman" w:cs="Times New Roman" w:eastAsia="Times New Roman" w:hAnsi="Times New Roman"/>
          <w:sz w:val="13"/>
          <w:szCs w:val="13"/>
          <w:color w:val="auto"/>
        </w:rPr>
      </w:pPr>
    </w:p>
    <w:p>
      <w:pPr>
        <w:ind w:left="400" w:right="499" w:firstLine="1069"/>
        <w:spacing w:after="0" w:line="277" w:lineRule="auto"/>
        <w:tabs>
          <w:tab w:leader="none" w:pos="162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125" w:lineRule="exact"/>
        <w:rPr>
          <w:rFonts w:ascii="Times New Roman" w:cs="Times New Roman" w:eastAsia="Times New Roman" w:hAnsi="Times New Roman"/>
          <w:sz w:val="13"/>
          <w:szCs w:val="13"/>
          <w:color w:val="auto"/>
        </w:rPr>
      </w:pPr>
    </w:p>
    <w:p>
      <w:pPr>
        <w:ind w:left="1620" w:hanging="151"/>
        <w:spacing w:after="0"/>
        <w:tabs>
          <w:tab w:leader="none" w:pos="16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permissive right of the Trustee to take the actions permitted by this Indenture shall not be construed as an obligation or duty</w:t>
      </w:r>
    </w:p>
    <w:p>
      <w:pPr>
        <w:spacing w:after="0" w:line="23" w:lineRule="exact"/>
        <w:rPr>
          <w:rFonts w:ascii="Times New Roman" w:cs="Times New Roman" w:eastAsia="Times New Roman" w:hAnsi="Times New Roman"/>
          <w:sz w:val="13"/>
          <w:szCs w:val="13"/>
          <w:color w:val="auto"/>
        </w:rPr>
      </w:pPr>
    </w:p>
    <w:p>
      <w:pPr>
        <w:ind w:left="4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do so.</w:t>
      </w:r>
    </w:p>
    <w:p>
      <w:pPr>
        <w:spacing w:after="0" w:line="159"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bond or surety shall be required with respect to performance of Trustee’s duties and powers.</w:t>
      </w:r>
    </w:p>
    <w:p>
      <w:pPr>
        <w:spacing w:after="0" w:line="172" w:lineRule="exact"/>
        <w:rPr>
          <w:rFonts w:ascii="Times New Roman" w:cs="Times New Roman" w:eastAsia="Times New Roman" w:hAnsi="Times New Roman"/>
          <w:sz w:val="13"/>
          <w:szCs w:val="13"/>
          <w:color w:val="auto"/>
        </w:rPr>
      </w:pPr>
    </w:p>
    <w:p>
      <w:pPr>
        <w:ind w:left="1620" w:hanging="151"/>
        <w:spacing w:after="0"/>
        <w:tabs>
          <w:tab w:leader="none" w:pos="16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no circumstances shall the Trustee be liable in its individual capacity for the obligations evidenced by the Securities.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7" w:right="1440" w:bottom="1440" w:gutter="0" w:footer="0" w:header="0"/>
        </w:sectPr>
      </w:pPr>
    </w:p>
    <w:bookmarkStart w:id="64" w:name="page65"/>
    <w:bookmarkEnd w:id="64"/>
    <w:p>
      <w:pPr>
        <w:ind w:left="400" w:right="879" w:firstLine="1069"/>
        <w:spacing w:after="0" w:line="296" w:lineRule="auto"/>
        <w:tabs>
          <w:tab w:leader="none" w:pos="1693"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Any request or direction of the Company mentioned herein shall be sufficiently evidenced by a Company Order and any resolution of the Board of Directors may be sufficiently evidenced by a Board Resolution.</w:t>
      </w:r>
    </w:p>
    <w:p>
      <w:pPr>
        <w:spacing w:after="0" w:line="113" w:lineRule="exact"/>
        <w:rPr>
          <w:rFonts w:ascii="Times New Roman" w:cs="Times New Roman" w:eastAsia="Times New Roman" w:hAnsi="Times New Roman"/>
          <w:sz w:val="13"/>
          <w:szCs w:val="13"/>
          <w:color w:val="auto"/>
        </w:rPr>
      </w:pPr>
    </w:p>
    <w:p>
      <w:pPr>
        <w:ind w:left="400" w:right="699" w:firstLine="1069"/>
        <w:spacing w:after="0" w:line="296" w:lineRule="auto"/>
        <w:tabs>
          <w:tab w:leader="none" w:pos="165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request that the Company deliver a certificate setting forth the names of individuals and/or titles of officers authorized at such time to take specified actions pursuant to this Indenture.</w:t>
      </w:r>
    </w:p>
    <w:p>
      <w:pPr>
        <w:spacing w:after="0" w:line="113" w:lineRule="exact"/>
        <w:rPr>
          <w:rFonts w:ascii="Times New Roman" w:cs="Times New Roman" w:eastAsia="Times New Roman" w:hAnsi="Times New Roman"/>
          <w:sz w:val="13"/>
          <w:szCs w:val="13"/>
          <w:color w:val="auto"/>
        </w:rPr>
      </w:pPr>
    </w:p>
    <w:p>
      <w:pPr>
        <w:ind w:left="400" w:right="679" w:firstLine="1069"/>
        <w:spacing w:after="0" w:line="277" w:lineRule="auto"/>
        <w:tabs>
          <w:tab w:leader="none" w:pos="165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7.3 </w:t>
      </w:r>
      <w:r>
        <w:rPr>
          <w:rFonts w:ascii="Times New Roman" w:cs="Times New Roman" w:eastAsia="Times New Roman" w:hAnsi="Times New Roman"/>
          <w:sz w:val="13"/>
          <w:szCs w:val="13"/>
          <w:u w:val="single" w:color="auto"/>
          <w:color w:val="auto"/>
        </w:rPr>
        <w:t>Individual Rights of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659" w:firstLine="738"/>
        <w:spacing w:after="0" w:line="277" w:lineRule="auto"/>
        <w:rPr>
          <w:sz w:val="20"/>
          <w:szCs w:val="20"/>
          <w:color w:val="auto"/>
        </w:rPr>
      </w:pPr>
      <w:r>
        <w:rPr>
          <w:rFonts w:ascii="Times New Roman" w:cs="Times New Roman" w:eastAsia="Times New Roman" w:hAnsi="Times New Roman"/>
          <w:sz w:val="13"/>
          <w:szCs w:val="13"/>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Trustee’s Disclaimer</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5" w:lineRule="auto"/>
        <w:rPr>
          <w:sz w:val="20"/>
          <w:szCs w:val="20"/>
          <w:color w:val="auto"/>
        </w:rPr>
      </w:pPr>
      <w:r>
        <w:rPr>
          <w:rFonts w:ascii="Times New Roman" w:cs="Times New Roman" w:eastAsia="Times New Roman" w:hAnsi="Times New Roman"/>
          <w:sz w:val="13"/>
          <w:szCs w:val="13"/>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7.5 </w:t>
      </w:r>
      <w:r>
        <w:rPr>
          <w:rFonts w:ascii="Times New Roman" w:cs="Times New Roman" w:eastAsia="Times New Roman" w:hAnsi="Times New Roman"/>
          <w:sz w:val="13"/>
          <w:szCs w:val="13"/>
          <w:u w:val="single" w:color="auto"/>
          <w:color w:val="auto"/>
        </w:rPr>
        <w:t>Notice of Defaults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7" w:lineRule="auto"/>
        <w:rPr>
          <w:sz w:val="20"/>
          <w:szCs w:val="20"/>
          <w:color w:val="auto"/>
        </w:rPr>
      </w:pPr>
      <w:r>
        <w:rPr>
          <w:rFonts w:ascii="Times New Roman" w:cs="Times New Roman" w:eastAsia="Times New Roman" w:hAnsi="Times New Roman"/>
          <w:sz w:val="13"/>
          <w:szCs w:val="13"/>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7.6 </w:t>
      </w:r>
      <w:r>
        <w:rPr>
          <w:rFonts w:ascii="Times New Roman" w:cs="Times New Roman" w:eastAsia="Times New Roman" w:hAnsi="Times New Roman"/>
          <w:sz w:val="13"/>
          <w:szCs w:val="13"/>
          <w:u w:val="single" w:color="auto"/>
          <w:color w:val="auto"/>
        </w:rPr>
        <w:t>Reports by Trustee to Holders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59" w:firstLine="738"/>
        <w:spacing w:after="0" w:line="277" w:lineRule="auto"/>
        <w:rPr>
          <w:sz w:val="20"/>
          <w:szCs w:val="20"/>
          <w:color w:val="auto"/>
        </w:rPr>
      </w:pPr>
      <w:r>
        <w:rPr>
          <w:rFonts w:ascii="Times New Roman" w:cs="Times New Roman" w:eastAsia="Times New Roman" w:hAnsi="Times New Roman"/>
          <w:sz w:val="13"/>
          <w:szCs w:val="13"/>
          <w:color w:val="auto"/>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26" w:lineRule="exact"/>
        <w:rPr>
          <w:sz w:val="20"/>
          <w:szCs w:val="20"/>
          <w:color w:val="auto"/>
        </w:rPr>
      </w:pPr>
    </w:p>
    <w:p>
      <w:pPr>
        <w:jc w:val="both"/>
        <w:ind w:left="400" w:right="559" w:firstLine="738"/>
        <w:spacing w:after="0" w:line="277" w:lineRule="auto"/>
        <w:rPr>
          <w:sz w:val="20"/>
          <w:szCs w:val="20"/>
          <w:color w:val="auto"/>
        </w:rPr>
      </w:pPr>
      <w:r>
        <w:rPr>
          <w:rFonts w:ascii="Times New Roman" w:cs="Times New Roman" w:eastAsia="Times New Roman" w:hAnsi="Times New Roman"/>
          <w:sz w:val="13"/>
          <w:szCs w:val="13"/>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7.7 </w:t>
      </w:r>
      <w:r>
        <w:rPr>
          <w:rFonts w:ascii="Times New Roman" w:cs="Times New Roman" w:eastAsia="Times New Roman" w:hAnsi="Times New Roman"/>
          <w:sz w:val="13"/>
          <w:szCs w:val="13"/>
          <w:u w:val="single" w:color="auto"/>
          <w:color w:val="auto"/>
        </w:rPr>
        <w:t>Compensation and Indemnity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19" w:firstLine="738"/>
        <w:spacing w:after="0" w:line="270" w:lineRule="auto"/>
        <w:rPr>
          <w:sz w:val="20"/>
          <w:szCs w:val="20"/>
          <w:color w:val="auto"/>
        </w:rPr>
      </w:pPr>
      <w:r>
        <w:rPr>
          <w:rFonts w:ascii="Times New Roman" w:cs="Times New Roman" w:eastAsia="Times New Roman" w:hAnsi="Times New Roman"/>
          <w:sz w:val="13"/>
          <w:szCs w:val="13"/>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7" w:right="1440" w:bottom="1440" w:gutter="0" w:footer="0" w:header="0"/>
        </w:sectPr>
      </w:pPr>
    </w:p>
    <w:bookmarkStart w:id="65" w:name="page66"/>
    <w:bookmarkEnd w:id="65"/>
    <w:p>
      <w:pPr>
        <w:ind w:left="400" w:right="439" w:firstLine="738"/>
        <w:spacing w:after="0" w:line="26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37" w:lineRule="exact"/>
        <w:rPr>
          <w:sz w:val="20"/>
          <w:szCs w:val="20"/>
          <w:color w:val="auto"/>
        </w:rPr>
      </w:pPr>
    </w:p>
    <w:p>
      <w:pPr>
        <w:ind w:left="400" w:right="439" w:firstLine="738"/>
        <w:spacing w:after="0" w:line="296" w:lineRule="auto"/>
        <w:rPr>
          <w:sz w:val="20"/>
          <w:szCs w:val="20"/>
          <w:color w:val="auto"/>
        </w:rPr>
      </w:pPr>
      <w:r>
        <w:rPr>
          <w:rFonts w:ascii="Times New Roman" w:cs="Times New Roman" w:eastAsia="Times New Roman" w:hAnsi="Times New Roman"/>
          <w:sz w:val="13"/>
          <w:szCs w:val="13"/>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14" w:lineRule="exact"/>
        <w:rPr>
          <w:sz w:val="20"/>
          <w:szCs w:val="20"/>
          <w:color w:val="auto"/>
        </w:rPr>
      </w:pPr>
    </w:p>
    <w:p>
      <w:pPr>
        <w:ind w:left="400" w:right="779" w:firstLine="738"/>
        <w:spacing w:after="0" w:line="296" w:lineRule="auto"/>
        <w:rPr>
          <w:sz w:val="20"/>
          <w:szCs w:val="20"/>
          <w:color w:val="auto"/>
        </w:rPr>
      </w:pPr>
      <w:r>
        <w:rPr>
          <w:rFonts w:ascii="Times New Roman" w:cs="Times New Roman" w:eastAsia="Times New Roman" w:hAnsi="Times New Roman"/>
          <w:sz w:val="13"/>
          <w:szCs w:val="13"/>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14" w:lineRule="exact"/>
        <w:rPr>
          <w:sz w:val="20"/>
          <w:szCs w:val="20"/>
          <w:color w:val="auto"/>
        </w:rPr>
      </w:pPr>
    </w:p>
    <w:p>
      <w:pPr>
        <w:ind w:left="400" w:right="519" w:firstLine="738"/>
        <w:spacing w:after="0" w:line="296" w:lineRule="auto"/>
        <w:rPr>
          <w:sz w:val="20"/>
          <w:szCs w:val="20"/>
          <w:color w:val="auto"/>
        </w:rPr>
      </w:pPr>
      <w:r>
        <w:rPr>
          <w:rFonts w:ascii="Times New Roman" w:cs="Times New Roman" w:eastAsia="Times New Roman" w:hAnsi="Times New Roman"/>
          <w:sz w:val="13"/>
          <w:szCs w:val="13"/>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The provisions of this Section shall survive the termination of this Indenture or the resignation or removal of the Trustee.</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7.8 </w:t>
      </w:r>
      <w:r>
        <w:rPr>
          <w:rFonts w:ascii="Times New Roman" w:cs="Times New Roman" w:eastAsia="Times New Roman" w:hAnsi="Times New Roman"/>
          <w:sz w:val="13"/>
          <w:szCs w:val="13"/>
          <w:u w:val="single" w:color="auto"/>
          <w:color w:val="auto"/>
        </w:rPr>
        <w:t>Replacement of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39" w:firstLine="738"/>
        <w:spacing w:after="0" w:line="296" w:lineRule="auto"/>
        <w:rPr>
          <w:sz w:val="20"/>
          <w:szCs w:val="20"/>
          <w:color w:val="auto"/>
        </w:rPr>
      </w:pPr>
      <w:r>
        <w:rPr>
          <w:rFonts w:ascii="Times New Roman" w:cs="Times New Roman" w:eastAsia="Times New Roman" w:hAnsi="Times New Roman"/>
          <w:sz w:val="13"/>
          <w:szCs w:val="13"/>
          <w:color w:val="auto"/>
        </w:rPr>
        <w:t>A resignation or removal of the Trustee and appointment of a successor Trustee shall become effective only upon the successor Trustee’s acceptance of appointment as provided in this Section.</w:t>
      </w:r>
    </w:p>
    <w:p>
      <w:pPr>
        <w:spacing w:after="0" w:line="114" w:lineRule="exact"/>
        <w:rPr>
          <w:sz w:val="20"/>
          <w:szCs w:val="20"/>
          <w:color w:val="auto"/>
        </w:rPr>
      </w:pPr>
    </w:p>
    <w:p>
      <w:pPr>
        <w:ind w:left="400" w:right="499" w:firstLine="738"/>
        <w:spacing w:after="0" w:line="270" w:lineRule="auto"/>
        <w:rPr>
          <w:sz w:val="20"/>
          <w:szCs w:val="20"/>
          <w:color w:val="auto"/>
        </w:rPr>
      </w:pPr>
      <w:r>
        <w:rPr>
          <w:rFonts w:ascii="Times New Roman" w:cs="Times New Roman" w:eastAsia="Times New Roman" w:hAnsi="Times New Roman"/>
          <w:sz w:val="13"/>
          <w:szCs w:val="13"/>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131" w:lineRule="exact"/>
        <w:rPr>
          <w:sz w:val="20"/>
          <w:szCs w:val="20"/>
          <w:color w:val="auto"/>
        </w:rPr>
      </w:pPr>
    </w:p>
    <w:p>
      <w:pPr>
        <w:ind w:left="1660" w:hanging="191"/>
        <w:spacing w:after="0"/>
        <w:tabs>
          <w:tab w:leader="none" w:pos="166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fails to comply with Section 7.10;</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is adjudged a bankrupt or an insolvent or an order for relief is entered with respect to the Trustee under any</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Bankruptcy Law;</w:t>
      </w:r>
    </w:p>
    <w:p>
      <w:pPr>
        <w:spacing w:after="0" w:line="160" w:lineRule="exact"/>
        <w:rPr>
          <w:sz w:val="20"/>
          <w:szCs w:val="20"/>
          <w:color w:val="auto"/>
        </w:rPr>
      </w:pPr>
    </w:p>
    <w:p>
      <w:pPr>
        <w:ind w:left="1660" w:hanging="191"/>
        <w:spacing w:after="0"/>
        <w:tabs>
          <w:tab w:leader="none" w:pos="16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Custodian or public officer takes charge of the Trustee or its property; or</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becomes incapable of acting.</w:t>
      </w:r>
    </w:p>
    <w:p>
      <w:pPr>
        <w:spacing w:after="0" w:line="172" w:lineRule="exact"/>
        <w:rPr>
          <w:sz w:val="20"/>
          <w:szCs w:val="20"/>
          <w:color w:val="auto"/>
        </w:rPr>
      </w:pPr>
    </w:p>
    <w:p>
      <w:pPr>
        <w:ind w:left="400" w:right="639" w:firstLine="738"/>
        <w:spacing w:after="0" w:line="277" w:lineRule="auto"/>
        <w:rPr>
          <w:sz w:val="20"/>
          <w:szCs w:val="20"/>
          <w:color w:val="auto"/>
        </w:rPr>
      </w:pPr>
      <w:r>
        <w:rPr>
          <w:rFonts w:ascii="Times New Roman" w:cs="Times New Roman" w:eastAsia="Times New Roman" w:hAnsi="Times New Roman"/>
          <w:sz w:val="13"/>
          <w:szCs w:val="13"/>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26" w:lineRule="exact"/>
        <w:rPr>
          <w:sz w:val="20"/>
          <w:szCs w:val="20"/>
          <w:color w:val="auto"/>
        </w:rPr>
      </w:pPr>
    </w:p>
    <w:p>
      <w:pPr>
        <w:ind w:left="400" w:right="479" w:firstLine="738"/>
        <w:spacing w:after="0" w:line="277" w:lineRule="auto"/>
        <w:rPr>
          <w:sz w:val="20"/>
          <w:szCs w:val="20"/>
          <w:color w:val="auto"/>
        </w:rPr>
      </w:pPr>
      <w:r>
        <w:rPr>
          <w:rFonts w:ascii="Times New Roman" w:cs="Times New Roman" w:eastAsia="Times New Roman" w:hAnsi="Times New Roman"/>
          <w:sz w:val="13"/>
          <w:szCs w:val="13"/>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7" w:right="1440" w:bottom="1440" w:gutter="0" w:footer="0" w:header="0"/>
        </w:sectPr>
      </w:pPr>
    </w:p>
    <w:bookmarkStart w:id="66" w:name="page67"/>
    <w:bookmarkEnd w:id="66"/>
    <w:p>
      <w:pPr>
        <w:ind w:left="400" w:right="439" w:firstLine="738"/>
        <w:spacing w:after="0" w:line="26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7.9 </w:t>
      </w:r>
      <w:r>
        <w:rPr>
          <w:rFonts w:ascii="Times New Roman" w:cs="Times New Roman" w:eastAsia="Times New Roman" w:hAnsi="Times New Roman"/>
          <w:sz w:val="13"/>
          <w:szCs w:val="13"/>
          <w:u w:val="single" w:color="auto"/>
          <w:color w:val="auto"/>
        </w:rPr>
        <w:t>Successor Trustee by Merger, Etc</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679" w:firstLine="738"/>
        <w:spacing w:after="0" w:line="277" w:lineRule="auto"/>
        <w:rPr>
          <w:sz w:val="20"/>
          <w:szCs w:val="20"/>
          <w:color w:val="auto"/>
        </w:rPr>
      </w:pPr>
      <w:r>
        <w:rPr>
          <w:rFonts w:ascii="Times New Roman" w:cs="Times New Roman" w:eastAsia="Times New Roman" w:hAnsi="Times New Roman"/>
          <w:sz w:val="13"/>
          <w:szCs w:val="13"/>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7.10 </w:t>
      </w:r>
      <w:r>
        <w:rPr>
          <w:rFonts w:ascii="Times New Roman" w:cs="Times New Roman" w:eastAsia="Times New Roman" w:hAnsi="Times New Roman"/>
          <w:sz w:val="13"/>
          <w:szCs w:val="13"/>
          <w:u w:val="single" w:color="auto"/>
          <w:color w:val="auto"/>
        </w:rPr>
        <w:t>Eligibility; Disqualification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left="400" w:right="479" w:firstLine="738"/>
        <w:spacing w:after="0" w:line="277" w:lineRule="auto"/>
        <w:rPr>
          <w:sz w:val="20"/>
          <w:szCs w:val="20"/>
          <w:color w:val="auto"/>
        </w:rPr>
      </w:pPr>
      <w:r>
        <w:rPr>
          <w:rFonts w:ascii="Times New Roman" w:cs="Times New Roman" w:eastAsia="Times New Roman" w:hAnsi="Times New Roman"/>
          <w:sz w:val="13"/>
          <w:szCs w:val="13"/>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7.11 </w:t>
      </w:r>
      <w:r>
        <w:rPr>
          <w:rFonts w:ascii="Times New Roman" w:cs="Times New Roman" w:eastAsia="Times New Roman" w:hAnsi="Times New Roman"/>
          <w:sz w:val="13"/>
          <w:szCs w:val="13"/>
          <w:u w:val="single" w:color="auto"/>
          <w:color w:val="auto"/>
        </w:rPr>
        <w:t>Preferential Collection of Claims Against Company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699" w:firstLine="738"/>
        <w:spacing w:after="0" w:line="296" w:lineRule="auto"/>
        <w:rPr>
          <w:sz w:val="20"/>
          <w:szCs w:val="20"/>
          <w:color w:val="auto"/>
        </w:rPr>
      </w:pPr>
      <w:r>
        <w:rPr>
          <w:rFonts w:ascii="Times New Roman" w:cs="Times New Roman" w:eastAsia="Times New Roman" w:hAnsi="Times New Roman"/>
          <w:sz w:val="13"/>
          <w:szCs w:val="13"/>
          <w:color w:val="auto"/>
        </w:rPr>
        <w:t>The Trustee is subject to TIA § 311(a), excluding any creditor relationship listed in TIA § 311(b). A Trustee who has resigned or been removed shall be subject to TIA § 311(a) to the extent indicated.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SATISFACTION AND DISCHARGE; DEFEASANCE</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8.1 </w:t>
      </w:r>
      <w:r>
        <w:rPr>
          <w:rFonts w:ascii="Times New Roman" w:cs="Times New Roman" w:eastAsia="Times New Roman" w:hAnsi="Times New Roman"/>
          <w:sz w:val="13"/>
          <w:szCs w:val="13"/>
          <w:u w:val="single" w:color="auto"/>
          <w:color w:val="auto"/>
        </w:rPr>
        <w:t>Satisfaction and Discharge of Indenture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19" w:firstLine="738"/>
        <w:spacing w:after="0" w:line="277" w:lineRule="auto"/>
        <w:rPr>
          <w:sz w:val="20"/>
          <w:szCs w:val="20"/>
          <w:color w:val="auto"/>
        </w:rPr>
      </w:pPr>
      <w:r>
        <w:rPr>
          <w:rFonts w:ascii="Times New Roman" w:cs="Times New Roman" w:eastAsia="Times New Roman" w:hAnsi="Times New Roman"/>
          <w:sz w:val="13"/>
          <w:szCs w:val="13"/>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26" w:lineRule="exact"/>
        <w:rPr>
          <w:sz w:val="20"/>
          <w:szCs w:val="20"/>
          <w:color w:val="auto"/>
        </w:rPr>
      </w:pPr>
    </w:p>
    <w:p>
      <w:pPr>
        <w:ind w:left="1660" w:hanging="191"/>
        <w:spacing w:after="0"/>
        <w:tabs>
          <w:tab w:leader="none" w:pos="16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w:t>
      </w:r>
    </w:p>
    <w:p>
      <w:pPr>
        <w:spacing w:after="0" w:line="172" w:lineRule="exact"/>
        <w:rPr>
          <w:rFonts w:ascii="Times New Roman" w:cs="Times New Roman" w:eastAsia="Times New Roman" w:hAnsi="Times New Roman"/>
          <w:sz w:val="13"/>
          <w:szCs w:val="13"/>
          <w:color w:val="auto"/>
        </w:rPr>
      </w:pPr>
    </w:p>
    <w:p>
      <w:pPr>
        <w:ind w:left="400" w:right="419" w:firstLine="1479"/>
        <w:spacing w:after="0" w:line="296" w:lineRule="auto"/>
        <w:tabs>
          <w:tab w:leader="none" w:pos="2036"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13" w:lineRule="exact"/>
        <w:rPr>
          <w:rFonts w:ascii="Times New Roman" w:cs="Times New Roman" w:eastAsia="Times New Roman" w:hAnsi="Times New Roman"/>
          <w:sz w:val="13"/>
          <w:szCs w:val="13"/>
          <w:color w:val="auto"/>
        </w:rPr>
      </w:pPr>
    </w:p>
    <w:p>
      <w:pPr>
        <w:ind w:left="2080" w:hanging="201"/>
        <w:spacing w:after="0"/>
        <w:tabs>
          <w:tab w:leader="none" w:pos="2080"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such Securities of such Series not theretofore delivered to the Trustee for cancellation</w:t>
      </w:r>
    </w:p>
    <w:p>
      <w:pPr>
        <w:spacing w:after="0" w:line="172" w:lineRule="exact"/>
        <w:rPr>
          <w:rFonts w:ascii="Times New Roman" w:cs="Times New Roman" w:eastAsia="Times New Roman" w:hAnsi="Times New Roman"/>
          <w:sz w:val="13"/>
          <w:szCs w:val="13"/>
          <w:color w:val="auto"/>
        </w:rPr>
      </w:pPr>
    </w:p>
    <w:p>
      <w:pPr>
        <w:ind w:left="2400" w:hanging="192"/>
        <w:spacing w:after="0"/>
        <w:tabs>
          <w:tab w:leader="none" w:pos="2400"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become due and payable by reason of sending a notice of redemption or otherwise, or</w:t>
      </w:r>
    </w:p>
    <w:p>
      <w:pPr>
        <w:spacing w:after="0" w:line="172" w:lineRule="exact"/>
        <w:rPr>
          <w:rFonts w:ascii="Times New Roman" w:cs="Times New Roman" w:eastAsia="Times New Roman" w:hAnsi="Times New Roman"/>
          <w:sz w:val="13"/>
          <w:szCs w:val="13"/>
          <w:color w:val="auto"/>
        </w:rPr>
      </w:pPr>
    </w:p>
    <w:p>
      <w:pPr>
        <w:ind w:left="2400" w:hanging="192"/>
        <w:spacing w:after="0"/>
        <w:tabs>
          <w:tab w:leader="none" w:pos="2400"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become due and payable at their Stated Maturity within one year, or</w:t>
      </w:r>
    </w:p>
    <w:p>
      <w:pPr>
        <w:spacing w:after="0" w:line="172" w:lineRule="exact"/>
        <w:rPr>
          <w:rFonts w:ascii="Times New Roman" w:cs="Times New Roman" w:eastAsia="Times New Roman" w:hAnsi="Times New Roman"/>
          <w:sz w:val="13"/>
          <w:szCs w:val="13"/>
          <w:color w:val="auto"/>
        </w:rPr>
      </w:pPr>
    </w:p>
    <w:p>
      <w:pPr>
        <w:ind w:left="400" w:right="459" w:firstLine="1808"/>
        <w:spacing w:after="0" w:line="296" w:lineRule="auto"/>
        <w:tabs>
          <w:tab w:leader="none" w:pos="2394"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13" w:lineRule="exact"/>
        <w:rPr>
          <w:rFonts w:ascii="Times New Roman" w:cs="Times New Roman" w:eastAsia="Times New Roman" w:hAnsi="Times New Roman"/>
          <w:sz w:val="13"/>
          <w:szCs w:val="13"/>
          <w:color w:val="auto"/>
        </w:rPr>
      </w:pPr>
    </w:p>
    <w:p>
      <w:pPr>
        <w:ind w:left="2400" w:hanging="192"/>
        <w:spacing w:after="0"/>
        <w:tabs>
          <w:tab w:leader="none" w:pos="2400"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deemed paid and discharged pursuant to Section 8.3, as applicable;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318" w:right="1440" w:bottom="1440" w:gutter="0" w:footer="0" w:header="0"/>
        </w:sectPr>
      </w:pPr>
    </w:p>
    <w:bookmarkStart w:id="67" w:name="page68"/>
    <w:bookmarkEnd w:id="67"/>
    <w:p>
      <w:pPr>
        <w:jc w:val="both"/>
        <w:ind w:left="400" w:right="51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31" w:lineRule="exact"/>
        <w:rPr>
          <w:sz w:val="20"/>
          <w:szCs w:val="20"/>
          <w:color w:val="auto"/>
        </w:rPr>
      </w:pPr>
    </w:p>
    <w:p>
      <w:pPr>
        <w:ind w:left="1660" w:hanging="191"/>
        <w:spacing w:after="0"/>
        <w:tabs>
          <w:tab w:leader="none" w:pos="16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paid or caused to be paid all other sums payable hereunder by the Company; and</w:t>
      </w:r>
    </w:p>
    <w:p>
      <w:pPr>
        <w:spacing w:after="0" w:line="172" w:lineRule="exact"/>
        <w:rPr>
          <w:rFonts w:ascii="Times New Roman" w:cs="Times New Roman" w:eastAsia="Times New Roman" w:hAnsi="Times New Roman"/>
          <w:sz w:val="13"/>
          <w:szCs w:val="13"/>
          <w:color w:val="auto"/>
        </w:rPr>
      </w:pPr>
    </w:p>
    <w:p>
      <w:pPr>
        <w:ind w:left="400" w:right="919" w:firstLine="1069"/>
        <w:spacing w:after="0" w:line="296" w:lineRule="auto"/>
        <w:tabs>
          <w:tab w:leader="none" w:pos="164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14" w:lineRule="exact"/>
        <w:rPr>
          <w:sz w:val="20"/>
          <w:szCs w:val="20"/>
          <w:color w:val="auto"/>
        </w:rPr>
      </w:pPr>
    </w:p>
    <w:p>
      <w:pPr>
        <w:ind w:left="400" w:right="419" w:firstLine="738"/>
        <w:spacing w:after="0" w:line="296" w:lineRule="auto"/>
        <w:rPr>
          <w:sz w:val="20"/>
          <w:szCs w:val="20"/>
          <w:color w:val="auto"/>
        </w:rPr>
      </w:pPr>
      <w:r>
        <w:rPr>
          <w:rFonts w:ascii="Times New Roman" w:cs="Times New Roman" w:eastAsia="Times New Roman" w:hAnsi="Times New Roman"/>
          <w:sz w:val="13"/>
          <w:szCs w:val="13"/>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8.2 </w:t>
      </w:r>
      <w:r>
        <w:rPr>
          <w:rFonts w:ascii="Times New Roman" w:cs="Times New Roman" w:eastAsia="Times New Roman" w:hAnsi="Times New Roman"/>
          <w:sz w:val="13"/>
          <w:szCs w:val="13"/>
          <w:u w:val="single" w:color="auto"/>
          <w:color w:val="auto"/>
        </w:rPr>
        <w:t>Application of Trust Funds; Indemnification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1069"/>
        <w:spacing w:after="0" w:line="265" w:lineRule="auto"/>
        <w:tabs>
          <w:tab w:leader="none" w:pos="164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296" w:lineRule="exact"/>
        <w:rPr>
          <w:rFonts w:ascii="Times New Roman" w:cs="Times New Roman" w:eastAsia="Times New Roman" w:hAnsi="Times New Roman"/>
          <w:sz w:val="13"/>
          <w:szCs w:val="13"/>
          <w:color w:val="auto"/>
        </w:rPr>
      </w:pPr>
    </w:p>
    <w:p>
      <w:pPr>
        <w:ind w:left="400" w:right="479" w:firstLine="1069"/>
        <w:spacing w:after="0" w:line="277" w:lineRule="auto"/>
        <w:tabs>
          <w:tab w:leader="none" w:pos="1656"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25" w:lineRule="exact"/>
        <w:rPr>
          <w:rFonts w:ascii="Times New Roman" w:cs="Times New Roman" w:eastAsia="Times New Roman" w:hAnsi="Times New Roman"/>
          <w:sz w:val="13"/>
          <w:szCs w:val="13"/>
          <w:color w:val="auto"/>
        </w:rPr>
      </w:pPr>
    </w:p>
    <w:p>
      <w:pPr>
        <w:ind w:left="400" w:right="439" w:firstLine="1069"/>
        <w:spacing w:after="0" w:line="265" w:lineRule="auto"/>
        <w:tabs>
          <w:tab w:leader="none" w:pos="164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8.3 </w:t>
      </w:r>
      <w:r>
        <w:rPr>
          <w:rFonts w:ascii="Times New Roman" w:cs="Times New Roman" w:eastAsia="Times New Roman" w:hAnsi="Times New Roman"/>
          <w:sz w:val="13"/>
          <w:szCs w:val="13"/>
          <w:u w:val="single" w:color="auto"/>
          <w:color w:val="auto"/>
        </w:rPr>
        <w:t>Legal Defeasance of Securities of any Series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9" w:lineRule="auto"/>
        <w:rPr>
          <w:sz w:val="20"/>
          <w:szCs w:val="20"/>
          <w:color w:val="auto"/>
        </w:rPr>
      </w:pPr>
      <w:r>
        <w:rPr>
          <w:rFonts w:ascii="Times New Roman" w:cs="Times New Roman" w:eastAsia="Times New Roman" w:hAnsi="Times New Roman"/>
          <w:sz w:val="13"/>
          <w:szCs w:val="13"/>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214" w:lineRule="exact"/>
        <w:rPr>
          <w:sz w:val="20"/>
          <w:szCs w:val="20"/>
          <w:color w:val="auto"/>
        </w:rPr>
      </w:pPr>
    </w:p>
    <w:p>
      <w:pPr>
        <w:jc w:val="both"/>
        <w:ind w:left="400" w:right="439" w:firstLine="1069"/>
        <w:spacing w:after="0" w:line="270" w:lineRule="auto"/>
        <w:tabs>
          <w:tab w:leader="none" w:pos="164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7" w:right="1440" w:bottom="1440" w:gutter="0" w:footer="0" w:header="0"/>
        </w:sectPr>
      </w:pPr>
    </w:p>
    <w:bookmarkStart w:id="68" w:name="page69"/>
    <w:bookmarkEnd w:id="68"/>
    <w:p>
      <w:pPr>
        <w:ind w:left="1660" w:hanging="191"/>
        <w:spacing w:after="0"/>
        <w:tabs>
          <w:tab w:leader="none" w:pos="166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the provisions of Sections 2.4, 2.5, 2.7, 2.8, 7.7, 8.2, 8.3, 8.5 and 8.6; and</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powers, trusts and immunities of the Trustee hereunder and the Company’s obligations in connection therewith;</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provided that, the following conditions shall have been satisfied:</w:t>
      </w:r>
    </w:p>
    <w:p>
      <w:pPr>
        <w:spacing w:after="0" w:line="92" w:lineRule="exact"/>
        <w:rPr>
          <w:sz w:val="20"/>
          <w:szCs w:val="20"/>
          <w:color w:val="auto"/>
        </w:rPr>
      </w:pPr>
    </w:p>
    <w:p>
      <w:pPr>
        <w:ind w:left="400" w:right="439" w:firstLine="1069"/>
        <w:spacing w:after="0" w:line="262" w:lineRule="auto"/>
        <w:tabs>
          <w:tab w:leader="none" w:pos="165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39" w:lineRule="exact"/>
        <w:rPr>
          <w:rFonts w:ascii="Times New Roman" w:cs="Times New Roman" w:eastAsia="Times New Roman" w:hAnsi="Times New Roman"/>
          <w:sz w:val="13"/>
          <w:szCs w:val="13"/>
          <w:color w:val="auto"/>
        </w:rPr>
      </w:pPr>
    </w:p>
    <w:p>
      <w:pPr>
        <w:ind w:left="400" w:right="719" w:firstLine="1069"/>
        <w:spacing w:after="0" w:line="296" w:lineRule="auto"/>
        <w:tabs>
          <w:tab w:leader="none" w:pos="164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deposit will not result in a breach or violation of, or constitute a default under, this Indenture or any other agreement or instrument to which the Company is a party or by which it is bound;</w:t>
      </w:r>
    </w:p>
    <w:p>
      <w:pPr>
        <w:spacing w:after="0" w:line="113" w:lineRule="exact"/>
        <w:rPr>
          <w:rFonts w:ascii="Times New Roman" w:cs="Times New Roman" w:eastAsia="Times New Roman" w:hAnsi="Times New Roman"/>
          <w:sz w:val="13"/>
          <w:szCs w:val="13"/>
          <w:color w:val="auto"/>
        </w:rPr>
      </w:pPr>
    </w:p>
    <w:p>
      <w:pPr>
        <w:ind w:left="400" w:right="539" w:firstLine="1069"/>
        <w:spacing w:after="0" w:line="296" w:lineRule="auto"/>
        <w:tabs>
          <w:tab w:leader="none" w:pos="163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with respect to the Securities of such Series shall have occurred and be continuing on the date of such deposit or during the period ending on the 91st day after such date;</w:t>
      </w:r>
    </w:p>
    <w:p>
      <w:pPr>
        <w:spacing w:after="0" w:line="113" w:lineRule="exact"/>
        <w:rPr>
          <w:rFonts w:ascii="Times New Roman" w:cs="Times New Roman" w:eastAsia="Times New Roman" w:hAnsi="Times New Roman"/>
          <w:sz w:val="13"/>
          <w:szCs w:val="13"/>
          <w:color w:val="auto"/>
        </w:rPr>
      </w:pPr>
    </w:p>
    <w:p>
      <w:pPr>
        <w:ind w:left="400" w:right="459" w:firstLine="1069"/>
        <w:spacing w:after="0" w:line="265" w:lineRule="auto"/>
        <w:tabs>
          <w:tab w:leader="none" w:pos="165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35" w:lineRule="exact"/>
        <w:rPr>
          <w:rFonts w:ascii="Times New Roman" w:cs="Times New Roman" w:eastAsia="Times New Roman" w:hAnsi="Times New Roman"/>
          <w:sz w:val="13"/>
          <w:szCs w:val="13"/>
          <w:color w:val="auto"/>
        </w:rPr>
      </w:pPr>
    </w:p>
    <w:p>
      <w:pPr>
        <w:ind w:left="400" w:right="579" w:firstLine="1069"/>
        <w:spacing w:after="0" w:line="296" w:lineRule="auto"/>
        <w:tabs>
          <w:tab w:leader="none" w:pos="165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13" w:lineRule="exact"/>
        <w:rPr>
          <w:rFonts w:ascii="Times New Roman" w:cs="Times New Roman" w:eastAsia="Times New Roman" w:hAnsi="Times New Roman"/>
          <w:sz w:val="13"/>
          <w:szCs w:val="13"/>
          <w:color w:val="auto"/>
        </w:rPr>
      </w:pPr>
    </w:p>
    <w:p>
      <w:pPr>
        <w:ind w:left="400" w:right="939" w:firstLine="1069"/>
        <w:spacing w:after="0" w:line="296" w:lineRule="auto"/>
        <w:tabs>
          <w:tab w:leader="none" w:pos="162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8.4 </w:t>
      </w:r>
      <w:r>
        <w:rPr>
          <w:rFonts w:ascii="Times New Roman" w:cs="Times New Roman" w:eastAsia="Times New Roman" w:hAnsi="Times New Roman"/>
          <w:sz w:val="13"/>
          <w:szCs w:val="13"/>
          <w:u w:val="single" w:color="auto"/>
          <w:color w:val="auto"/>
        </w:rPr>
        <w:t>Covenant Defeasance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5" w:lineRule="auto"/>
        <w:rPr>
          <w:sz w:val="20"/>
          <w:szCs w:val="20"/>
          <w:color w:val="auto"/>
        </w:rPr>
      </w:pPr>
      <w:r>
        <w:rPr>
          <w:rFonts w:ascii="Times New Roman" w:cs="Times New Roman" w:eastAsia="Times New Roman" w:hAnsi="Times New Roman"/>
          <w:sz w:val="13"/>
          <w:szCs w:val="13"/>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7" w:right="1440" w:bottom="1440" w:gutter="0" w:footer="0" w:header="0"/>
        </w:sectPr>
      </w:pPr>
    </w:p>
    <w:bookmarkStart w:id="69" w:name="page70"/>
    <w:bookmarkEnd w:id="69"/>
    <w:p>
      <w:pPr>
        <w:ind w:left="400" w:right="539"/>
        <w:spacing w:after="0" w:line="29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Default hereunder, with respect to the Securities of such Series, but, except as specified above, the remainder of this Indenture and such Securities will be unaffected thereby; provided that the following conditions shall have been satisfied:</w:t>
      </w:r>
    </w:p>
    <w:p>
      <w:pPr>
        <w:spacing w:after="0" w:line="114" w:lineRule="exact"/>
        <w:rPr>
          <w:sz w:val="20"/>
          <w:szCs w:val="20"/>
          <w:color w:val="auto"/>
        </w:rPr>
      </w:pPr>
    </w:p>
    <w:p>
      <w:pPr>
        <w:ind w:left="400" w:right="459" w:firstLine="1069"/>
        <w:spacing w:after="0" w:line="262" w:lineRule="auto"/>
        <w:tabs>
          <w:tab w:leader="none" w:pos="164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300" w:lineRule="exact"/>
        <w:rPr>
          <w:rFonts w:ascii="Times New Roman" w:cs="Times New Roman" w:eastAsia="Times New Roman" w:hAnsi="Times New Roman"/>
          <w:sz w:val="13"/>
          <w:szCs w:val="13"/>
          <w:color w:val="auto"/>
        </w:rPr>
      </w:pPr>
    </w:p>
    <w:p>
      <w:pPr>
        <w:ind w:left="400" w:right="699" w:firstLine="1069"/>
        <w:spacing w:after="0" w:line="296" w:lineRule="auto"/>
        <w:tabs>
          <w:tab w:leader="none" w:pos="1656"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deposit will not result in a breach or violation of, or constitute a default under, this Indenture or any other agreement or instrument to which the Company is a party or by which it is bound;</w:t>
      </w:r>
    </w:p>
    <w:p>
      <w:pPr>
        <w:spacing w:after="0" w:line="113"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with respect to the Securities of such Series shall have occurred and be continuing on the date of</w:t>
      </w:r>
    </w:p>
    <w:p>
      <w:pPr>
        <w:spacing w:after="0" w:line="23" w:lineRule="exact"/>
        <w:rPr>
          <w:rFonts w:ascii="Times New Roman" w:cs="Times New Roman" w:eastAsia="Times New Roman" w:hAnsi="Times New Roman"/>
          <w:sz w:val="13"/>
          <w:szCs w:val="13"/>
          <w:color w:val="auto"/>
        </w:rPr>
      </w:pPr>
    </w:p>
    <w:p>
      <w:pPr>
        <w:ind w:left="4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deposit;</w:t>
      </w:r>
    </w:p>
    <w:p>
      <w:pPr>
        <w:spacing w:after="0" w:line="159" w:lineRule="exact"/>
        <w:rPr>
          <w:rFonts w:ascii="Times New Roman" w:cs="Times New Roman" w:eastAsia="Times New Roman" w:hAnsi="Times New Roman"/>
          <w:sz w:val="13"/>
          <w:szCs w:val="13"/>
          <w:color w:val="auto"/>
        </w:rPr>
      </w:pPr>
    </w:p>
    <w:p>
      <w:pPr>
        <w:ind w:left="400" w:right="439" w:firstLine="1069"/>
        <w:spacing w:after="0" w:line="265" w:lineRule="auto"/>
        <w:tabs>
          <w:tab w:leader="none" w:pos="1656"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135" w:lineRule="exact"/>
        <w:rPr>
          <w:rFonts w:ascii="Times New Roman" w:cs="Times New Roman" w:eastAsia="Times New Roman" w:hAnsi="Times New Roman"/>
          <w:sz w:val="13"/>
          <w:szCs w:val="13"/>
          <w:color w:val="auto"/>
        </w:rPr>
      </w:pPr>
    </w:p>
    <w:p>
      <w:pPr>
        <w:ind w:left="400" w:right="499" w:firstLine="1069"/>
        <w:spacing w:after="0" w:line="296" w:lineRule="auto"/>
        <w:tabs>
          <w:tab w:leader="none" w:pos="164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13" w:lineRule="exact"/>
        <w:rPr>
          <w:rFonts w:ascii="Times New Roman" w:cs="Times New Roman" w:eastAsia="Times New Roman" w:hAnsi="Times New Roman"/>
          <w:sz w:val="13"/>
          <w:szCs w:val="13"/>
          <w:color w:val="auto"/>
        </w:rPr>
      </w:pPr>
    </w:p>
    <w:p>
      <w:pPr>
        <w:ind w:left="400" w:right="899" w:firstLine="1069"/>
        <w:spacing w:after="0" w:line="296" w:lineRule="auto"/>
        <w:tabs>
          <w:tab w:leader="none" w:pos="163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8.5 </w:t>
      </w:r>
      <w:r>
        <w:rPr>
          <w:rFonts w:ascii="Times New Roman" w:cs="Times New Roman" w:eastAsia="Times New Roman" w:hAnsi="Times New Roman"/>
          <w:sz w:val="13"/>
          <w:szCs w:val="13"/>
          <w:u w:val="single" w:color="auto"/>
          <w:color w:val="auto"/>
        </w:rPr>
        <w:t>Repayment to Company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79" w:firstLine="738"/>
        <w:spacing w:after="0" w:line="270" w:lineRule="auto"/>
        <w:rPr>
          <w:sz w:val="20"/>
          <w:szCs w:val="20"/>
          <w:color w:val="auto"/>
        </w:rPr>
      </w:pPr>
      <w:r>
        <w:rPr>
          <w:rFonts w:ascii="Times New Roman" w:cs="Times New Roman" w:eastAsia="Times New Roman" w:hAnsi="Times New Roman"/>
          <w:sz w:val="13"/>
          <w:szCs w:val="13"/>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8.6 </w:t>
      </w:r>
      <w:r>
        <w:rPr>
          <w:rFonts w:ascii="Times New Roman" w:cs="Times New Roman" w:eastAsia="Times New Roman" w:hAnsi="Times New Roman"/>
          <w:sz w:val="13"/>
          <w:szCs w:val="13"/>
          <w:u w:val="single" w:color="auto"/>
          <w:color w:val="auto"/>
        </w:rPr>
        <w:t>Reinstatement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59" w:firstLine="738"/>
        <w:spacing w:after="0" w:line="267" w:lineRule="auto"/>
        <w:rPr>
          <w:sz w:val="20"/>
          <w:szCs w:val="20"/>
          <w:color w:val="auto"/>
        </w:rPr>
      </w:pPr>
      <w:r>
        <w:rPr>
          <w:rFonts w:ascii="Times New Roman" w:cs="Times New Roman" w:eastAsia="Times New Roman" w:hAnsi="Times New Roman"/>
          <w:sz w:val="13"/>
          <w:szCs w:val="13"/>
          <w:color w:val="auto"/>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7" w:right="1440" w:bottom="1440" w:gutter="0" w:footer="0" w:header="0"/>
        </w:sectPr>
      </w:pPr>
    </w:p>
    <w:bookmarkStart w:id="70" w:name="page71"/>
    <w:bookmarkEnd w:id="70"/>
    <w:p>
      <w:pPr>
        <w:jc w:val="both"/>
        <w:ind w:left="400" w:right="519"/>
        <w:spacing w:after="0" w:line="277" w:lineRule="auto"/>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AMENDMENTS AND WAIVERS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9.1 </w:t>
      </w:r>
      <w:r>
        <w:rPr>
          <w:rFonts w:ascii="Times New Roman" w:cs="Times New Roman" w:eastAsia="Times New Roman" w:hAnsi="Times New Roman"/>
          <w:sz w:val="13"/>
          <w:szCs w:val="13"/>
          <w:u w:val="single" w:color="auto"/>
          <w:color w:val="auto"/>
        </w:rPr>
        <w:t>Without Consent of Holders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The Company and the Trustee may amend or supplement this Indenture or the Securities of one or more Series without the consent of any</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Securityholder:</w:t>
      </w:r>
    </w:p>
    <w:p>
      <w:pPr>
        <w:spacing w:after="0" w:line="79" w:lineRule="exact"/>
        <w:rPr>
          <w:sz w:val="20"/>
          <w:szCs w:val="20"/>
          <w:color w:val="auto"/>
        </w:rPr>
      </w:pPr>
    </w:p>
    <w:p>
      <w:pPr>
        <w:ind w:left="1660" w:hanging="191"/>
        <w:spacing w:after="0"/>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cure any ambiguity, defect or inconsistency as evidenced by an Officer Certificate;</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Article V;</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uncertificated Securities in addition to or in place of certificated Securities;</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guarantees with respect to Securities of any Series or secure Securities of any Series;</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surrender any of the Company’s rights or powers under this Indenture;</w:t>
      </w:r>
    </w:p>
    <w:p>
      <w:pPr>
        <w:spacing w:after="0" w:line="172" w:lineRule="exact"/>
        <w:rPr>
          <w:rFonts w:ascii="Times New Roman" w:cs="Times New Roman" w:eastAsia="Times New Roman" w:hAnsi="Times New Roman"/>
          <w:sz w:val="13"/>
          <w:szCs w:val="13"/>
          <w:color w:val="auto"/>
        </w:rPr>
      </w:pPr>
    </w:p>
    <w:p>
      <w:pPr>
        <w:ind w:left="400" w:right="499" w:firstLine="1069"/>
        <w:spacing w:after="0" w:line="277" w:lineRule="auto"/>
        <w:tabs>
          <w:tab w:leader="none" w:pos="163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covenants or events of default for the benefit of the holders of Securities of any Series (and if such covenants or events of default are to be for the benefit of less than all Series of Securities, stating that such covenants or events of default, as applicable, are expressly being included solely for the benefit of such Series);</w:t>
      </w:r>
    </w:p>
    <w:p>
      <w:pPr>
        <w:spacing w:after="0" w:line="125"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the applicable procedures of the applicable depositary;</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any change that does not adversely affect the rights of any Securityholder;</w:t>
      </w:r>
    </w:p>
    <w:p>
      <w:pPr>
        <w:spacing w:after="0" w:line="172" w:lineRule="exact"/>
        <w:rPr>
          <w:rFonts w:ascii="Times New Roman" w:cs="Times New Roman" w:eastAsia="Times New Roman" w:hAnsi="Times New Roman"/>
          <w:sz w:val="13"/>
          <w:szCs w:val="13"/>
          <w:color w:val="auto"/>
        </w:rPr>
      </w:pPr>
    </w:p>
    <w:p>
      <w:pPr>
        <w:ind w:left="1620" w:hanging="151"/>
        <w:spacing w:after="0"/>
        <w:tabs>
          <w:tab w:leader="none" w:pos="16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issuance of and establish the form and terms and conditions of Securities of any Series as permitted by this</w:t>
      </w:r>
    </w:p>
    <w:p>
      <w:pPr>
        <w:spacing w:after="0" w:line="23" w:lineRule="exact"/>
        <w:rPr>
          <w:rFonts w:ascii="Times New Roman" w:cs="Times New Roman" w:eastAsia="Times New Roman" w:hAnsi="Times New Roman"/>
          <w:sz w:val="13"/>
          <w:szCs w:val="13"/>
          <w:color w:val="auto"/>
        </w:rPr>
      </w:pPr>
    </w:p>
    <w:p>
      <w:pPr>
        <w:ind w:left="4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Indenture;</w:t>
      </w:r>
    </w:p>
    <w:p>
      <w:pPr>
        <w:spacing w:after="0" w:line="159" w:lineRule="exact"/>
        <w:rPr>
          <w:rFonts w:ascii="Times New Roman" w:cs="Times New Roman" w:eastAsia="Times New Roman" w:hAnsi="Times New Roman"/>
          <w:sz w:val="13"/>
          <w:szCs w:val="13"/>
          <w:color w:val="auto"/>
        </w:rPr>
      </w:pPr>
    </w:p>
    <w:p>
      <w:pPr>
        <w:ind w:left="400" w:right="499" w:firstLine="1069"/>
        <w:spacing w:after="0" w:line="277" w:lineRule="auto"/>
        <w:tabs>
          <w:tab w:leader="none" w:pos="162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25"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requirements of the SEC in order to effect or maintain the qualification of this Indenture under the TIA;</w:t>
      </w:r>
    </w:p>
    <w:p>
      <w:pPr>
        <w:spacing w:after="0" w:line="172" w:lineRule="exact"/>
        <w:rPr>
          <w:rFonts w:ascii="Times New Roman" w:cs="Times New Roman" w:eastAsia="Times New Roman" w:hAnsi="Times New Roman"/>
          <w:sz w:val="13"/>
          <w:szCs w:val="13"/>
          <w:color w:val="auto"/>
        </w:rPr>
      </w:pPr>
    </w:p>
    <w:p>
      <w:pPr>
        <w:ind w:left="400" w:right="499" w:firstLine="1069"/>
        <w:spacing w:after="0" w:line="277" w:lineRule="auto"/>
        <w:tabs>
          <w:tab w:leader="none" w:pos="162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125" w:lineRule="exact"/>
        <w:rPr>
          <w:rFonts w:ascii="Times New Roman" w:cs="Times New Roman" w:eastAsia="Times New Roman" w:hAnsi="Times New Roman"/>
          <w:sz w:val="13"/>
          <w:szCs w:val="13"/>
          <w:color w:val="auto"/>
        </w:rPr>
      </w:pPr>
    </w:p>
    <w:p>
      <w:pPr>
        <w:ind w:left="400" w:right="879" w:firstLine="1069"/>
        <w:spacing w:after="0" w:line="296" w:lineRule="auto"/>
        <w:tabs>
          <w:tab w:leader="none" w:pos="1693"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9.2 </w:t>
      </w:r>
      <w:r>
        <w:rPr>
          <w:rFonts w:ascii="Times New Roman" w:cs="Times New Roman" w:eastAsia="Times New Roman" w:hAnsi="Times New Roman"/>
          <w:sz w:val="13"/>
          <w:szCs w:val="13"/>
          <w:u w:val="single" w:color="auto"/>
          <w:color w:val="auto"/>
        </w:rPr>
        <w:t>With Consent of Holders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679" w:firstLine="738"/>
        <w:spacing w:after="0" w:line="277" w:lineRule="auto"/>
        <w:rPr>
          <w:sz w:val="20"/>
          <w:szCs w:val="20"/>
          <w:color w:val="auto"/>
        </w:rPr>
      </w:pPr>
      <w:r>
        <w:rPr>
          <w:rFonts w:ascii="Times New Roman" w:cs="Times New Roman" w:eastAsia="Times New Roman" w:hAnsi="Times New Roman"/>
          <w:sz w:val="13"/>
          <w:szCs w:val="13"/>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7" w:right="1440" w:bottom="1440" w:gutter="0" w:footer="0" w:header="0"/>
        </w:sectPr>
      </w:pPr>
    </w:p>
    <w:bookmarkStart w:id="71" w:name="page72"/>
    <w:bookmarkEnd w:id="71"/>
    <w:p>
      <w:pPr>
        <w:ind w:left="400" w:right="4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33" w:lineRule="exact"/>
        <w:rPr>
          <w:sz w:val="20"/>
          <w:szCs w:val="20"/>
          <w:color w:val="auto"/>
        </w:rPr>
      </w:pPr>
    </w:p>
    <w:p>
      <w:pPr>
        <w:ind w:left="400" w:right="519" w:firstLine="738"/>
        <w:spacing w:after="0" w:line="267" w:lineRule="auto"/>
        <w:rPr>
          <w:sz w:val="20"/>
          <w:szCs w:val="20"/>
          <w:color w:val="auto"/>
        </w:rPr>
      </w:pPr>
      <w:r>
        <w:rPr>
          <w:rFonts w:ascii="Times New Roman" w:cs="Times New Roman" w:eastAsia="Times New Roman" w:hAnsi="Times New Roman"/>
          <w:sz w:val="13"/>
          <w:szCs w:val="13"/>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9.3 </w:t>
      </w:r>
      <w:r>
        <w:rPr>
          <w:rFonts w:ascii="Times New Roman" w:cs="Times New Roman" w:eastAsia="Times New Roman" w:hAnsi="Times New Roman"/>
          <w:sz w:val="13"/>
          <w:szCs w:val="13"/>
          <w:u w:val="single" w:color="auto"/>
          <w:color w:val="auto"/>
        </w:rPr>
        <w:t>Limitations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Without the consent of each Securityholder affected, an amendment or waiver may not:</w:t>
      </w:r>
    </w:p>
    <w:p>
      <w:pPr>
        <w:spacing w:after="0" w:line="92" w:lineRule="exact"/>
        <w:rPr>
          <w:sz w:val="20"/>
          <w:szCs w:val="20"/>
          <w:color w:val="auto"/>
        </w:rPr>
      </w:pPr>
    </w:p>
    <w:p>
      <w:pPr>
        <w:ind w:left="1660" w:hanging="191"/>
        <w:spacing w:after="0"/>
        <w:tabs>
          <w:tab w:leader="none" w:pos="16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amount of Securities whose Holders must consent to an amendment, supplement or waiver;</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rate of or extend the time for payment of interest (including default interest) on any Security;</w:t>
      </w:r>
    </w:p>
    <w:p>
      <w:pPr>
        <w:spacing w:after="0" w:line="172" w:lineRule="exact"/>
        <w:rPr>
          <w:rFonts w:ascii="Times New Roman" w:cs="Times New Roman" w:eastAsia="Times New Roman" w:hAnsi="Times New Roman"/>
          <w:sz w:val="13"/>
          <w:szCs w:val="13"/>
          <w:color w:val="auto"/>
        </w:rPr>
      </w:pPr>
    </w:p>
    <w:p>
      <w:pPr>
        <w:ind w:left="400" w:right="639" w:firstLine="1069"/>
        <w:spacing w:after="0" w:line="296" w:lineRule="auto"/>
        <w:tabs>
          <w:tab w:leader="none" w:pos="164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or change the Stated Maturity of any Security or reduce the amount of, or postpone the date fixed for, the payment of any sinking fund or analogous obligation;</w:t>
      </w:r>
    </w:p>
    <w:p>
      <w:pPr>
        <w:spacing w:after="0" w:line="113"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amount of Discount Securities payable upon acceleration of the maturity thereof;</w:t>
      </w:r>
    </w:p>
    <w:p>
      <w:pPr>
        <w:spacing w:after="0" w:line="172" w:lineRule="exact"/>
        <w:rPr>
          <w:rFonts w:ascii="Times New Roman" w:cs="Times New Roman" w:eastAsia="Times New Roman" w:hAnsi="Times New Roman"/>
          <w:sz w:val="13"/>
          <w:szCs w:val="13"/>
          <w:color w:val="auto"/>
        </w:rPr>
      </w:pPr>
    </w:p>
    <w:p>
      <w:pPr>
        <w:ind w:left="400" w:right="539" w:firstLine="1069"/>
        <w:spacing w:after="0" w:line="277" w:lineRule="auto"/>
        <w:tabs>
          <w:tab w:leader="none" w:pos="164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25" w:lineRule="exact"/>
        <w:rPr>
          <w:rFonts w:ascii="Times New Roman" w:cs="Times New Roman" w:eastAsia="Times New Roman" w:hAnsi="Times New Roman"/>
          <w:sz w:val="13"/>
          <w:szCs w:val="13"/>
          <w:color w:val="auto"/>
        </w:rPr>
      </w:pPr>
    </w:p>
    <w:p>
      <w:pPr>
        <w:ind w:left="1640" w:hanging="171"/>
        <w:spacing w:after="0"/>
        <w:tabs>
          <w:tab w:leader="none" w:pos="16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the principal of or interest, if any, on any Security payable in any currency other than that stated in the Security;</w:t>
      </w:r>
    </w:p>
    <w:p>
      <w:pPr>
        <w:spacing w:after="0" w:line="172"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Sections 6.8, 6.13 or 9.3 (this sentence); or</w:t>
      </w:r>
    </w:p>
    <w:p>
      <w:pPr>
        <w:spacing w:after="0" w:line="172" w:lineRule="exact"/>
        <w:rPr>
          <w:rFonts w:ascii="Times New Roman" w:cs="Times New Roman" w:eastAsia="Times New Roman" w:hAnsi="Times New Roman"/>
          <w:sz w:val="13"/>
          <w:szCs w:val="13"/>
          <w:color w:val="auto"/>
        </w:rPr>
      </w:pPr>
    </w:p>
    <w:p>
      <w:pPr>
        <w:ind w:left="740" w:right="759" w:firstLine="729"/>
        <w:spacing w:after="0" w:line="516" w:lineRule="auto"/>
        <w:tabs>
          <w:tab w:leader="none" w:pos="166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waive a redemption payment with respect to any Security, provided that such redemption is made at the Company’s option. Section 9.4 </w:t>
      </w:r>
      <w:r>
        <w:rPr>
          <w:rFonts w:ascii="Times New Roman" w:cs="Times New Roman" w:eastAsia="Times New Roman" w:hAnsi="Times New Roman"/>
          <w:sz w:val="13"/>
          <w:szCs w:val="13"/>
          <w:u w:val="single" w:color="auto"/>
          <w:color w:val="auto"/>
        </w:rPr>
        <w:t>Compliance with Trust Indenture Act</w:t>
      </w:r>
      <w:r>
        <w:rPr>
          <w:rFonts w:ascii="Times New Roman" w:cs="Times New Roman" w:eastAsia="Times New Roman" w:hAnsi="Times New Roman"/>
          <w:sz w:val="13"/>
          <w:szCs w:val="13"/>
          <w:color w:val="auto"/>
        </w:rPr>
        <w:t>.</w:t>
      </w:r>
    </w:p>
    <w:p>
      <w:pPr>
        <w:ind w:left="400" w:right="859" w:firstLine="738"/>
        <w:spacing w:after="0" w:line="296" w:lineRule="auto"/>
        <w:rPr>
          <w:sz w:val="20"/>
          <w:szCs w:val="20"/>
          <w:color w:val="auto"/>
        </w:rPr>
      </w:pPr>
      <w:r>
        <w:rPr>
          <w:rFonts w:ascii="Times New Roman" w:cs="Times New Roman" w:eastAsia="Times New Roman" w:hAnsi="Times New Roman"/>
          <w:sz w:val="13"/>
          <w:szCs w:val="13"/>
          <w:color w:val="auto"/>
        </w:rPr>
        <w:t>Every amendment to this Indenture or the Securities of one or more Series shall be set forth in a supplemental indenture hereto that complies with the TIA as then in effect.</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9.5 </w:t>
      </w:r>
      <w:r>
        <w:rPr>
          <w:rFonts w:ascii="Times New Roman" w:cs="Times New Roman" w:eastAsia="Times New Roman" w:hAnsi="Times New Roman"/>
          <w:sz w:val="13"/>
          <w:szCs w:val="13"/>
          <w:u w:val="single" w:color="auto"/>
          <w:color w:val="auto"/>
        </w:rPr>
        <w:t>Revocation and Effect of Consents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99" w:firstLine="738"/>
        <w:spacing w:after="0" w:line="267" w:lineRule="auto"/>
        <w:rPr>
          <w:sz w:val="20"/>
          <w:szCs w:val="20"/>
          <w:color w:val="auto"/>
        </w:rPr>
      </w:pPr>
      <w:r>
        <w:rPr>
          <w:rFonts w:ascii="Times New Roman" w:cs="Times New Roman" w:eastAsia="Times New Roman" w:hAnsi="Times New Roman"/>
          <w:sz w:val="13"/>
          <w:szCs w:val="13"/>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7" w:right="1440" w:bottom="1440" w:gutter="0" w:footer="0" w:header="0"/>
        </w:sectPr>
      </w:pPr>
    </w:p>
    <w:bookmarkStart w:id="72" w:name="page73"/>
    <w:bookmarkEnd w:id="72"/>
    <w:p>
      <w:pPr>
        <w:jc w:val="both"/>
        <w:ind w:left="400" w:right="419" w:firstLine="738"/>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26" w:lineRule="exact"/>
        <w:rPr>
          <w:sz w:val="20"/>
          <w:szCs w:val="20"/>
          <w:color w:val="auto"/>
        </w:rPr>
      </w:pPr>
    </w:p>
    <w:p>
      <w:pPr>
        <w:ind w:left="400" w:right="479" w:firstLine="738"/>
        <w:spacing w:after="0" w:line="267" w:lineRule="auto"/>
        <w:rPr>
          <w:sz w:val="20"/>
          <w:szCs w:val="20"/>
          <w:color w:val="auto"/>
        </w:rPr>
      </w:pPr>
      <w:r>
        <w:rPr>
          <w:rFonts w:ascii="Times New Roman" w:cs="Times New Roman" w:eastAsia="Times New Roman" w:hAnsi="Times New Roman"/>
          <w:sz w:val="13"/>
          <w:szCs w:val="13"/>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9.6 </w:t>
      </w:r>
      <w:r>
        <w:rPr>
          <w:rFonts w:ascii="Times New Roman" w:cs="Times New Roman" w:eastAsia="Times New Roman" w:hAnsi="Times New Roman"/>
          <w:sz w:val="13"/>
          <w:szCs w:val="13"/>
          <w:u w:val="single" w:color="auto"/>
          <w:color w:val="auto"/>
        </w:rPr>
        <w:t>Notation on or Exchange of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39" w:firstLine="738"/>
        <w:spacing w:after="0" w:line="277" w:lineRule="auto"/>
        <w:rPr>
          <w:sz w:val="20"/>
          <w:szCs w:val="20"/>
          <w:color w:val="auto"/>
        </w:rPr>
      </w:pPr>
      <w:r>
        <w:rPr>
          <w:rFonts w:ascii="Times New Roman" w:cs="Times New Roman" w:eastAsia="Times New Roman" w:hAnsi="Times New Roman"/>
          <w:sz w:val="13"/>
          <w:szCs w:val="13"/>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9.7 </w:t>
      </w:r>
      <w:r>
        <w:rPr>
          <w:rFonts w:ascii="Times New Roman" w:cs="Times New Roman" w:eastAsia="Times New Roman" w:hAnsi="Times New Roman"/>
          <w:sz w:val="13"/>
          <w:szCs w:val="13"/>
          <w:u w:val="single" w:color="auto"/>
          <w:color w:val="auto"/>
        </w:rPr>
        <w:t>Trustee Protected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65" w:lineRule="auto"/>
        <w:rPr>
          <w:sz w:val="20"/>
          <w:szCs w:val="20"/>
          <w:color w:val="auto"/>
        </w:rPr>
      </w:pPr>
      <w:r>
        <w:rPr>
          <w:rFonts w:ascii="Times New Roman" w:cs="Times New Roman" w:eastAsia="Times New Roman" w:hAnsi="Times New Roman"/>
          <w:sz w:val="13"/>
          <w:szCs w:val="13"/>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 </w:t>
      </w:r>
      <w:r>
        <w:rPr>
          <w:rFonts w:ascii="Times New Roman" w:cs="Times New Roman" w:eastAsia="Times New Roman" w:hAnsi="Times New Roman"/>
          <w:sz w:val="13"/>
          <w:szCs w:val="13"/>
          <w:u w:val="single" w:color="auto"/>
          <w:color w:val="auto"/>
        </w:rPr>
        <w:t>Trust Indenture Act Controls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99" w:firstLine="738"/>
        <w:spacing w:after="0" w:line="296" w:lineRule="auto"/>
        <w:rPr>
          <w:sz w:val="20"/>
          <w:szCs w:val="20"/>
          <w:color w:val="auto"/>
        </w:rPr>
      </w:pPr>
      <w:r>
        <w:rPr>
          <w:rFonts w:ascii="Times New Roman" w:cs="Times New Roman" w:eastAsia="Times New Roman" w:hAnsi="Times New Roman"/>
          <w:sz w:val="13"/>
          <w:szCs w:val="13"/>
          <w:color w:val="auto"/>
        </w:rPr>
        <w:t>If any provision of this Indenture limits, qualifies, or conflicts with another provision which is required or deemed to be included in this Indenture by the TIA, such required or deemed provision shall control.</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10.2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left="400" w:right="419" w:firstLine="738"/>
        <w:spacing w:after="0" w:line="277" w:lineRule="auto"/>
        <w:rPr>
          <w:sz w:val="20"/>
          <w:szCs w:val="20"/>
          <w:color w:val="auto"/>
        </w:rPr>
      </w:pPr>
      <w:r>
        <w:rPr>
          <w:rFonts w:ascii="Times New Roman" w:cs="Times New Roman" w:eastAsia="Times New Roman" w:hAnsi="Times New Roman"/>
          <w:sz w:val="13"/>
          <w:szCs w:val="13"/>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Lexeo Therapeutics, Inc.</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345 Park Avenue South, Floor 6</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New York, New York 10010</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Attention: Chief Financial Officer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7" w:right="1440" w:bottom="1440" w:gutter="0" w:footer="0" w:header="0"/>
        </w:sectPr>
      </w:pPr>
    </w:p>
    <w:bookmarkStart w:id="73" w:name="page74"/>
    <w:bookmarkEnd w:id="73"/>
    <w:p>
      <w:pPr>
        <w:ind w:left="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with a copy to:</w:t>
      </w:r>
    </w:p>
    <w:p>
      <w:pPr>
        <w:spacing w:after="0" w:line="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Wilson Sonsini Goodrich &amp; Rosati, Professional Corporation</w:t>
      </w:r>
    </w:p>
    <w:p>
      <w:pPr>
        <w:ind w:left="740"/>
        <w:spacing w:after="0" w:line="194" w:lineRule="auto"/>
        <w:rPr>
          <w:sz w:val="20"/>
          <w:szCs w:val="20"/>
          <w:color w:val="auto"/>
        </w:rPr>
      </w:pPr>
      <w:r>
        <w:rPr>
          <w:rFonts w:ascii="Times New Roman" w:cs="Times New Roman" w:eastAsia="Times New Roman" w:hAnsi="Times New Roman"/>
          <w:sz w:val="13"/>
          <w:szCs w:val="13"/>
          <w:color w:val="auto"/>
        </w:rPr>
        <w:t>31 West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3"/>
          <w:szCs w:val="13"/>
          <w:color w:val="auto"/>
        </w:rPr>
        <w:t xml:space="preserve"> Street</w:t>
      </w:r>
    </w:p>
    <w:p>
      <w:pPr>
        <w:ind w:left="740"/>
        <w:spacing w:after="0"/>
        <w:rPr>
          <w:sz w:val="20"/>
          <w:szCs w:val="20"/>
          <w:color w:val="auto"/>
        </w:rPr>
      </w:pPr>
      <w:r>
        <w:rPr>
          <w:rFonts w:ascii="Times New Roman" w:cs="Times New Roman" w:eastAsia="Times New Roman" w:hAnsi="Times New Roman"/>
          <w:sz w:val="13"/>
          <w:szCs w:val="13"/>
          <w:color w:val="auto"/>
        </w:rPr>
        <w:t>Floor 5</w:t>
      </w:r>
    </w:p>
    <w:p>
      <w:pPr>
        <w:spacing w:after="0" w:line="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New York, NY 10019-6118</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Attention: Megan J. Baier</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if to the Trustee:</w:t>
      </w:r>
    </w:p>
    <w:p>
      <w:pPr>
        <w:spacing w:after="0" w:line="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[__________]</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[__________]</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Attention: [__________]</w:t>
      </w:r>
    </w:p>
    <w:p>
      <w:pPr>
        <w:spacing w:after="0" w:line="160" w:lineRule="exact"/>
        <w:rPr>
          <w:sz w:val="20"/>
          <w:szCs w:val="20"/>
          <w:color w:val="auto"/>
        </w:rPr>
      </w:pPr>
    </w:p>
    <w:p>
      <w:pPr>
        <w:ind w:left="400" w:right="1239" w:firstLine="738"/>
        <w:spacing w:after="0" w:line="296" w:lineRule="auto"/>
        <w:rPr>
          <w:sz w:val="20"/>
          <w:szCs w:val="20"/>
          <w:color w:val="auto"/>
        </w:rPr>
      </w:pPr>
      <w:r>
        <w:rPr>
          <w:rFonts w:ascii="Times New Roman" w:cs="Times New Roman" w:eastAsia="Times New Roman" w:hAnsi="Times New Roman"/>
          <w:sz w:val="13"/>
          <w:szCs w:val="13"/>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14" w:lineRule="exact"/>
        <w:rPr>
          <w:sz w:val="20"/>
          <w:szCs w:val="20"/>
          <w:color w:val="auto"/>
        </w:rPr>
      </w:pPr>
    </w:p>
    <w:p>
      <w:pPr>
        <w:jc w:val="both"/>
        <w:ind w:left="400" w:right="419" w:firstLine="738"/>
        <w:spacing w:after="0" w:line="277" w:lineRule="auto"/>
        <w:rPr>
          <w:sz w:val="20"/>
          <w:szCs w:val="20"/>
          <w:color w:val="auto"/>
        </w:rPr>
      </w:pPr>
      <w:r>
        <w:rPr>
          <w:rFonts w:ascii="Times New Roman" w:cs="Times New Roman" w:eastAsia="Times New Roman" w:hAnsi="Times New Roman"/>
          <w:sz w:val="13"/>
          <w:szCs w:val="13"/>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26" w:lineRule="exact"/>
        <w:rPr>
          <w:sz w:val="20"/>
          <w:szCs w:val="20"/>
          <w:color w:val="auto"/>
        </w:rPr>
      </w:pPr>
    </w:p>
    <w:p>
      <w:pPr>
        <w:jc w:val="both"/>
        <w:ind w:left="400" w:right="439" w:firstLine="738"/>
        <w:spacing w:after="0" w:line="296" w:lineRule="auto"/>
        <w:rPr>
          <w:sz w:val="20"/>
          <w:szCs w:val="20"/>
          <w:color w:val="auto"/>
        </w:rPr>
      </w:pPr>
      <w:r>
        <w:rPr>
          <w:rFonts w:ascii="Times New Roman" w:cs="Times New Roman" w:eastAsia="Times New Roman" w:hAnsi="Times New Roman"/>
          <w:sz w:val="13"/>
          <w:szCs w:val="13"/>
          <w:color w:val="auto"/>
        </w:rPr>
        <w:t>If a notice or communication is sent or published in the manner provided above, within the time prescribed, it is duly given, whether or not the Securityholder receives it.</w:t>
      </w:r>
    </w:p>
    <w:p>
      <w:pPr>
        <w:spacing w:after="0" w:line="1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If the Company sends a notice or communication to Securityholders, it shall send a copy to the Trustee and each Agent at the same time.</w:t>
      </w:r>
    </w:p>
    <w:p>
      <w:pPr>
        <w:spacing w:after="0" w:line="172" w:lineRule="exact"/>
        <w:rPr>
          <w:sz w:val="20"/>
          <w:szCs w:val="20"/>
          <w:color w:val="auto"/>
        </w:rPr>
      </w:pPr>
    </w:p>
    <w:p>
      <w:pPr>
        <w:ind w:left="400" w:right="439" w:firstLine="738"/>
        <w:spacing w:after="0" w:line="277" w:lineRule="auto"/>
        <w:rPr>
          <w:sz w:val="20"/>
          <w:szCs w:val="20"/>
          <w:color w:val="auto"/>
        </w:rPr>
      </w:pPr>
      <w:r>
        <w:rPr>
          <w:rFonts w:ascii="Times New Roman" w:cs="Times New Roman" w:eastAsia="Times New Roman" w:hAnsi="Times New Roman"/>
          <w:sz w:val="13"/>
          <w:szCs w:val="13"/>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10.3 </w:t>
      </w:r>
      <w:r>
        <w:rPr>
          <w:rFonts w:ascii="Times New Roman" w:cs="Times New Roman" w:eastAsia="Times New Roman" w:hAnsi="Times New Roman"/>
          <w:sz w:val="13"/>
          <w:szCs w:val="13"/>
          <w:u w:val="single" w:color="auto"/>
          <w:color w:val="auto"/>
        </w:rPr>
        <w:t>Communication by Holders with Other Holders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left="400" w:right="659" w:firstLine="738"/>
        <w:spacing w:after="0" w:line="277" w:lineRule="auto"/>
        <w:rPr>
          <w:sz w:val="20"/>
          <w:szCs w:val="20"/>
          <w:color w:val="auto"/>
        </w:rPr>
      </w:pPr>
      <w:r>
        <w:rPr>
          <w:rFonts w:ascii="Times New Roman" w:cs="Times New Roman" w:eastAsia="Times New Roman" w:hAnsi="Times New Roman"/>
          <w:sz w:val="13"/>
          <w:szCs w:val="13"/>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10.4 </w:t>
      </w:r>
      <w:r>
        <w:rPr>
          <w:rFonts w:ascii="Times New Roman" w:cs="Times New Roman" w:eastAsia="Times New Roman" w:hAnsi="Times New Roman"/>
          <w:sz w:val="13"/>
          <w:szCs w:val="13"/>
          <w:u w:val="single" w:color="auto"/>
          <w:color w:val="auto"/>
        </w:rPr>
        <w:t>Certificate and Opinion as to Conditions Precedent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Upon any request or application by the Company to the Trustee to take any action under this Indenture, the Company shall furnish to the</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Trustee:</w:t>
      </w:r>
    </w:p>
    <w:p>
      <w:pPr>
        <w:spacing w:after="0" w:line="160" w:lineRule="exact"/>
        <w:rPr>
          <w:sz w:val="20"/>
          <w:szCs w:val="20"/>
          <w:color w:val="auto"/>
        </w:rPr>
      </w:pPr>
    </w:p>
    <w:p>
      <w:pPr>
        <w:ind w:left="400" w:right="579" w:firstLine="1069"/>
        <w:spacing w:after="0" w:line="296" w:lineRule="auto"/>
        <w:tabs>
          <w:tab w:leader="none" w:pos="164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Officer’s Certificate stating that, in the opinion of the signers, all conditions precedent, if any, provided for in this Indenture relating to the proposed action have been complied with; and</w:t>
      </w:r>
    </w:p>
    <w:p>
      <w:pPr>
        <w:spacing w:after="0" w:line="113" w:lineRule="exact"/>
        <w:rPr>
          <w:rFonts w:ascii="Times New Roman" w:cs="Times New Roman" w:eastAsia="Times New Roman" w:hAnsi="Times New Roman"/>
          <w:sz w:val="13"/>
          <w:szCs w:val="13"/>
          <w:color w:val="auto"/>
        </w:rPr>
      </w:pPr>
    </w:p>
    <w:p>
      <w:pPr>
        <w:ind w:left="740" w:right="799" w:firstLine="729"/>
        <w:spacing w:after="0" w:line="516" w:lineRule="auto"/>
        <w:tabs>
          <w:tab w:leader="none" w:pos="166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 Opinion of Counsel stating that, in the opinion of such counsel, all such conditions precedent have been complied with. Section 10.5 </w:t>
      </w:r>
      <w:r>
        <w:rPr>
          <w:rFonts w:ascii="Times New Roman" w:cs="Times New Roman" w:eastAsia="Times New Roman" w:hAnsi="Times New Roman"/>
          <w:sz w:val="13"/>
          <w:szCs w:val="13"/>
          <w:u w:val="single" w:color="auto"/>
          <w:color w:val="auto"/>
        </w:rPr>
        <w:t>Statements Required in Certificate or Opinion</w:t>
      </w:r>
      <w:r>
        <w:rPr>
          <w:rFonts w:ascii="Times New Roman" w:cs="Times New Roman" w:eastAsia="Times New Roman" w:hAnsi="Times New Roman"/>
          <w:sz w:val="13"/>
          <w:szCs w:val="13"/>
          <w:color w:val="auto"/>
        </w:rPr>
        <w:t>.</w:t>
      </w:r>
    </w:p>
    <w:p>
      <w:pPr>
        <w:ind w:left="400" w:right="519" w:firstLine="738"/>
        <w:spacing w:after="0" w:line="296" w:lineRule="auto"/>
        <w:rPr>
          <w:sz w:val="20"/>
          <w:szCs w:val="20"/>
          <w:color w:val="auto"/>
        </w:rPr>
      </w:pPr>
      <w:r>
        <w:rPr>
          <w:rFonts w:ascii="Times New Roman" w:cs="Times New Roman" w:eastAsia="Times New Roman" w:hAnsi="Times New Roman"/>
          <w:sz w:val="13"/>
          <w:szCs w:val="13"/>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33" w:lineRule="exact"/>
        <w:rPr>
          <w:sz w:val="20"/>
          <w:szCs w:val="20"/>
          <w:color w:val="auto"/>
        </w:rPr>
      </w:pPr>
    </w:p>
    <w:p>
      <w:pPr>
        <w:ind w:left="4400" w:right="2079" w:hanging="2931"/>
        <w:spacing w:after="0" w:line="474" w:lineRule="auto"/>
        <w:tabs>
          <w:tab w:leader="none" w:pos="1659"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the person making such certificate or opinion has read such covenant or condition; -32-</w:t>
      </w:r>
    </w:p>
    <w:p>
      <w:pPr>
        <w:sectPr>
          <w:pgSz w:w="11900" w:h="16838" w:orient="portrait"/>
          <w:cols w:equalWidth="0" w:num="1">
            <w:col w:w="9019"/>
          </w:cols>
          <w:pgMar w:left="1440" w:top="237" w:right="1440" w:bottom="1440" w:gutter="0" w:footer="0" w:header="0"/>
        </w:sectPr>
      </w:pPr>
    </w:p>
    <w:bookmarkStart w:id="74" w:name="page75"/>
    <w:bookmarkEnd w:id="74"/>
    <w:p>
      <w:pPr>
        <w:ind w:left="400" w:right="499" w:firstLine="1069"/>
        <w:spacing w:after="0" w:line="296" w:lineRule="auto"/>
        <w:tabs>
          <w:tab w:leader="none" w:pos="1656"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113" w:lineRule="exact"/>
        <w:rPr>
          <w:rFonts w:ascii="Times New Roman" w:cs="Times New Roman" w:eastAsia="Times New Roman" w:hAnsi="Times New Roman"/>
          <w:sz w:val="13"/>
          <w:szCs w:val="13"/>
          <w:color w:val="auto"/>
        </w:rPr>
      </w:pPr>
    </w:p>
    <w:p>
      <w:pPr>
        <w:ind w:left="400" w:right="599" w:firstLine="1069"/>
        <w:spacing w:after="0" w:line="296" w:lineRule="auto"/>
        <w:tabs>
          <w:tab w:leader="none" w:pos="164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13" w:lineRule="exact"/>
        <w:rPr>
          <w:rFonts w:ascii="Times New Roman" w:cs="Times New Roman" w:eastAsia="Times New Roman" w:hAnsi="Times New Roman"/>
          <w:sz w:val="13"/>
          <w:szCs w:val="13"/>
          <w:color w:val="auto"/>
        </w:rPr>
      </w:pPr>
    </w:p>
    <w:p>
      <w:pPr>
        <w:ind w:left="1660" w:hanging="191"/>
        <w:spacing w:after="0"/>
        <w:tabs>
          <w:tab w:leader="none" w:pos="16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as to whether or not, in the opinion of such person, such condition or covenant has been complied with.</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10.6 </w:t>
      </w:r>
      <w:r>
        <w:rPr>
          <w:rFonts w:ascii="Times New Roman" w:cs="Times New Roman" w:eastAsia="Times New Roman" w:hAnsi="Times New Roman"/>
          <w:sz w:val="13"/>
          <w:szCs w:val="13"/>
          <w:u w:val="single" w:color="auto"/>
          <w:color w:val="auto"/>
        </w:rPr>
        <w:t>Rules by Trustee and Agents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879" w:firstLine="738"/>
        <w:spacing w:after="0" w:line="296" w:lineRule="auto"/>
        <w:rPr>
          <w:sz w:val="20"/>
          <w:szCs w:val="20"/>
          <w:color w:val="auto"/>
        </w:rPr>
      </w:pPr>
      <w:r>
        <w:rPr>
          <w:rFonts w:ascii="Times New Roman" w:cs="Times New Roman" w:eastAsia="Times New Roman" w:hAnsi="Times New Roman"/>
          <w:sz w:val="13"/>
          <w:szCs w:val="13"/>
          <w:color w:val="auto"/>
        </w:rPr>
        <w:t>The Trustee may make reasonable rules for action by or a meeting of Securityholders of one or more Series. Any Agent may make reasonable rules and set reasonable requirements for its functions.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10.7 </w:t>
      </w:r>
      <w:r>
        <w:rPr>
          <w:rFonts w:ascii="Times New Roman" w:cs="Times New Roman" w:eastAsia="Times New Roman" w:hAnsi="Times New Roman"/>
          <w:sz w:val="13"/>
          <w:szCs w:val="13"/>
          <w:u w:val="single" w:color="auto"/>
          <w:color w:val="auto"/>
        </w:rPr>
        <w:t>Legal Holidays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00" w:right="719" w:firstLine="738"/>
        <w:spacing w:after="0" w:line="299"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i w:val="1"/>
          <w:iCs w:val="1"/>
          <w:color w:val="auto"/>
        </w:rPr>
        <w:t>Legal Holiday</w:t>
      </w:r>
      <w:r>
        <w:rPr>
          <w:rFonts w:ascii="Times New Roman" w:cs="Times New Roman" w:eastAsia="Times New Roman" w:hAnsi="Times New Roman"/>
          <w:sz w:val="13"/>
          <w:szCs w:val="13"/>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10.8 </w:t>
      </w:r>
      <w:r>
        <w:rPr>
          <w:rFonts w:ascii="Times New Roman" w:cs="Times New Roman" w:eastAsia="Times New Roman" w:hAnsi="Times New Roman"/>
          <w:sz w:val="13"/>
          <w:szCs w:val="13"/>
          <w:u w:val="single" w:color="auto"/>
          <w:color w:val="auto"/>
        </w:rPr>
        <w:t>No Recourse Against Others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99" w:firstLine="738"/>
        <w:spacing w:after="0" w:line="270" w:lineRule="auto"/>
        <w:rPr>
          <w:sz w:val="20"/>
          <w:szCs w:val="20"/>
          <w:color w:val="auto"/>
        </w:rPr>
      </w:pPr>
      <w:r>
        <w:rPr>
          <w:rFonts w:ascii="Times New Roman" w:cs="Times New Roman" w:eastAsia="Times New Roman" w:hAnsi="Times New Roman"/>
          <w:sz w:val="13"/>
          <w:szCs w:val="13"/>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10.9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39" w:firstLine="738"/>
        <w:spacing w:after="0" w:line="267" w:lineRule="auto"/>
        <w:rPr>
          <w:sz w:val="20"/>
          <w:szCs w:val="20"/>
          <w:color w:val="auto"/>
        </w:rPr>
      </w:pPr>
      <w:r>
        <w:rPr>
          <w:rFonts w:ascii="Times New Roman" w:cs="Times New Roman" w:eastAsia="Times New Roman" w:hAnsi="Times New Roman"/>
          <w:sz w:val="13"/>
          <w:szCs w:val="13"/>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10.10 </w:t>
      </w:r>
      <w:r>
        <w:rPr>
          <w:rFonts w:ascii="Times New Roman" w:cs="Times New Roman" w:eastAsia="Times New Roman" w:hAnsi="Times New Roman"/>
          <w:sz w:val="13"/>
          <w:szCs w:val="13"/>
          <w:u w:val="single" w:color="auto"/>
          <w:color w:val="auto"/>
        </w:rPr>
        <w:t>Governing Law; Waiver of Jury Trial; Consent to Jurisdiction</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left="400" w:right="619" w:firstLine="738"/>
        <w:spacing w:after="0" w:line="267" w:lineRule="auto"/>
        <w:rPr>
          <w:sz w:val="20"/>
          <w:szCs w:val="20"/>
          <w:color w:val="auto"/>
        </w:rPr>
      </w:pPr>
      <w:r>
        <w:rPr>
          <w:rFonts w:ascii="Times New Roman" w:cs="Times New Roman" w:eastAsia="Times New Roman" w:hAnsi="Times New Roman"/>
          <w:sz w:val="13"/>
          <w:szCs w:val="13"/>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32" w:lineRule="exact"/>
        <w:rPr>
          <w:sz w:val="20"/>
          <w:szCs w:val="20"/>
          <w:color w:val="auto"/>
        </w:rPr>
      </w:pPr>
    </w:p>
    <w:p>
      <w:pPr>
        <w:ind w:left="400" w:right="419" w:firstLine="738"/>
        <w:spacing w:after="0" w:line="263" w:lineRule="auto"/>
        <w:rPr>
          <w:sz w:val="20"/>
          <w:szCs w:val="20"/>
          <w:color w:val="auto"/>
        </w:rPr>
      </w:pPr>
      <w:r>
        <w:rPr>
          <w:rFonts w:ascii="Times New Roman" w:cs="Times New Roman" w:eastAsia="Times New Roman" w:hAnsi="Times New Roman"/>
          <w:sz w:val="13"/>
          <w:szCs w:val="13"/>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3"/>
          <w:szCs w:val="13"/>
          <w:i w:val="1"/>
          <w:iCs w:val="1"/>
          <w:color w:val="auto"/>
        </w:rPr>
        <w:t>Specified Courts</w:t>
      </w:r>
      <w:r>
        <w:rPr>
          <w:rFonts w:ascii="Times New Roman" w:cs="Times New Roman" w:eastAsia="Times New Roman" w:hAnsi="Times New Roman"/>
          <w:sz w:val="13"/>
          <w:szCs w:val="13"/>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7" w:right="1440" w:bottom="1440" w:gutter="0" w:footer="0" w:header="0"/>
        </w:sectPr>
      </w:pPr>
    </w:p>
    <w:bookmarkStart w:id="75" w:name="page76"/>
    <w:bookmarkEnd w:id="75"/>
    <w:p>
      <w:pPr>
        <w:ind w:left="7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Section 10.11 </w:t>
      </w:r>
      <w:r>
        <w:rPr>
          <w:rFonts w:ascii="Times New Roman" w:cs="Times New Roman" w:eastAsia="Times New Roman" w:hAnsi="Times New Roman"/>
          <w:sz w:val="13"/>
          <w:szCs w:val="13"/>
          <w:u w:val="single" w:color="auto"/>
          <w:color w:val="auto"/>
        </w:rPr>
        <w:t>No Adverse Interpretation of Other Agreements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This Indenture may not be used to interpret another indenture, loan or debt agreement of the Company or a Subsidiary of the Company.</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Any such indenture, loan or debt agreement may not be used to interpret this Indenture.</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10.12 </w:t>
      </w:r>
      <w:r>
        <w:rPr>
          <w:rFonts w:ascii="Times New Roman" w:cs="Times New Roman" w:eastAsia="Times New Roman" w:hAnsi="Times New Roman"/>
          <w:sz w:val="13"/>
          <w:szCs w:val="13"/>
          <w:u w:val="single" w:color="auto"/>
          <w:color w:val="auto"/>
        </w:rPr>
        <w:t>Successors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96" w:lineRule="auto"/>
        <w:rPr>
          <w:sz w:val="20"/>
          <w:szCs w:val="20"/>
          <w:color w:val="auto"/>
        </w:rPr>
      </w:pPr>
      <w:r>
        <w:rPr>
          <w:rFonts w:ascii="Times New Roman" w:cs="Times New Roman" w:eastAsia="Times New Roman" w:hAnsi="Times New Roman"/>
          <w:sz w:val="13"/>
          <w:szCs w:val="13"/>
          <w:color w:val="auto"/>
        </w:rPr>
        <w:t>All agreements of the Company in this Indenture and the Securities shall bind its successor. All agreements of the Trustee in this Indenture shall bind its successor.</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10.13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59" w:firstLine="738"/>
        <w:spacing w:after="0" w:line="296" w:lineRule="auto"/>
        <w:rPr>
          <w:sz w:val="20"/>
          <w:szCs w:val="20"/>
          <w:color w:val="auto"/>
        </w:rPr>
      </w:pPr>
      <w:r>
        <w:rPr>
          <w:rFonts w:ascii="Times New Roman" w:cs="Times New Roman" w:eastAsia="Times New Roman" w:hAnsi="Times New Roman"/>
          <w:sz w:val="13"/>
          <w:szCs w:val="13"/>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10.14 </w:t>
      </w:r>
      <w:r>
        <w:rPr>
          <w:rFonts w:ascii="Times New Roman" w:cs="Times New Roman" w:eastAsia="Times New Roman" w:hAnsi="Times New Roman"/>
          <w:sz w:val="13"/>
          <w:szCs w:val="13"/>
          <w:u w:val="single" w:color="auto"/>
          <w:color w:val="auto"/>
        </w:rPr>
        <w:t>Table of Contents, Headings, Etc</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819" w:firstLine="738"/>
        <w:spacing w:after="0" w:line="296" w:lineRule="auto"/>
        <w:rPr>
          <w:sz w:val="20"/>
          <w:szCs w:val="20"/>
          <w:color w:val="auto"/>
        </w:rPr>
      </w:pPr>
      <w:r>
        <w:rPr>
          <w:rFonts w:ascii="Times New Roman" w:cs="Times New Roman" w:eastAsia="Times New Roman" w:hAnsi="Times New Roman"/>
          <w:sz w:val="13"/>
          <w:szCs w:val="13"/>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10.15 </w:t>
      </w:r>
      <w:r>
        <w:rPr>
          <w:rFonts w:ascii="Times New Roman" w:cs="Times New Roman" w:eastAsia="Times New Roman" w:hAnsi="Times New Roman"/>
          <w:sz w:val="13"/>
          <w:szCs w:val="13"/>
          <w:u w:val="single" w:color="auto"/>
          <w:color w:val="auto"/>
        </w:rPr>
        <w:t>Securities in a Foreign Currency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19" w:firstLine="738"/>
        <w:spacing w:after="0" w:line="261" w:lineRule="auto"/>
        <w:rPr>
          <w:sz w:val="20"/>
          <w:szCs w:val="20"/>
          <w:color w:val="auto"/>
        </w:rPr>
      </w:pPr>
      <w:r>
        <w:rPr>
          <w:rFonts w:ascii="Times New Roman" w:cs="Times New Roman" w:eastAsia="Times New Roman" w:hAnsi="Times New Roman"/>
          <w:sz w:val="13"/>
          <w:szCs w:val="13"/>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302" w:lineRule="exact"/>
        <w:rPr>
          <w:sz w:val="20"/>
          <w:szCs w:val="20"/>
          <w:color w:val="auto"/>
        </w:rPr>
      </w:pPr>
    </w:p>
    <w:p>
      <w:pPr>
        <w:ind w:left="400" w:right="479" w:firstLine="738"/>
        <w:spacing w:after="0" w:line="296" w:lineRule="auto"/>
        <w:rPr>
          <w:sz w:val="20"/>
          <w:szCs w:val="20"/>
          <w:color w:val="auto"/>
        </w:rPr>
      </w:pPr>
      <w:r>
        <w:rPr>
          <w:rFonts w:ascii="Times New Roman" w:cs="Times New Roman" w:eastAsia="Times New Roman" w:hAnsi="Times New Roman"/>
          <w:sz w:val="13"/>
          <w:szCs w:val="13"/>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10.16 </w:t>
      </w:r>
      <w:r>
        <w:rPr>
          <w:rFonts w:ascii="Times New Roman" w:cs="Times New Roman" w:eastAsia="Times New Roman" w:hAnsi="Times New Roman"/>
          <w:sz w:val="13"/>
          <w:szCs w:val="13"/>
          <w:u w:val="single" w:color="auto"/>
          <w:color w:val="auto"/>
        </w:rPr>
        <w:t>Judgment Currency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79" w:firstLine="738"/>
        <w:spacing w:after="0" w:line="264" w:lineRule="auto"/>
        <w:rPr>
          <w:sz w:val="20"/>
          <w:szCs w:val="20"/>
          <w:color w:val="auto"/>
        </w:rPr>
      </w:pPr>
      <w:r>
        <w:rPr>
          <w:rFonts w:ascii="Times New Roman" w:cs="Times New Roman" w:eastAsia="Times New Roman" w:hAnsi="Times New Roman"/>
          <w:sz w:val="13"/>
          <w:szCs w:val="13"/>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3"/>
          <w:szCs w:val="13"/>
          <w:i w:val="1"/>
          <w:iCs w:val="1"/>
          <w:color w:val="auto"/>
        </w:rPr>
        <w:t>Required Currency</w:t>
      </w:r>
      <w:r>
        <w:rPr>
          <w:rFonts w:ascii="Times New Roman" w:cs="Times New Roman" w:eastAsia="Times New Roman" w:hAnsi="Times New Roman"/>
          <w:sz w:val="13"/>
          <w:szCs w:val="13"/>
          <w:color w:val="auto"/>
        </w:rPr>
        <w:t>”) into a currency in which a judgment will be rendered (the “</w:t>
      </w:r>
      <w:r>
        <w:rPr>
          <w:rFonts w:ascii="Times New Roman" w:cs="Times New Roman" w:eastAsia="Times New Roman" w:hAnsi="Times New Roman"/>
          <w:sz w:val="13"/>
          <w:szCs w:val="13"/>
          <w:i w:val="1"/>
          <w:iCs w:val="1"/>
          <w:color w:val="auto"/>
        </w:rPr>
        <w:t>Judgment Currency</w:t>
      </w:r>
      <w:r>
        <w:rPr>
          <w:rFonts w:ascii="Times New Roman" w:cs="Times New Roman" w:eastAsia="Times New Roman" w:hAnsi="Times New Roman"/>
          <w:sz w:val="13"/>
          <w:szCs w:val="13"/>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7" w:right="1440" w:bottom="1440" w:gutter="0" w:footer="0" w:header="0"/>
        </w:sectPr>
      </w:pPr>
    </w:p>
    <w:bookmarkStart w:id="76" w:name="page77"/>
    <w:bookmarkEnd w:id="76"/>
    <w:p>
      <w:pPr>
        <w:ind w:left="400" w:right="419"/>
        <w:spacing w:after="0" w:line="26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3"/>
          <w:szCs w:val="13"/>
          <w:i w:val="1"/>
          <w:iCs w:val="1"/>
          <w:color w:val="auto"/>
        </w:rPr>
        <w:t>New York Banking Day</w:t>
      </w:r>
      <w:r>
        <w:rPr>
          <w:rFonts w:ascii="Times New Roman" w:cs="Times New Roman" w:eastAsia="Times New Roman" w:hAnsi="Times New Roman"/>
          <w:sz w:val="13"/>
          <w:szCs w:val="13"/>
          <w:color w:val="auto"/>
        </w:rPr>
        <w:t>” means any day except a Saturday, Sunday or a Legal Holiday in The City of New York on which banking institutions are authorized or required by law, regulation or executive order to close.</w:t>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10.17 </w:t>
      </w:r>
      <w:r>
        <w:rPr>
          <w:rFonts w:ascii="Times New Roman" w:cs="Times New Roman" w:eastAsia="Times New Roman" w:hAnsi="Times New Roman"/>
          <w:sz w:val="13"/>
          <w:szCs w:val="13"/>
          <w:u w:val="single" w:color="auto"/>
          <w:color w:val="auto"/>
        </w:rPr>
        <w:t>Force Majeure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19" w:firstLine="738"/>
        <w:spacing w:after="0" w:line="267" w:lineRule="auto"/>
        <w:rPr>
          <w:sz w:val="20"/>
          <w:szCs w:val="20"/>
          <w:color w:val="auto"/>
        </w:rPr>
      </w:pPr>
      <w:r>
        <w:rPr>
          <w:rFonts w:ascii="Times New Roman" w:cs="Times New Roman" w:eastAsia="Times New Roman" w:hAnsi="Times New Roman"/>
          <w:sz w:val="13"/>
          <w:szCs w:val="13"/>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10.18 </w:t>
      </w:r>
      <w:r>
        <w:rPr>
          <w:rFonts w:ascii="Times New Roman" w:cs="Times New Roman" w:eastAsia="Times New Roman" w:hAnsi="Times New Roman"/>
          <w:sz w:val="13"/>
          <w:szCs w:val="13"/>
          <w:u w:val="single" w:color="auto"/>
          <w:color w:val="auto"/>
        </w:rPr>
        <w:t>U.S.A. Patriot Act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59" w:firstLine="738"/>
        <w:spacing w:after="0" w:line="270" w:lineRule="auto"/>
        <w:rPr>
          <w:sz w:val="20"/>
          <w:szCs w:val="20"/>
          <w:color w:val="auto"/>
        </w:rPr>
      </w:pPr>
      <w:r>
        <w:rPr>
          <w:rFonts w:ascii="Times New Roman" w:cs="Times New Roman" w:eastAsia="Times New Roman" w:hAnsi="Times New Roman"/>
          <w:sz w:val="13"/>
          <w:szCs w:val="13"/>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SINKING FUNDS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11.1 </w:t>
      </w:r>
      <w:r>
        <w:rPr>
          <w:rFonts w:ascii="Times New Roman" w:cs="Times New Roman" w:eastAsia="Times New Roman" w:hAnsi="Times New Roman"/>
          <w:sz w:val="13"/>
          <w:szCs w:val="13"/>
          <w:u w:val="single" w:color="auto"/>
          <w:color w:val="auto"/>
        </w:rPr>
        <w:t>Applicability of Article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79" w:firstLine="738"/>
        <w:spacing w:after="0" w:line="277" w:lineRule="auto"/>
        <w:rPr>
          <w:sz w:val="20"/>
          <w:szCs w:val="20"/>
          <w:color w:val="auto"/>
        </w:rPr>
      </w:pPr>
      <w:r>
        <w:rPr>
          <w:rFonts w:ascii="Times New Roman" w:cs="Times New Roman" w:eastAsia="Times New Roman" w:hAnsi="Times New Roman"/>
          <w:sz w:val="13"/>
          <w:szCs w:val="13"/>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26" w:lineRule="exact"/>
        <w:rPr>
          <w:sz w:val="20"/>
          <w:szCs w:val="20"/>
          <w:color w:val="auto"/>
        </w:rPr>
      </w:pPr>
    </w:p>
    <w:p>
      <w:pPr>
        <w:ind w:left="400" w:right="579" w:firstLine="738"/>
        <w:spacing w:after="0" w:line="267" w:lineRule="auto"/>
        <w:rPr>
          <w:sz w:val="20"/>
          <w:szCs w:val="20"/>
          <w:color w:val="auto"/>
        </w:rPr>
      </w:pPr>
      <w:r>
        <w:rPr>
          <w:rFonts w:ascii="Times New Roman" w:cs="Times New Roman" w:eastAsia="Times New Roman" w:hAnsi="Times New Roman"/>
          <w:sz w:val="13"/>
          <w:szCs w:val="13"/>
          <w:color w:val="auto"/>
        </w:rPr>
        <w:t>The minimum amount of any sinking fund payment provided for by the terms of the Securities of any Series is herein referred to as a “</w:t>
      </w:r>
      <w:r>
        <w:rPr>
          <w:rFonts w:ascii="Times New Roman" w:cs="Times New Roman" w:eastAsia="Times New Roman" w:hAnsi="Times New Roman"/>
          <w:sz w:val="13"/>
          <w:szCs w:val="13"/>
          <w:i w:val="1"/>
          <w:iCs w:val="1"/>
          <w:color w:val="auto"/>
        </w:rPr>
        <w:t>mandatory sinking fund payment</w:t>
      </w:r>
      <w:r>
        <w:rPr>
          <w:rFonts w:ascii="Times New Roman" w:cs="Times New Roman" w:eastAsia="Times New Roman" w:hAnsi="Times New Roman"/>
          <w:sz w:val="13"/>
          <w:szCs w:val="13"/>
          <w:color w:val="auto"/>
        </w:rPr>
        <w:t>” and any other amount provided for by the terms of Securities of such Series is herein referred to as an “</w:t>
      </w:r>
      <w:r>
        <w:rPr>
          <w:rFonts w:ascii="Times New Roman" w:cs="Times New Roman" w:eastAsia="Times New Roman" w:hAnsi="Times New Roman"/>
          <w:sz w:val="13"/>
          <w:szCs w:val="13"/>
          <w:i w:val="1"/>
          <w:iCs w:val="1"/>
          <w:color w:val="auto"/>
        </w:rPr>
        <w:t>optional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sinking fund payment</w:t>
      </w:r>
      <w:r>
        <w:rPr>
          <w:rFonts w:ascii="Times New Roman" w:cs="Times New Roman" w:eastAsia="Times New Roman" w:hAnsi="Times New Roman"/>
          <w:sz w:val="13"/>
          <w:szCs w:val="13"/>
          <w:color w:val="auto"/>
        </w:rPr>
        <w:t>.” If provided for by the terms of Securities of any Series, the cash amount of any sinking fund payment may be subject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reduction as provided in Section 11.2. Each sinking fund payment shall be applied to the redemption of Securities of any Series as provided for by the terms of the Securities of such Series.</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11.2 </w:t>
      </w:r>
      <w:r>
        <w:rPr>
          <w:rFonts w:ascii="Times New Roman" w:cs="Times New Roman" w:eastAsia="Times New Roman" w:hAnsi="Times New Roman"/>
          <w:sz w:val="13"/>
          <w:szCs w:val="13"/>
          <w:u w:val="single" w:color="auto"/>
          <w:color w:val="auto"/>
        </w:rPr>
        <w:t>Satisfaction of Sinking Fund Payments with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519" w:firstLine="738"/>
        <w:spacing w:after="0" w:line="264" w:lineRule="auto"/>
        <w:rPr>
          <w:sz w:val="20"/>
          <w:szCs w:val="20"/>
          <w:color w:val="auto"/>
        </w:rPr>
      </w:pPr>
      <w:r>
        <w:rPr>
          <w:rFonts w:ascii="Times New Roman" w:cs="Times New Roman" w:eastAsia="Times New Roman" w:hAnsi="Times New Roman"/>
          <w:sz w:val="13"/>
          <w:szCs w:val="13"/>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7" w:right="1440" w:bottom="1440" w:gutter="0" w:footer="0" w:header="0"/>
        </w:sectPr>
      </w:pPr>
    </w:p>
    <w:bookmarkStart w:id="77" w:name="page78"/>
    <w:bookmarkEnd w:id="77"/>
    <w:p>
      <w:pPr>
        <w:ind w:left="400" w:right="479"/>
        <w:spacing w:after="0" w:line="26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Section 11.3 </w:t>
      </w:r>
      <w:r>
        <w:rPr>
          <w:rFonts w:ascii="Times New Roman" w:cs="Times New Roman" w:eastAsia="Times New Roman" w:hAnsi="Times New Roman"/>
          <w:sz w:val="13"/>
          <w:szCs w:val="13"/>
          <w:u w:val="single" w:color="auto"/>
          <w:color w:val="auto"/>
        </w:rPr>
        <w:t>Redemption of Securities for Sinking Fund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400" w:right="439" w:firstLine="738"/>
        <w:spacing w:after="0" w:line="262" w:lineRule="auto"/>
        <w:rPr>
          <w:sz w:val="20"/>
          <w:szCs w:val="20"/>
          <w:color w:val="auto"/>
        </w:rPr>
      </w:pPr>
      <w:r>
        <w:rPr>
          <w:rFonts w:ascii="Times New Roman" w:cs="Times New Roman" w:eastAsia="Times New Roman" w:hAnsi="Times New Roman"/>
          <w:sz w:val="13"/>
          <w:szCs w:val="13"/>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7" w:right="1440" w:bottom="1440" w:gutter="0" w:footer="0" w:header="0"/>
        </w:sectPr>
      </w:pPr>
    </w:p>
    <w:bookmarkStart w:id="78" w:name="page79"/>
    <w:bookmarkEnd w:id="78"/>
    <w:p>
      <w:pPr>
        <w:ind w:left="11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IN WITNESS WHEREOF, the parties hereto have caused this Indenture to be duly executed as of the day and year first above written.</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LEXEO THERAPEUTICS, INC.</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15240</wp:posOffset>
            </wp:positionV>
            <wp:extent cx="190817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1908175" cy="6350"/>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Name:</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Title:</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[__________],</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as Trustee</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15240</wp:posOffset>
            </wp:positionV>
            <wp:extent cx="190817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1908175" cy="6350"/>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Name:</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37" w:right="1440" w:bottom="1440" w:gutter="0" w:footer="0" w:header="0"/>
        </w:sectPr>
      </w:pPr>
    </w:p>
    <w:bookmarkStart w:id="79" w:name="page80"/>
    <w:bookmarkEnd w:id="79"/>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19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3"/>
          <w:szCs w:val="13"/>
          <w:color w:val="auto"/>
        </w:rPr>
        <w:t>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-86360</wp:posOffset>
            </wp:positionV>
            <wp:extent cx="957580" cy="421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957580" cy="421005"/>
                    </a:xfrm>
                    <a:prstGeom prst="rect">
                      <a:avLst/>
                    </a:prstGeom>
                    <a:noFill/>
                  </pic:spPr>
                </pic:pic>
              </a:graphicData>
            </a:graphic>
          </wp:anchor>
        </w:drawing>
      </w:r>
    </w:p>
    <w:p>
      <w:pPr>
        <w:spacing w:after="0" w:line="4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3"/>
          <w:szCs w:val="13"/>
          <w:color w:val="auto"/>
        </w:rPr>
        <w:t>31 West 52nd Street</w:t>
      </w:r>
    </w:p>
    <w:p>
      <w:pPr>
        <w:spacing w:after="0" w:line="2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3"/>
          <w:szCs w:val="13"/>
          <w:color w:val="auto"/>
        </w:rPr>
        <w:t>5th Floor</w:t>
      </w:r>
    </w:p>
    <w:p>
      <w:pPr>
        <w:spacing w:after="0" w:line="1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3"/>
          <w:szCs w:val="13"/>
          <w:color w:val="auto"/>
        </w:rPr>
        <w:t>New York, NY 10019-6131</w:t>
      </w:r>
    </w:p>
    <w:p>
      <w:pPr>
        <w:spacing w:after="0" w:line="92" w:lineRule="exact"/>
        <w:rPr>
          <w:sz w:val="20"/>
          <w:szCs w:val="20"/>
          <w:color w:val="auto"/>
        </w:rPr>
      </w:pPr>
    </w:p>
    <w:p>
      <w:pPr>
        <w:ind w:left="2640" w:hanging="176"/>
        <w:spacing w:after="0"/>
        <w:tabs>
          <w:tab w:leader="none" w:pos="26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212.999.5800</w:t>
      </w:r>
    </w:p>
    <w:p>
      <w:pPr>
        <w:spacing w:after="0" w:line="91" w:lineRule="exact"/>
        <w:rPr>
          <w:rFonts w:ascii="Times New Roman" w:cs="Times New Roman" w:eastAsia="Times New Roman" w:hAnsi="Times New Roman"/>
          <w:sz w:val="13"/>
          <w:szCs w:val="13"/>
          <w:color w:val="auto"/>
        </w:rPr>
      </w:pPr>
    </w:p>
    <w:p>
      <w:pPr>
        <w:ind w:left="2600" w:hanging="136"/>
        <w:spacing w:after="0"/>
        <w:tabs>
          <w:tab w:leader="none" w:pos="26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212.999.5899</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October 29, 2026</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Lexeo Therapeutics,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345 Park Avenue South, Floor 6</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New York, New York 10010</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Re: Registration Statement on Form S-3</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92" w:lineRule="exact"/>
        <w:rPr>
          <w:sz w:val="20"/>
          <w:szCs w:val="20"/>
          <w:color w:val="auto"/>
        </w:rPr>
      </w:pPr>
    </w:p>
    <w:p>
      <w:pPr>
        <w:ind w:left="400" w:right="439" w:firstLine="328"/>
        <w:spacing w:after="0" w:line="277" w:lineRule="auto"/>
        <w:rPr>
          <w:sz w:val="20"/>
          <w:szCs w:val="20"/>
          <w:color w:val="auto"/>
        </w:rPr>
      </w:pPr>
      <w:r>
        <w:rPr>
          <w:rFonts w:ascii="Times New Roman" w:cs="Times New Roman" w:eastAsia="Times New Roman" w:hAnsi="Times New Roman"/>
          <w:sz w:val="13"/>
          <w:szCs w:val="13"/>
          <w:color w:val="auto"/>
        </w:rPr>
        <w:t>At your request, we have examined the Registration Statement on Form S-3 (the “Registration Statement”), filed by Lexeo Therapeutics, Inc., a Delaware corporation (the “Company”), with the Securities and Exchange Commission (the “Commission”) in connection with the registration pursuant to the Securities Act of 1933, as amended (the “Act”), of the Securities (as defined below).</w:t>
      </w:r>
    </w:p>
    <w:p>
      <w:pPr>
        <w:spacing w:after="0" w:line="126" w:lineRule="exact"/>
        <w:rPr>
          <w:sz w:val="20"/>
          <w:szCs w:val="20"/>
          <w:color w:val="auto"/>
        </w:rPr>
      </w:pPr>
    </w:p>
    <w:p>
      <w:pPr>
        <w:ind w:left="400" w:right="439" w:firstLine="328"/>
        <w:spacing w:after="0" w:line="262" w:lineRule="auto"/>
        <w:rPr>
          <w:sz w:val="20"/>
          <w:szCs w:val="20"/>
          <w:color w:val="auto"/>
        </w:rPr>
      </w:pPr>
      <w:r>
        <w:rPr>
          <w:rFonts w:ascii="Times New Roman" w:cs="Times New Roman" w:eastAsia="Times New Roman" w:hAnsi="Times New Roman"/>
          <w:sz w:val="13"/>
          <w:szCs w:val="13"/>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(a) shares of the Company’s common stock, $0.0001 par value per share (the “Common Stock”); (b) shares of the Company’s preferred stock, $0.0001 par value per share (the “Preferred Stock”); (c) the Company’s debt securities (the “Debt Securities”); (d) warrants to purchase Common Stock, Preferred Stock or Debt Securities (the “Warrants”); (e) subscription rights to purchase Common Stock, Preferred Stock, Debt Securities, Warrants or units consisting of some or all of these securities (the “Subscription Rights”); (f) purchase contracts of the Company with respect to the securities of the Company (the “Purchase Contracts”); and (g) units consisting of two or more securities described above in any combination (the “Units”) (the Common Stock, the Preferred Stock, the Debt Securities, the Warrants, the Subscription Rights, the Purchase Contracts and the Units are collectively referred to herein as the “Securities”).</w:t>
      </w:r>
    </w:p>
    <w:p>
      <w:pPr>
        <w:spacing w:after="0" w:line="300" w:lineRule="exact"/>
        <w:rPr>
          <w:sz w:val="20"/>
          <w:szCs w:val="20"/>
          <w:color w:val="auto"/>
        </w:rPr>
      </w:pPr>
    </w:p>
    <w:p>
      <w:pPr>
        <w:ind w:left="400" w:right="499" w:firstLine="328"/>
        <w:spacing w:after="0" w:line="264" w:lineRule="auto"/>
        <w:rPr>
          <w:sz w:val="20"/>
          <w:szCs w:val="20"/>
          <w:color w:val="auto"/>
        </w:rPr>
      </w:pPr>
      <w:r>
        <w:rPr>
          <w:rFonts w:ascii="Times New Roman" w:cs="Times New Roman" w:eastAsia="Times New Roman" w:hAnsi="Times New Roman"/>
          <w:sz w:val="13"/>
          <w:szCs w:val="13"/>
          <w:color w:val="auto"/>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spacing w:after="0" w:line="135" w:lineRule="exact"/>
        <w:rPr>
          <w:sz w:val="20"/>
          <w:szCs w:val="20"/>
          <w:color w:val="auto"/>
        </w:rPr>
      </w:pPr>
    </w:p>
    <w:p>
      <w:pPr>
        <w:ind w:left="400" w:right="439" w:firstLine="328"/>
        <w:spacing w:after="0" w:line="265" w:lineRule="auto"/>
        <w:rPr>
          <w:sz w:val="20"/>
          <w:szCs w:val="20"/>
          <w:color w:val="auto"/>
        </w:rPr>
      </w:pPr>
      <w:r>
        <w:rPr>
          <w:rFonts w:ascii="Times New Roman" w:cs="Times New Roman" w:eastAsia="Times New Roman" w:hAnsi="Times New Roman"/>
          <w:sz w:val="13"/>
          <w:szCs w:val="13"/>
          <w:color w:val="auto"/>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w:t>
      </w:r>
    </w:p>
    <w:p>
      <w:pPr>
        <w:spacing w:after="0" w:line="85" w:lineRule="exact"/>
        <w:rPr>
          <w:sz w:val="20"/>
          <w:szCs w:val="20"/>
          <w:color w:val="auto"/>
        </w:rPr>
      </w:pPr>
    </w:p>
    <w:p>
      <w:pPr>
        <w:jc w:val="center"/>
        <w:ind w:left="400" w:right="419"/>
        <w:spacing w:after="0" w:line="296" w:lineRule="auto"/>
        <w:rPr>
          <w:sz w:val="20"/>
          <w:szCs w:val="20"/>
          <w:color w:val="auto"/>
        </w:rPr>
      </w:pPr>
      <w:r>
        <w:rPr>
          <w:rFonts w:ascii="Times New Roman" w:cs="Times New Roman" w:eastAsia="Times New Roman" w:hAnsi="Times New Roman"/>
          <w:sz w:val="13"/>
          <w:szCs w:val="13"/>
          <w:color w:val="auto"/>
        </w:rPr>
        <w:t>AUSTIN  BEIJING   BOSTON  BOULDER  BRUSSELS  HONG KONG  LONDON   LOS ANGELES   NEW YORK   PALO ALTO SALT LAKE CITY   SAN DIEGO   SAN FRANCISCO   SEATTLE   SHANGHAI   WASHINGTON, DC   WILMINGTON, DE</w:t>
      </w:r>
    </w:p>
    <w:p>
      <w:pPr>
        <w:sectPr>
          <w:pgSz w:w="11900" w:h="16838" w:orient="portrait"/>
          <w:cols w:equalWidth="0" w:num="1">
            <w:col w:w="9019"/>
          </w:cols>
          <w:pgMar w:left="1440" w:top="123" w:right="1440" w:bottom="1440" w:gutter="0" w:footer="0" w:header="0"/>
        </w:sectPr>
      </w:pPr>
    </w:p>
    <w:bookmarkStart w:id="80" w:name="page81"/>
    <w:bookmarkEnd w:id="80"/>
    <w:p>
      <w:pPr>
        <w:ind w:left="400" w:right="459"/>
        <w:spacing w:after="0" w:line="26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1173480</wp:posOffset>
            </wp:positionH>
            <wp:positionV relativeFrom="page">
              <wp:posOffset>159385</wp:posOffset>
            </wp:positionV>
            <wp:extent cx="516890" cy="2425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516890" cy="242570"/>
                    </a:xfrm>
                    <a:prstGeom prst="rect">
                      <a:avLst/>
                    </a:prstGeom>
                    <a:noFill/>
                  </pic:spPr>
                </pic:pic>
              </a:graphicData>
            </a:graphic>
          </wp:anchor>
        </w:drawing>
        <w:t>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w:t>
      </w:r>
    </w:p>
    <w:p>
      <w:pPr>
        <w:spacing w:after="0" w:line="2" w:lineRule="exact"/>
        <w:rPr>
          <w:sz w:val="20"/>
          <w:szCs w:val="20"/>
          <w:color w:val="auto"/>
        </w:rPr>
      </w:pPr>
    </w:p>
    <w:p>
      <w:pPr>
        <w:ind w:left="400" w:right="519" w:firstLine="3"/>
        <w:spacing w:after="0" w:line="261" w:lineRule="auto"/>
        <w:tabs>
          <w:tab w:leader="none" w:pos="59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Based on such examination, we are of the opinion that:</w:t>
      </w:r>
    </w:p>
    <w:p>
      <w:pPr>
        <w:spacing w:after="0" w:line="92" w:lineRule="exact"/>
        <w:rPr>
          <w:sz w:val="20"/>
          <w:szCs w:val="20"/>
          <w:color w:val="auto"/>
        </w:rPr>
      </w:pPr>
    </w:p>
    <w:p>
      <w:pPr>
        <w:ind w:left="400" w:right="419" w:firstLine="331"/>
        <w:spacing w:after="0" w:line="263" w:lineRule="auto"/>
        <w:tabs>
          <w:tab w:leader="none" w:pos="862"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shares of Common Stock,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w:t>
      </w:r>
    </w:p>
    <w:p>
      <w:pPr>
        <w:ind w:left="400" w:right="439" w:firstLine="3"/>
        <w:spacing w:after="0" w:line="267" w:lineRule="auto"/>
        <w:tabs>
          <w:tab w:leader="none" w:pos="597"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31" w:lineRule="exact"/>
        <w:rPr>
          <w:rFonts w:ascii="Times New Roman" w:cs="Times New Roman" w:eastAsia="Times New Roman" w:hAnsi="Times New Roman"/>
          <w:sz w:val="13"/>
          <w:szCs w:val="13"/>
          <w:color w:val="auto"/>
        </w:rPr>
      </w:pPr>
    </w:p>
    <w:p>
      <w:pPr>
        <w:ind w:left="400" w:right="599" w:firstLine="331"/>
        <w:spacing w:after="0" w:line="263" w:lineRule="auto"/>
        <w:tabs>
          <w:tab w:leader="none" w:pos="862"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ind w:left="400" w:right="499" w:firstLine="3"/>
        <w:spacing w:after="0" w:line="258" w:lineRule="auto"/>
        <w:tabs>
          <w:tab w:leader="none" w:pos="56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ind w:left="400" w:right="439" w:firstLine="3"/>
        <w:spacing w:after="0" w:line="267" w:lineRule="auto"/>
        <w:tabs>
          <w:tab w:leader="none" w:pos="597"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131" w:lineRule="exact"/>
        <w:rPr>
          <w:rFonts w:ascii="Times New Roman" w:cs="Times New Roman" w:eastAsia="Times New Roman" w:hAnsi="Times New Roman"/>
          <w:sz w:val="13"/>
          <w:szCs w:val="13"/>
          <w:color w:val="auto"/>
        </w:rPr>
      </w:pPr>
    </w:p>
    <w:p>
      <w:pPr>
        <w:ind w:left="400" w:right="439" w:firstLine="331"/>
        <w:spacing w:after="0" w:line="263" w:lineRule="auto"/>
        <w:tabs>
          <w:tab w:leader="none" w:pos="862"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297" w:lineRule="exact"/>
        <w:rPr>
          <w:rFonts w:ascii="Times New Roman" w:cs="Times New Roman" w:eastAsia="Times New Roman" w:hAnsi="Times New Roman"/>
          <w:sz w:val="13"/>
          <w:szCs w:val="13"/>
          <w:color w:val="auto"/>
        </w:rPr>
      </w:pPr>
    </w:p>
    <w:p>
      <w:pPr>
        <w:ind w:left="400" w:right="419" w:firstLine="331"/>
        <w:spacing w:after="0" w:line="267" w:lineRule="auto"/>
        <w:tabs>
          <w:tab w:leader="none" w:pos="862"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ectPr>
          <w:pgSz w:w="11900" w:h="16838" w:orient="portrait"/>
          <w:cols w:equalWidth="0" w:num="1">
            <w:col w:w="9019"/>
          </w:cols>
          <w:pgMar w:left="1440" w:top="730" w:right="1440" w:bottom="1440" w:gutter="0" w:footer="0" w:header="0"/>
        </w:sectPr>
      </w:pPr>
    </w:p>
    <w:bookmarkStart w:id="81" w:name="page82"/>
    <w:bookmarkEnd w:id="81"/>
    <w:p>
      <w:pPr>
        <w:ind w:left="400" w:right="459" w:firstLine="331"/>
        <w:spacing w:after="0" w:line="267" w:lineRule="auto"/>
        <w:tabs>
          <w:tab w:leader="none" w:pos="862"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1173480</wp:posOffset>
            </wp:positionH>
            <wp:positionV relativeFrom="page">
              <wp:posOffset>159385</wp:posOffset>
            </wp:positionV>
            <wp:extent cx="516890" cy="2425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516890" cy="242570"/>
                    </a:xfrm>
                    <a:prstGeom prst="rect">
                      <a:avLst/>
                    </a:prstGeom>
                    <a:noFill/>
                  </pic:spPr>
                </pic:pic>
              </a:graphicData>
            </a:graphic>
          </wp:anchor>
        </w:drawing>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133" w:lineRule="exact"/>
        <w:rPr>
          <w:rFonts w:ascii="Times New Roman" w:cs="Times New Roman" w:eastAsia="Times New Roman" w:hAnsi="Times New Roman"/>
          <w:sz w:val="13"/>
          <w:szCs w:val="13"/>
          <w:color w:val="auto"/>
        </w:rPr>
      </w:pPr>
    </w:p>
    <w:p>
      <w:pPr>
        <w:ind w:left="400" w:right="499" w:firstLine="331"/>
        <w:spacing w:after="0" w:line="270" w:lineRule="auto"/>
        <w:tabs>
          <w:tab w:leader="none" w:pos="862"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131" w:lineRule="exact"/>
        <w:rPr>
          <w:rFonts w:ascii="Times New Roman" w:cs="Times New Roman" w:eastAsia="Times New Roman" w:hAnsi="Times New Roman"/>
          <w:sz w:val="13"/>
          <w:szCs w:val="13"/>
          <w:color w:val="auto"/>
        </w:rPr>
      </w:pPr>
    </w:p>
    <w:p>
      <w:pPr>
        <w:ind w:left="400" w:right="439" w:firstLine="331"/>
        <w:spacing w:after="0" w:line="265" w:lineRule="auto"/>
        <w:tabs>
          <w:tab w:leader="none" w:pos="862"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Our opinion that any document is legal, valid and binding is qualified as to:</w:t>
      </w:r>
    </w:p>
    <w:p>
      <w:pPr>
        <w:spacing w:after="0" w:line="92" w:lineRule="exact"/>
        <w:rPr>
          <w:sz w:val="20"/>
          <w:szCs w:val="20"/>
          <w:color w:val="auto"/>
        </w:rPr>
      </w:pPr>
    </w:p>
    <w:p>
      <w:pPr>
        <w:ind w:left="400" w:right="739" w:firstLine="741"/>
        <w:spacing w:after="0" w:line="296" w:lineRule="auto"/>
        <w:tabs>
          <w:tab w:leader="none" w:pos="13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limitations imposed by bankruptcy, insolvency, reorganization, arrangement, fraudulent transfer, moratorium or other similar laws relating to or affecting the rights of creditors generally;</w:t>
      </w:r>
    </w:p>
    <w:p>
      <w:pPr>
        <w:spacing w:after="0" w:line="113" w:lineRule="exact"/>
        <w:rPr>
          <w:rFonts w:ascii="Times New Roman" w:cs="Times New Roman" w:eastAsia="Times New Roman" w:hAnsi="Times New Roman"/>
          <w:sz w:val="13"/>
          <w:szCs w:val="13"/>
          <w:color w:val="auto"/>
        </w:rPr>
      </w:pPr>
    </w:p>
    <w:p>
      <w:pPr>
        <w:ind w:left="1340" w:hanging="199"/>
        <w:spacing w:after="0"/>
        <w:tabs>
          <w:tab w:leader="none" w:pos="13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rights to indemnification and contribution, which may be limited by applicable law or equitable principles; and</w:t>
      </w:r>
    </w:p>
    <w:p>
      <w:pPr>
        <w:spacing w:after="0" w:line="172" w:lineRule="exact"/>
        <w:rPr>
          <w:rFonts w:ascii="Times New Roman" w:cs="Times New Roman" w:eastAsia="Times New Roman" w:hAnsi="Times New Roman"/>
          <w:sz w:val="13"/>
          <w:szCs w:val="13"/>
          <w:color w:val="auto"/>
        </w:rPr>
      </w:pPr>
    </w:p>
    <w:p>
      <w:pPr>
        <w:ind w:left="400" w:right="799" w:firstLine="741"/>
        <w:spacing w:after="0" w:line="296" w:lineRule="auto"/>
        <w:tabs>
          <w:tab w:leader="none" w:pos="13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14" w:lineRule="exact"/>
        <w:rPr>
          <w:sz w:val="20"/>
          <w:szCs w:val="20"/>
          <w:color w:val="auto"/>
        </w:rPr>
      </w:pPr>
    </w:p>
    <w:p>
      <w:pPr>
        <w:ind w:left="400" w:right="459" w:firstLine="328"/>
        <w:spacing w:after="0" w:line="296" w:lineRule="auto"/>
        <w:rPr>
          <w:sz w:val="20"/>
          <w:szCs w:val="20"/>
          <w:color w:val="auto"/>
        </w:rPr>
      </w:pPr>
      <w:r>
        <w:rPr>
          <w:rFonts w:ascii="Times New Roman" w:cs="Times New Roman" w:eastAsia="Times New Roman" w:hAnsi="Times New Roman"/>
          <w:sz w:val="13"/>
          <w:szCs w:val="13"/>
          <w:color w:val="auto"/>
        </w:rPr>
        <w:t>We express no opinion as to the laws of any other jurisdiction, other than the federal laws of the United States of America, the laws of the State of New York as to the enforceability of the Debt Securities, the Warrants, the Subscription Rights, the Purchase Contracts and the Units, and the DGCL.</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 *</w:t>
      </w:r>
    </w:p>
    <w:p>
      <w:pPr>
        <w:sectPr>
          <w:pgSz w:w="11900" w:h="16838" w:orient="portrait"/>
          <w:cols w:equalWidth="0" w:num="1">
            <w:col w:w="9019"/>
          </w:cols>
          <w:pgMar w:left="1440" w:top="730" w:right="1440" w:bottom="1440" w:gutter="0" w:footer="0" w:header="0"/>
        </w:sectPr>
      </w:pPr>
    </w:p>
    <w:bookmarkStart w:id="82" w:name="page83"/>
    <w:bookmarkEnd w:id="82"/>
    <w:p>
      <w:pPr>
        <w:ind w:left="400" w:right="419" w:firstLine="328"/>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345"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1173480</wp:posOffset>
            </wp:positionH>
            <wp:positionV relativeFrom="page">
              <wp:posOffset>159385</wp:posOffset>
            </wp:positionV>
            <wp:extent cx="516890" cy="2425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16890" cy="242570"/>
                    </a:xfrm>
                    <a:prstGeom prst="rect">
                      <a:avLst/>
                    </a:prstGeom>
                    <a:noFill/>
                  </pic:spPr>
                </pic:pic>
              </a:graphicData>
            </a:graphic>
          </wp:anchor>
        </w:drawing>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WILSON SONSINI GOODRICH &amp; ROSATI</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Professional Corporation</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 Wilson Sonsini Goodrich &amp; Rosati, P.C.</w:t>
      </w:r>
    </w:p>
    <w:p>
      <w:pPr>
        <w:sectPr>
          <w:pgSz w:w="11900" w:h="16838" w:orient="portrait"/>
          <w:cols w:equalWidth="0" w:num="1">
            <w:col w:w="9019"/>
          </w:cols>
          <w:pgMar w:left="1440" w:top="730" w:right="1440" w:bottom="1440" w:gutter="0" w:footer="0" w:header="0"/>
        </w:sectPr>
      </w:pPr>
    </w:p>
    <w:bookmarkStart w:id="83" w:name="page84"/>
    <w:bookmarkEnd w:id="83"/>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132715</wp:posOffset>
            </wp:positionV>
            <wp:extent cx="625475" cy="287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625475" cy="28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KPMG LLP</w:t>
      </w:r>
    </w:p>
    <w:p>
      <w:pPr>
        <w:spacing w:after="0" w:line="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Two Manhattan West</w:t>
      </w:r>
    </w:p>
    <w:p>
      <w:pPr>
        <w:spacing w:after="0" w:line="1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375 9th Avenue, 17th Floor</w:t>
      </w:r>
    </w:p>
    <w:p>
      <w:pPr>
        <w:spacing w:after="0" w:line="1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New York, NY 10001</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76" w:lineRule="exact"/>
        <w:rPr>
          <w:sz w:val="20"/>
          <w:szCs w:val="20"/>
          <w:color w:val="auto"/>
        </w:rPr>
      </w:pPr>
    </w:p>
    <w:p>
      <w:pPr>
        <w:ind w:left="400" w:right="579"/>
        <w:spacing w:after="0" w:line="296" w:lineRule="auto"/>
        <w:rPr>
          <w:sz w:val="20"/>
          <w:szCs w:val="20"/>
          <w:color w:val="auto"/>
        </w:rPr>
      </w:pPr>
      <w:r>
        <w:rPr>
          <w:rFonts w:ascii="Times New Roman" w:cs="Times New Roman" w:eastAsia="Times New Roman" w:hAnsi="Times New Roman"/>
          <w:sz w:val="13"/>
          <w:szCs w:val="13"/>
          <w:color w:val="auto"/>
        </w:rPr>
        <w:t>We consent to the use of our report dated March 30, 2026, with respect to the financial statements of Lexeo Therapeutics, Inc., incorporated herein by reference, and to the reference to our firm under the heading “Experts” in the prospectus.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 KPMG LLP</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October 29, 2026</w:t>
      </w:r>
    </w:p>
    <w:p>
      <w:pPr>
        <w:spacing w:after="0" w:line="10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color w:val="auto"/>
        </w:rPr>
        <w:t>KPMG LLP, a Delaware limited liability partnership, and its subsidiaries are part of</w:t>
      </w:r>
    </w:p>
    <w:p>
      <w:pPr>
        <w:spacing w:after="0" w:line="2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color w:val="auto"/>
        </w:rPr>
        <w:t>the KPMG global organization of independent member firms affiliated with KPMG</w:t>
      </w:r>
    </w:p>
    <w:p>
      <w:pPr>
        <w:spacing w:after="0" w:line="1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color w:val="auto"/>
        </w:rPr>
        <w:t>International Limited, a private English company limited by guarantee.</w:t>
      </w:r>
    </w:p>
    <w:p>
      <w:pPr>
        <w:sectPr>
          <w:pgSz w:w="11900" w:h="16838" w:orient="portrait"/>
          <w:cols w:equalWidth="0" w:num="1">
            <w:col w:w="9019"/>
          </w:cols>
          <w:pgMar w:left="1440" w:top="123" w:right="1440" w:bottom="1440" w:gutter="0" w:footer="0" w:header="0"/>
        </w:sectPr>
      </w:pPr>
    </w:p>
    <w:bookmarkStart w:id="84" w:name="page85"/>
    <w:bookmarkEnd w:id="84"/>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2"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Lexeo Therapeutics, Inc.</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5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ind w:left="4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0"/>
        </w:trPr>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8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Calculation</w:t>
            </w:r>
          </w:p>
        </w:tc>
        <w:tc>
          <w:tcPr>
            <w:tcW w:w="880" w:type="dxa"/>
            <w:vAlign w:val="bottom"/>
          </w:tcPr>
          <w:p>
            <w:pPr>
              <w:spacing w:after="0"/>
              <w:rPr>
                <w:sz w:val="14"/>
                <w:szCs w:val="14"/>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Maximum</w:t>
            </w:r>
          </w:p>
        </w:tc>
        <w:tc>
          <w:tcPr>
            <w:tcW w:w="11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Maximum</w:t>
            </w:r>
          </w:p>
        </w:tc>
        <w:tc>
          <w:tcPr>
            <w:tcW w:w="1720" w:type="dxa"/>
            <w:vAlign w:val="bottom"/>
          </w:tcPr>
          <w:p>
            <w:pPr>
              <w:jc w:val="center"/>
              <w:ind w:left="660"/>
              <w:spacing w:after="0" w:line="161" w:lineRule="exact"/>
              <w:rPr>
                <w:sz w:val="20"/>
                <w:szCs w:val="20"/>
                <w:color w:val="auto"/>
              </w:rPr>
            </w:pPr>
            <w:r>
              <w:rPr>
                <w:rFonts w:ascii="Arial" w:cs="Arial" w:eastAsia="Arial" w:hAnsi="Arial"/>
                <w:sz w:val="16"/>
                <w:szCs w:val="16"/>
                <w:b w:val="1"/>
                <w:bCs w:val="1"/>
                <w:color w:val="auto"/>
              </w:rPr>
              <w:t>Amount of</w:t>
            </w: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Forward</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00" w:type="dxa"/>
            <w:vAlign w:val="bottom"/>
          </w:tcPr>
          <w:p>
            <w:pPr>
              <w:jc w:val="center"/>
              <w:ind w:left="886"/>
              <w:spacing w:after="0" w:line="181" w:lineRule="exact"/>
              <w:rPr>
                <w:sz w:val="20"/>
                <w:szCs w:val="20"/>
                <w:color w:val="auto"/>
              </w:rPr>
            </w:pPr>
            <w:r>
              <w:rPr>
                <w:rFonts w:ascii="Arial" w:cs="Arial" w:eastAsia="Arial" w:hAnsi="Arial"/>
                <w:sz w:val="16"/>
                <w:szCs w:val="16"/>
                <w:b w:val="1"/>
                <w:bCs w:val="1"/>
                <w:color w:val="auto"/>
              </w:rPr>
              <w:t>Security</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Security</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or Carry</w:t>
            </w:r>
          </w:p>
        </w:tc>
        <w:tc>
          <w:tcPr>
            <w:tcW w:w="8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Amount</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172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Fee Rate Registration</w:t>
            </w:r>
          </w:p>
        </w:tc>
        <w:tc>
          <w:tcPr>
            <w:tcW w:w="140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Forward Forward</w:t>
            </w:r>
          </w:p>
        </w:tc>
        <w:tc>
          <w:tcPr>
            <w:tcW w:w="7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Initial</w:t>
            </w: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0"/>
        </w:trPr>
        <w:tc>
          <w:tcPr>
            <w:tcW w:w="1800" w:type="dxa"/>
            <w:vAlign w:val="bottom"/>
          </w:tcPr>
          <w:p>
            <w:pPr>
              <w:jc w:val="center"/>
              <w:ind w:left="886"/>
              <w:spacing w:after="0" w:line="110" w:lineRule="exact"/>
              <w:rPr>
                <w:sz w:val="20"/>
                <w:szCs w:val="20"/>
                <w:color w:val="auto"/>
              </w:rPr>
            </w:pPr>
            <w:r>
              <w:rPr>
                <w:rFonts w:ascii="Arial" w:cs="Arial" w:eastAsia="Arial" w:hAnsi="Arial"/>
                <w:sz w:val="12"/>
                <w:szCs w:val="12"/>
                <w:b w:val="1"/>
                <w:bCs w:val="1"/>
                <w:color w:val="auto"/>
              </w:rPr>
              <w:t>Type</w:t>
            </w:r>
          </w:p>
        </w:tc>
        <w:tc>
          <w:tcPr>
            <w:tcW w:w="9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Class Title</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Forward</w:t>
            </w:r>
          </w:p>
        </w:tc>
        <w:tc>
          <w:tcPr>
            <w:tcW w:w="8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Registered</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Price Per</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Offering Price</w:t>
            </w:r>
          </w:p>
        </w:tc>
        <w:tc>
          <w:tcPr>
            <w:tcW w:w="1720" w:type="dxa"/>
            <w:vAlign w:val="bottom"/>
            <w:vMerge w:val="restart"/>
          </w:tcPr>
          <w:p>
            <w:pPr>
              <w:jc w:val="center"/>
              <w:ind w:left="660"/>
              <w:spacing w:after="0"/>
              <w:rPr>
                <w:sz w:val="20"/>
                <w:szCs w:val="20"/>
                <w:color w:val="auto"/>
              </w:rPr>
            </w:pPr>
            <w:r>
              <w:rPr>
                <w:rFonts w:ascii="Arial" w:cs="Arial" w:eastAsia="Arial" w:hAnsi="Arial"/>
                <w:sz w:val="16"/>
                <w:szCs w:val="16"/>
                <w:b w:val="1"/>
                <w:bCs w:val="1"/>
                <w:color w:val="auto"/>
                <w:w w:val="94"/>
              </w:rPr>
              <w:t>Fee</w:t>
            </w:r>
          </w:p>
        </w:tc>
        <w:tc>
          <w:tcPr>
            <w:tcW w:w="6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File</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Effective</w:t>
            </w:r>
          </w:p>
        </w:tc>
        <w:tc>
          <w:tcPr>
            <w:tcW w:w="9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Unsold</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6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6"/>
              </w:rPr>
              <w:t>Type</w:t>
            </w:r>
          </w:p>
        </w:tc>
        <w:tc>
          <w:tcPr>
            <w:tcW w:w="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Number</w:t>
            </w:r>
          </w:p>
        </w:tc>
        <w:tc>
          <w:tcPr>
            <w:tcW w:w="780" w:type="dxa"/>
            <w:vAlign w:val="bottom"/>
            <w:vMerge w:val="continue"/>
          </w:tcPr>
          <w:p>
            <w:pPr>
              <w:spacing w:after="0"/>
              <w:rPr>
                <w:sz w:val="14"/>
                <w:szCs w:val="14"/>
                <w:color w:val="auto"/>
              </w:rPr>
            </w:pPr>
          </w:p>
        </w:tc>
        <w:tc>
          <w:tcPr>
            <w:tcW w:w="9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-829310</wp:posOffset>
            </wp:positionV>
            <wp:extent cx="7216775" cy="85712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216775" cy="8571230"/>
                    </a:xfrm>
                    <a:prstGeom prst="rect">
                      <a:avLst/>
                    </a:prstGeom>
                    <a:noFill/>
                  </pic:spPr>
                </pic:pic>
              </a:graphicData>
            </a:graphic>
          </wp:anchor>
        </w:drawing>
      </w:r>
    </w:p>
    <w:p>
      <w:pPr>
        <w:jc w:val="center"/>
        <w:ind w:left="10480"/>
        <w:spacing w:after="0" w:line="235" w:lineRule="auto"/>
        <w:rPr>
          <w:sz w:val="20"/>
          <w:szCs w:val="20"/>
          <w:color w:val="auto"/>
        </w:rPr>
      </w:pPr>
      <w:r>
        <w:rPr>
          <w:rFonts w:ascii="Arial" w:cs="Arial" w:eastAsia="Arial" w:hAnsi="Arial"/>
          <w:sz w:val="16"/>
          <w:szCs w:val="16"/>
          <w:b w:val="1"/>
          <w:bCs w:val="1"/>
          <w:color w:val="auto"/>
        </w:rPr>
        <w:t>to be</w:t>
      </w:r>
    </w:p>
    <w:p>
      <w:pPr>
        <w:jc w:val="center"/>
        <w:ind w:left="10480"/>
        <w:spacing w:after="0" w:line="236" w:lineRule="auto"/>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80"/>
        <w:spacing w:after="0"/>
        <w:rPr>
          <w:sz w:val="20"/>
          <w:szCs w:val="20"/>
          <w:color w:val="auto"/>
        </w:rPr>
      </w:pPr>
      <w:r>
        <w:rPr>
          <w:rFonts w:ascii="Arial" w:cs="Arial" w:eastAsia="Arial" w:hAnsi="Arial"/>
          <w:sz w:val="16"/>
          <w:szCs w:val="16"/>
          <w:b w:val="1"/>
          <w:bCs w:val="1"/>
          <w:color w:val="auto"/>
        </w:rPr>
        <w:t>Forward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Common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Stock, par</w:t>
      </w:r>
    </w:p>
    <w:p>
      <w:pPr>
        <w:jc w:val="center"/>
        <w:ind w:right="6740"/>
        <w:spacing w:after="0" w:line="235" w:lineRule="auto"/>
        <w:tabs>
          <w:tab w:leader="none" w:pos="220" w:val="left"/>
          <w:tab w:leader="none" w:pos="720" w:val="left"/>
        </w:tabs>
        <w:rPr>
          <w:sz w:val="20"/>
          <w:szCs w:val="20"/>
          <w:color w:val="auto"/>
        </w:rPr>
      </w:pPr>
      <w:r>
        <w:rPr>
          <w:rFonts w:ascii="Arial" w:cs="Arial" w:eastAsia="Arial" w:hAnsi="Arial"/>
          <w:sz w:val="16"/>
          <w:szCs w:val="16"/>
          <w:color w:val="auto"/>
        </w:rPr>
        <w:t>Equity</w:t>
        <w:tab/>
        <w:t>value</w:t>
      </w:r>
      <w:r>
        <w:rPr>
          <w:sz w:val="20"/>
          <w:szCs w:val="20"/>
          <w:color w:val="auto"/>
        </w:rPr>
        <w:tab/>
      </w:r>
      <w:r>
        <w:rPr>
          <w:rFonts w:ascii="Arial" w:cs="Arial" w:eastAsia="Arial" w:hAnsi="Arial"/>
          <w:sz w:val="16"/>
          <w:szCs w:val="16"/>
          <w:color w:val="auto"/>
        </w:rPr>
        <w:t>457(o)</w:t>
      </w:r>
    </w:p>
    <w:p>
      <w:pPr>
        <w:jc w:val="center"/>
        <w:ind w:right="6760"/>
        <w:spacing w:after="0" w:line="236" w:lineRule="auto"/>
        <w:rPr>
          <w:sz w:val="20"/>
          <w:szCs w:val="20"/>
          <w:color w:val="auto"/>
        </w:rPr>
      </w:pPr>
      <w:r>
        <w:rPr>
          <w:rFonts w:ascii="Arial" w:cs="Arial" w:eastAsia="Arial" w:hAnsi="Arial"/>
          <w:sz w:val="16"/>
          <w:szCs w:val="16"/>
          <w:color w:val="auto"/>
        </w:rPr>
        <w:t>$0.0001 per</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share</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Preferred</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Stock, par</w:t>
      </w:r>
    </w:p>
    <w:p>
      <w:pPr>
        <w:jc w:val="center"/>
        <w:ind w:right="6740"/>
        <w:spacing w:after="0" w:line="235" w:lineRule="auto"/>
        <w:tabs>
          <w:tab w:leader="none" w:pos="220" w:val="left"/>
          <w:tab w:leader="none" w:pos="720" w:val="left"/>
        </w:tabs>
        <w:rPr>
          <w:sz w:val="20"/>
          <w:szCs w:val="20"/>
          <w:color w:val="auto"/>
        </w:rPr>
      </w:pPr>
      <w:r>
        <w:rPr>
          <w:rFonts w:ascii="Arial" w:cs="Arial" w:eastAsia="Arial" w:hAnsi="Arial"/>
          <w:sz w:val="16"/>
          <w:szCs w:val="16"/>
          <w:color w:val="auto"/>
        </w:rPr>
        <w:t>Equity</w:t>
        <w:tab/>
        <w:t>value</w:t>
      </w:r>
      <w:r>
        <w:rPr>
          <w:sz w:val="20"/>
          <w:szCs w:val="20"/>
          <w:color w:val="auto"/>
        </w:rPr>
        <w:tab/>
      </w:r>
      <w:r>
        <w:rPr>
          <w:rFonts w:ascii="Arial" w:cs="Arial" w:eastAsia="Arial" w:hAnsi="Arial"/>
          <w:sz w:val="16"/>
          <w:szCs w:val="16"/>
          <w:color w:val="auto"/>
        </w:rPr>
        <w:t>457(o)</w:t>
      </w:r>
    </w:p>
    <w:p>
      <w:pPr>
        <w:jc w:val="center"/>
        <w:ind w:right="6760"/>
        <w:spacing w:after="0" w:line="236" w:lineRule="auto"/>
        <w:rPr>
          <w:sz w:val="20"/>
          <w:szCs w:val="20"/>
          <w:color w:val="auto"/>
        </w:rPr>
      </w:pPr>
      <w:r>
        <w:rPr>
          <w:rFonts w:ascii="Arial" w:cs="Arial" w:eastAsia="Arial" w:hAnsi="Arial"/>
          <w:sz w:val="16"/>
          <w:szCs w:val="16"/>
          <w:color w:val="auto"/>
        </w:rPr>
        <w:t>$0.0001 per</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share</w:t>
      </w:r>
    </w:p>
    <w:p>
      <w:pPr>
        <w:sectPr>
          <w:pgSz w:w="11900" w:h="16838" w:orient="portrait"/>
          <w:cols w:equalWidth="0" w:num="1">
            <w:col w:w="11360"/>
          </w:cols>
          <w:pgMar w:left="300" w:top="140" w:right="239" w:bottom="0" w:gutter="0" w:footer="0" w:header="0"/>
        </w:sectPr>
      </w:pP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Subscription</w:t>
            </w:r>
          </w:p>
        </w:tc>
        <w:tc>
          <w:tcPr>
            <w:tcW w:w="20" w:type="dxa"/>
            <w:vAlign w:val="bottom"/>
          </w:tcPr>
          <w:p>
            <w:pPr>
              <w:spacing w:after="0"/>
              <w:rPr>
                <w:sz w:val="14"/>
                <w:szCs w:val="14"/>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4"/>
                <w:szCs w:val="14"/>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0.000087</w:t>
            </w:r>
          </w:p>
        </w:tc>
        <w:tc>
          <w:tcPr>
            <w:tcW w:w="0" w:type="dxa"/>
            <w:vAlign w:val="bottom"/>
          </w:tcPr>
          <w:p>
            <w:pPr>
              <w:spacing w:after="0"/>
              <w:rPr>
                <w:sz w:val="1"/>
                <w:szCs w:val="1"/>
                <w:color w:val="auto"/>
              </w:rPr>
            </w:pPr>
          </w:p>
        </w:tc>
      </w:tr>
      <w:tr>
        <w:trPr>
          <w:trHeight w:val="162"/>
        </w:trPr>
        <w:tc>
          <w:tcPr>
            <w:tcW w:w="760" w:type="dxa"/>
            <w:vAlign w:val="bottom"/>
            <w:shd w:val="clear" w:color="auto" w:fill="E7E7E2"/>
          </w:tcPr>
          <w:p>
            <w:pPr>
              <w:spacing w:after="0" w:line="16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rPr>
              <w:t>183,362,779.80</w:t>
            </w: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ind w:left="20"/>
              <w:spacing w:after="0" w:line="141"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Carry Forward Securities</w:t>
            </w:r>
          </w:p>
        </w:tc>
        <w:tc>
          <w:tcPr>
            <w:tcW w:w="0" w:type="dxa"/>
            <w:vAlign w:val="bottom"/>
          </w:tcPr>
          <w:p>
            <w:pPr>
              <w:spacing w:after="0"/>
              <w:rPr>
                <w:sz w:val="1"/>
                <w:szCs w:val="1"/>
                <w:color w:val="auto"/>
              </w:rPr>
            </w:pPr>
          </w:p>
        </w:tc>
      </w:tr>
      <w:tr>
        <w:trPr>
          <w:trHeight w:val="175"/>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1"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81" w:lineRule="exact"/>
              <w:rPr>
                <w:sz w:val="20"/>
                <w:szCs w:val="20"/>
                <w:color w:val="auto"/>
              </w:rPr>
            </w:pPr>
            <w:r>
              <w:rPr>
                <w:rFonts w:ascii="Arial" w:cs="Arial" w:eastAsia="Arial" w:hAnsi="Arial"/>
                <w:sz w:val="16"/>
                <w:szCs w:val="16"/>
                <w:color w:val="auto"/>
              </w:rPr>
              <w:t>415(a)(6)</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$0.0001 per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1"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81" w:lineRule="exact"/>
              <w:rPr>
                <w:sz w:val="20"/>
                <w:szCs w:val="20"/>
                <w:color w:val="auto"/>
              </w:rPr>
            </w:pPr>
            <w:r>
              <w:rPr>
                <w:rFonts w:ascii="Arial" w:cs="Arial" w:eastAsia="Arial" w:hAnsi="Arial"/>
                <w:sz w:val="16"/>
                <w:szCs w:val="16"/>
                <w:color w:val="auto"/>
              </w:rPr>
              <w:t>415(a)(6)</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$0.0001 per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760" w:type="dxa"/>
            <w:vAlign w:val="bottom"/>
            <w:vMerge w:val="restart"/>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20"/>
              <w:spacing w:after="0" w:line="18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1"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81" w:lineRule="exact"/>
              <w:rPr>
                <w:sz w:val="20"/>
                <w:szCs w:val="20"/>
                <w:color w:val="auto"/>
              </w:rPr>
            </w:pPr>
            <w:r>
              <w:rPr>
                <w:rFonts w:ascii="Arial" w:cs="Arial" w:eastAsia="Arial" w:hAnsi="Arial"/>
                <w:sz w:val="16"/>
                <w:szCs w:val="16"/>
                <w:color w:val="auto"/>
              </w:rPr>
              <w:t>415(a)(6)</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Subscription</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E7E7E2"/>
          </w:tcPr>
          <w:p>
            <w:pPr>
              <w:spacing w:after="0" w:line="16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ind w:left="220"/>
              <w:spacing w:after="0" w:line="161"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415(a)(6)</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6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E7E7E2"/>
            </w:tcBorders>
            <w:shd w:val="clear" w:color="auto" w:fill="E7E7E2"/>
          </w:tcPr>
          <w:p>
            <w:pPr>
              <w:spacing w:after="0" w:line="181" w:lineRule="exact"/>
              <w:rPr>
                <w:sz w:val="20"/>
                <w:szCs w:val="20"/>
                <w:color w:val="auto"/>
              </w:rPr>
            </w:pPr>
            <w:r>
              <w:rPr>
                <w:rFonts w:ascii="Arial" w:cs="Arial" w:eastAsia="Arial" w:hAnsi="Arial"/>
                <w:sz w:val="16"/>
                <w:szCs w:val="16"/>
                <w:color w:val="auto"/>
              </w:rPr>
              <w:t>Rights</w:t>
            </w:r>
          </w:p>
        </w:tc>
        <w:tc>
          <w:tcPr>
            <w:tcW w:w="20" w:type="dxa"/>
            <w:vAlign w:val="bottom"/>
          </w:tcPr>
          <w:p>
            <w:pPr>
              <w:spacing w:after="0"/>
              <w:rPr>
                <w:sz w:val="18"/>
                <w:szCs w:val="18"/>
                <w:color w:val="auto"/>
              </w:rPr>
            </w:pPr>
          </w:p>
        </w:tc>
        <w:tc>
          <w:tcPr>
            <w:tcW w:w="8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E7E7E2"/>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760" w:type="dxa"/>
            <w:vAlign w:val="bottom"/>
            <w:vMerge w:val="restart"/>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20"/>
              <w:spacing w:after="0" w:line="181"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1"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Units</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81" w:lineRule="exact"/>
              <w:rPr>
                <w:sz w:val="20"/>
                <w:szCs w:val="20"/>
                <w:color w:val="auto"/>
              </w:rPr>
            </w:pPr>
            <w:r>
              <w:rPr>
                <w:rFonts w:ascii="Arial" w:cs="Arial" w:eastAsia="Arial" w:hAnsi="Arial"/>
                <w:sz w:val="16"/>
                <w:szCs w:val="16"/>
                <w:color w:val="auto"/>
              </w:rPr>
              <w:t>415(a)(6)</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760" w:type="dxa"/>
            <w:vAlign w:val="bottom"/>
            <w:vMerge w:val="restart"/>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line="181" w:lineRule="exact"/>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116,637,220.20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Arial" w:cs="Arial" w:eastAsia="Arial" w:hAnsi="Arial"/>
                <w:sz w:val="16"/>
                <w:szCs w:val="16"/>
                <w:color w:val="auto"/>
                <w:w w:val="98"/>
              </w:rPr>
              <w:t>Total Offering Amounts:</w:t>
            </w: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300,000,000.00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Total Fees Previously Paid:</w:t>
      </w:r>
    </w:p>
    <w:p>
      <w:pPr>
        <w:spacing w:after="0" w:line="37"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Total Fee Offsets:</w:t>
      </w:r>
    </w:p>
    <w:p>
      <w:pPr>
        <w:spacing w:after="0" w:line="37"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Net Fee Due: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$ 15,952.56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$ 15,952.56</w:t>
      </w:r>
    </w:p>
    <w:p>
      <w:pPr>
        <w:spacing w:after="0" w:line="230" w:lineRule="exact"/>
        <w:rPr>
          <w:sz w:val="20"/>
          <w:szCs w:val="20"/>
          <w:color w:val="auto"/>
        </w:rPr>
      </w:pPr>
    </w:p>
    <w:p>
      <w:pPr>
        <w:jc w:val="right"/>
        <w:spacing w:after="0" w:line="307" w:lineRule="auto"/>
        <w:rPr>
          <w:sz w:val="20"/>
          <w:szCs w:val="20"/>
          <w:color w:val="auto"/>
        </w:rPr>
      </w:pPr>
      <w:r>
        <w:rPr>
          <w:rFonts w:ascii="Arial" w:cs="Arial" w:eastAsia="Arial" w:hAnsi="Arial"/>
          <w:sz w:val="16"/>
          <w:szCs w:val="16"/>
          <w:color w:val="auto"/>
        </w:rPr>
        <w:t>$ 0.00 $ 0.00 $ 15,952.56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2"/>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4"/>
                <w:szCs w:val="24"/>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12/19/2024</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283781</w:t>
            </w:r>
          </w:p>
        </w:tc>
        <w:tc>
          <w:tcPr>
            <w:tcW w:w="20" w:type="dxa"/>
            <w:vAlign w:val="bottom"/>
          </w:tcPr>
          <w:p>
            <w:pPr>
              <w:spacing w:after="0"/>
              <w:rPr>
                <w:sz w:val="18"/>
                <w:szCs w:val="18"/>
                <w:color w:val="auto"/>
              </w:rPr>
            </w:pPr>
          </w:p>
        </w:tc>
        <w:tc>
          <w:tcPr>
            <w:tcW w:w="8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4"/>
                <w:szCs w:val="24"/>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12/19/2024</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283781</w:t>
            </w:r>
          </w:p>
        </w:tc>
        <w:tc>
          <w:tcPr>
            <w:tcW w:w="20" w:type="dxa"/>
            <w:vAlign w:val="bottom"/>
          </w:tcPr>
          <w:p>
            <w:pPr>
              <w:spacing w:after="0"/>
              <w:rPr>
                <w:sz w:val="18"/>
                <w:szCs w:val="18"/>
                <w:color w:val="auto"/>
              </w:rPr>
            </w:pPr>
          </w:p>
        </w:tc>
        <w:tc>
          <w:tcPr>
            <w:tcW w:w="8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2"/>
                <w:szCs w:val="22"/>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12/19/2024</w:t>
            </w:r>
          </w:p>
        </w:tc>
        <w:tc>
          <w:tcPr>
            <w:tcW w:w="20" w:type="dxa"/>
            <w:vAlign w:val="bottom"/>
          </w:tcPr>
          <w:p>
            <w:pPr>
              <w:spacing w:after="0"/>
              <w:rPr>
                <w:sz w:val="22"/>
                <w:szCs w:val="22"/>
                <w:color w:val="auto"/>
              </w:rPr>
            </w:pPr>
          </w:p>
        </w:tc>
        <w:tc>
          <w:tcPr>
            <w:tcW w:w="900" w:type="dxa"/>
            <w:vAlign w:val="bottom"/>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283781</w:t>
            </w:r>
          </w:p>
        </w:tc>
        <w:tc>
          <w:tcPr>
            <w:tcW w:w="20" w:type="dxa"/>
            <w:vAlign w:val="bottom"/>
          </w:tcPr>
          <w:p>
            <w:pPr>
              <w:spacing w:after="0"/>
              <w:rPr>
                <w:sz w:val="18"/>
                <w:szCs w:val="18"/>
                <w:color w:val="auto"/>
              </w:rPr>
            </w:pPr>
          </w:p>
        </w:tc>
        <w:tc>
          <w:tcPr>
            <w:tcW w:w="8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2"/>
                <w:szCs w:val="22"/>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12/19/2024</w:t>
            </w:r>
          </w:p>
        </w:tc>
        <w:tc>
          <w:tcPr>
            <w:tcW w:w="20" w:type="dxa"/>
            <w:vAlign w:val="bottom"/>
          </w:tcPr>
          <w:p>
            <w:pPr>
              <w:spacing w:after="0"/>
              <w:rPr>
                <w:sz w:val="22"/>
                <w:szCs w:val="22"/>
                <w:color w:val="auto"/>
              </w:rPr>
            </w:pPr>
          </w:p>
        </w:tc>
        <w:tc>
          <w:tcPr>
            <w:tcW w:w="900" w:type="dxa"/>
            <w:vAlign w:val="bottom"/>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283781</w:t>
            </w:r>
          </w:p>
        </w:tc>
        <w:tc>
          <w:tcPr>
            <w:tcW w:w="20" w:type="dxa"/>
            <w:vAlign w:val="bottom"/>
          </w:tcPr>
          <w:p>
            <w:pPr>
              <w:spacing w:after="0"/>
              <w:rPr>
                <w:sz w:val="18"/>
                <w:szCs w:val="18"/>
                <w:color w:val="auto"/>
              </w:rPr>
            </w:pPr>
          </w:p>
        </w:tc>
        <w:tc>
          <w:tcPr>
            <w:tcW w:w="8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2"/>
                <w:szCs w:val="22"/>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12/19/2024</w:t>
            </w:r>
          </w:p>
        </w:tc>
        <w:tc>
          <w:tcPr>
            <w:tcW w:w="20" w:type="dxa"/>
            <w:vAlign w:val="bottom"/>
          </w:tcPr>
          <w:p>
            <w:pPr>
              <w:spacing w:after="0"/>
              <w:rPr>
                <w:sz w:val="22"/>
                <w:szCs w:val="22"/>
                <w:color w:val="auto"/>
              </w:rPr>
            </w:pPr>
          </w:p>
        </w:tc>
        <w:tc>
          <w:tcPr>
            <w:tcW w:w="900" w:type="dxa"/>
            <w:vAlign w:val="bottom"/>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283781</w:t>
            </w:r>
          </w:p>
        </w:tc>
        <w:tc>
          <w:tcPr>
            <w:tcW w:w="20" w:type="dxa"/>
            <w:vAlign w:val="bottom"/>
          </w:tcPr>
          <w:p>
            <w:pPr>
              <w:spacing w:after="0"/>
              <w:rPr>
                <w:sz w:val="18"/>
                <w:szCs w:val="18"/>
                <w:color w:val="auto"/>
              </w:rPr>
            </w:pPr>
          </w:p>
        </w:tc>
        <w:tc>
          <w:tcPr>
            <w:tcW w:w="8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2"/>
                <w:szCs w:val="22"/>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12/19/2024</w:t>
            </w:r>
          </w:p>
        </w:tc>
        <w:tc>
          <w:tcPr>
            <w:tcW w:w="20" w:type="dxa"/>
            <w:vAlign w:val="bottom"/>
          </w:tcPr>
          <w:p>
            <w:pPr>
              <w:spacing w:after="0"/>
              <w:rPr>
                <w:sz w:val="22"/>
                <w:szCs w:val="22"/>
                <w:color w:val="auto"/>
              </w:rPr>
            </w:pPr>
          </w:p>
        </w:tc>
        <w:tc>
          <w:tcPr>
            <w:tcW w:w="900" w:type="dxa"/>
            <w:vAlign w:val="bottom"/>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283781</w:t>
            </w:r>
          </w:p>
        </w:tc>
        <w:tc>
          <w:tcPr>
            <w:tcW w:w="20" w:type="dxa"/>
            <w:vAlign w:val="bottom"/>
          </w:tcPr>
          <w:p>
            <w:pPr>
              <w:spacing w:after="0"/>
              <w:rPr>
                <w:sz w:val="18"/>
                <w:szCs w:val="18"/>
                <w:color w:val="auto"/>
              </w:rPr>
            </w:pPr>
          </w:p>
        </w:tc>
        <w:tc>
          <w:tcPr>
            <w:tcW w:w="8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2"/>
                <w:szCs w:val="22"/>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12/19/2024</w:t>
            </w:r>
          </w:p>
        </w:tc>
        <w:tc>
          <w:tcPr>
            <w:tcW w:w="20" w:type="dxa"/>
            <w:vAlign w:val="bottom"/>
          </w:tcPr>
          <w:p>
            <w:pPr>
              <w:spacing w:after="0"/>
              <w:rPr>
                <w:sz w:val="22"/>
                <w:szCs w:val="22"/>
                <w:color w:val="auto"/>
              </w:rPr>
            </w:pPr>
          </w:p>
        </w:tc>
        <w:tc>
          <w:tcPr>
            <w:tcW w:w="900" w:type="dxa"/>
            <w:vAlign w:val="bottom"/>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283781</w:t>
            </w:r>
          </w:p>
        </w:tc>
        <w:tc>
          <w:tcPr>
            <w:tcW w:w="20" w:type="dxa"/>
            <w:vAlign w:val="bottom"/>
          </w:tcPr>
          <w:p>
            <w:pPr>
              <w:spacing w:after="0"/>
              <w:rPr>
                <w:sz w:val="18"/>
                <w:szCs w:val="18"/>
                <w:color w:val="auto"/>
              </w:rPr>
            </w:pPr>
          </w:p>
        </w:tc>
        <w:tc>
          <w:tcPr>
            <w:tcW w:w="8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2"/>
                <w:szCs w:val="22"/>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12/19/2024</w:t>
            </w:r>
          </w:p>
        </w:tc>
        <w:tc>
          <w:tcPr>
            <w:tcW w:w="20" w:type="dxa"/>
            <w:vAlign w:val="bottom"/>
          </w:tcPr>
          <w:p>
            <w:pPr>
              <w:spacing w:after="0"/>
              <w:rPr>
                <w:sz w:val="22"/>
                <w:szCs w:val="22"/>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$ 17,857.15</w:t>
            </w:r>
          </w:p>
        </w:tc>
        <w:tc>
          <w:tcPr>
            <w:tcW w:w="0" w:type="dxa"/>
            <w:vAlign w:val="bottom"/>
          </w:tcPr>
          <w:p>
            <w:pPr>
              <w:spacing w:after="0"/>
              <w:rPr>
                <w:sz w:val="1"/>
                <w:szCs w:val="1"/>
                <w:color w:val="auto"/>
              </w:rPr>
            </w:pPr>
          </w:p>
        </w:tc>
      </w:tr>
      <w:tr>
        <w:trPr>
          <w:trHeight w:val="214"/>
        </w:trPr>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283781</w:t>
            </w:r>
          </w:p>
        </w:tc>
        <w:tc>
          <w:tcPr>
            <w:tcW w:w="20" w:type="dxa"/>
            <w:vAlign w:val="bottom"/>
          </w:tcPr>
          <w:p>
            <w:pPr>
              <w:spacing w:after="0"/>
              <w:rPr>
                <w:sz w:val="18"/>
                <w:szCs w:val="18"/>
                <w:color w:val="auto"/>
              </w:rPr>
            </w:pPr>
          </w:p>
        </w:tc>
        <w:tc>
          <w:tcPr>
            <w:tcW w:w="8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vMerge w:val="continue"/>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bl>
    <w:p>
      <w:pPr>
        <w:spacing w:after="0" w:line="1305" w:lineRule="exact"/>
        <w:rPr>
          <w:sz w:val="20"/>
          <w:szCs w:val="20"/>
          <w:color w:val="auto"/>
        </w:rPr>
      </w:pPr>
    </w:p>
    <w:p>
      <w:pPr>
        <w:sectPr>
          <w:pgSz w:w="11900" w:h="16838" w:orient="portrait"/>
          <w:cols w:equalWidth="0" w:num="4">
            <w:col w:w="7200" w:space="140"/>
            <w:col w:w="840" w:space="240"/>
            <w:col w:w="240" w:space="240"/>
            <w:col w:w="2460"/>
          </w:cols>
          <w:pgMar w:left="300" w:top="140" w:right="239" w:bottom="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07" w:lineRule="exact"/>
        <w:rPr>
          <w:sz w:val="20"/>
          <w:szCs w:val="20"/>
          <w:color w:val="auto"/>
        </w:rPr>
      </w:pPr>
    </w:p>
    <w:p>
      <w:pPr>
        <w:ind w:left="200" w:right="140" w:hanging="169"/>
        <w:spacing w:after="0" w:line="232" w:lineRule="auto"/>
        <w:tabs>
          <w:tab w:leader="none" w:pos="200" w:val="left"/>
        </w:tabs>
        <w:numPr>
          <w:ilvl w:val="0"/>
          <w:numId w:val="72"/>
        </w:numPr>
        <w:rPr>
          <w:rFonts w:ascii="Arial" w:cs="Arial" w:eastAsia="Arial" w:hAnsi="Arial"/>
          <w:sz w:val="20"/>
          <w:szCs w:val="20"/>
          <w:color w:val="auto"/>
          <w:vertAlign w:val="superscript"/>
        </w:rPr>
      </w:pPr>
      <w:r>
        <w:rPr>
          <w:rFonts w:ascii="Arial" w:cs="Arial" w:eastAsia="Arial" w:hAnsi="Arial"/>
          <w:sz w:val="16"/>
          <w:szCs w:val="16"/>
          <w:color w:val="auto"/>
        </w:rPr>
        <w:t>(1) The securities registered consists of up to $300,000,000 of an indeterminate number of (a) shares of common stock, (b) shares of preferred stock, (c) debt securities, (d) warrants to purchase common stock, preferred stock or debt securities of the registrant, (e) subscription rights to purchase common stock, preferred stock, debt securities, warrants or units consisting of some or all of these securities of the registrant, (f) purchase contracts, and (g)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w:t>
      </w:r>
    </w:p>
    <w:p>
      <w:pPr>
        <w:sectPr>
          <w:pgSz w:w="11900" w:h="16838" w:orient="portrait"/>
          <w:cols w:equalWidth="0" w:num="1">
            <w:col w:w="11360"/>
          </w:cols>
          <w:pgMar w:left="300" w:top="140" w:right="239" w:bottom="0" w:gutter="0" w:footer="0" w:header="0"/>
          <w:type w:val="continuous"/>
        </w:sectPr>
      </w:pPr>
    </w:p>
    <w:bookmarkStart w:id="85" w:name="page86"/>
    <w:bookmarkEnd w:id="85"/>
    <w:p>
      <w:pPr>
        <w:ind w:left="200" w:right="180"/>
        <w:spacing w:after="0" w:line="243" w:lineRule="auto"/>
        <w:rPr>
          <w:sz w:val="20"/>
          <w:szCs w:val="20"/>
          <w:color w:val="auto"/>
        </w:rPr>
      </w:pPr>
      <w:r>
        <w:rPr>
          <w:rFonts w:ascii="Arial" w:cs="Arial" w:eastAsia="Arial" w:hAnsi="Arial"/>
          <w:sz w:val="16"/>
          <w:szCs w:val="16"/>
          <w:color w:val="auto"/>
        </w:rPr>
        <w:t>issuance. (2) Pursuant to Rule 416 under the Securities Act of 1933, as amended, this registration statement shall also cover any additional shares of the registrant's securities that become issuable by reason of any share splits, share dividends or similar transactions. (3)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(4) Consisting of some or all of the securities listed above, in any combination, including common stock, preferred stock, debt securities, warrants, purchase contracts and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454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08" w:lineRule="exact"/>
        <w:rPr>
          <w:sz w:val="20"/>
          <w:szCs w:val="20"/>
          <w:color w:val="auto"/>
        </w:rPr>
      </w:pPr>
    </w:p>
    <w:p>
      <w:pPr>
        <w:ind w:left="200" w:right="60" w:hanging="169"/>
        <w:spacing w:after="0" w:line="235" w:lineRule="auto"/>
        <w:tabs>
          <w:tab w:leader="none" w:pos="200" w:val="left"/>
        </w:tabs>
        <w:numPr>
          <w:ilvl w:val="0"/>
          <w:numId w:val="73"/>
        </w:numPr>
        <w:rPr>
          <w:rFonts w:ascii="Arial" w:cs="Arial" w:eastAsia="Arial" w:hAnsi="Arial"/>
          <w:sz w:val="20"/>
          <w:szCs w:val="20"/>
          <w:color w:val="auto"/>
          <w:vertAlign w:val="superscript"/>
        </w:rPr>
      </w:pPr>
      <w:r>
        <w:rPr>
          <w:rFonts w:ascii="Arial" w:cs="Arial" w:eastAsia="Arial" w:hAnsi="Arial"/>
          <w:sz w:val="16"/>
          <w:szCs w:val="16"/>
          <w:color w:val="auto"/>
        </w:rPr>
        <w:t>Pursuant to Rule 415(a)(6) under the Securities Act, the securities registered pursuant to this registration statement (this "Registration Statement") include unsold securities previously registered by the registrant on the registrant's registration statement on Form S-3 (File No. 333-283781), initially filed by the registrant with the Securities and Exchange Commission on December 13, 2024 and declared effective on December 19, 2024 (the "Prior Registration Statement"), registering an aggregate of $300,000,000.00 of an indeterminate number of securities to be offered by the registrant from time to time. On March 24, 2025, the registrant initiated an At-The-Market program for its common stock having an aggregate gross sales price of up to $75,000,000.00 (the "ATM Program"). To date, the registrant has sold shares of common stock having an aggregate gross sales price of $39,612,779.80 under the ATM Program. $116,637,220.20 of the securities registered on the Prior Registration Statement remain unsold (including any shares unsold pursuant to the ATM Program) (the "Unsold Securities") The registrant previously paid an aggregate registration fee of $17,857.15 relating to the Unsold Securities. The registrant has determined to include in this Registration Statement all of the Unsold Securities. Pursuant to Rule 415(a)(6), the registration fee of $17,857.15 associated with the offering of the Unsold Securities (calculated at the fee rate in effect on the filing date of the Prior Registration Statement) is hereby carried forward and to be applied to the Unsold Securities registered hereunder and no additional filing fee is due with respect to the Unsold Securities in connection with the filing of this Registration Statement. Accordingly, a registration fee of $15,952.56 is due to be paid at this time for the registration of the securities offered hereby.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amount of new securities to be registered on this Registration Statement. Concurrently with the effectiveness of this Registration Statement, any offering of unsold securities pursuant to the Prior Registration Statement is hereby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454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00" w:type="dxa"/>
            <w:vAlign w:val="bottom"/>
            <w:gridSpan w:val="3"/>
            <w:shd w:val="clear" w:color="auto" w:fill="9ADAF6"/>
          </w:tcPr>
          <w:p>
            <w:pPr>
              <w:jc w:val="center"/>
              <w:ind w:right="40"/>
              <w:spacing w:after="0" w:line="181" w:lineRule="exact"/>
              <w:rPr>
                <w:sz w:val="20"/>
                <w:szCs w:val="20"/>
                <w:color w:val="auto"/>
              </w:rPr>
            </w:pPr>
            <w:r>
              <w:rPr>
                <w:rFonts w:ascii="Arial" w:cs="Arial" w:eastAsia="Arial" w:hAnsi="Arial"/>
                <w:sz w:val="16"/>
                <w:szCs w:val="16"/>
                <w:b w:val="1"/>
                <w:bCs w:val="1"/>
                <w:color w:val="auto"/>
                <w:w w:val="98"/>
              </w:rPr>
              <w:t>Security</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 or</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00" w:type="dxa"/>
            <w:vAlign w:val="bottom"/>
            <w:gridSpan w:val="3"/>
            <w:shd w:val="clear" w:color="auto" w:fill="9ADAF6"/>
          </w:tcPr>
          <w:p>
            <w:pPr>
              <w:jc w:val="center"/>
              <w:ind w:right="40"/>
              <w:spacing w:after="0" w:line="181" w:lineRule="exact"/>
              <w:rPr>
                <w:sz w:val="20"/>
                <w:szCs w:val="20"/>
                <w:color w:val="auto"/>
              </w:rPr>
            </w:pPr>
            <w:r>
              <w:rPr>
                <w:rFonts w:ascii="Arial" w:cs="Arial" w:eastAsia="Arial" w:hAnsi="Arial"/>
                <w:sz w:val="16"/>
                <w:szCs w:val="16"/>
                <w:b w:val="1"/>
                <w:bCs w:val="1"/>
                <w:color w:val="auto"/>
              </w:rPr>
              <w:t>Title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jc w:val="center"/>
              <w:ind w:right="180"/>
              <w:spacing w:after="0" w:line="181"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00" w:type="dxa"/>
            <w:vAlign w:val="bottom"/>
            <w:gridSpan w:val="3"/>
            <w:shd w:val="clear" w:color="auto" w:fill="9ADAF6"/>
          </w:tcPr>
          <w:p>
            <w:pPr>
              <w:jc w:val="center"/>
              <w:ind w:right="20"/>
              <w:spacing w:after="0" w:line="181" w:lineRule="exact"/>
              <w:rPr>
                <w:sz w:val="20"/>
                <w:szCs w:val="20"/>
                <w:color w:val="auto"/>
              </w:rPr>
            </w:pPr>
            <w:r>
              <w:rPr>
                <w:rFonts w:ascii="Arial" w:cs="Arial" w:eastAsia="Arial" w:hAnsi="Arial"/>
                <w:sz w:val="16"/>
                <w:szCs w:val="16"/>
                <w:b w:val="1"/>
                <w:bCs w:val="1"/>
                <w:color w:val="auto"/>
                <w:w w:val="99"/>
              </w:rPr>
              <w:t>with Fee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700" w:type="dxa"/>
            <w:vAlign w:val="bottom"/>
            <w:gridSpan w:val="3"/>
            <w:shd w:val="clear" w:color="auto" w:fill="9ADAF6"/>
          </w:tcPr>
          <w:p>
            <w:pPr>
              <w:jc w:val="center"/>
              <w:ind w:right="40"/>
              <w:spacing w:after="0" w:line="110" w:lineRule="exact"/>
              <w:rPr>
                <w:sz w:val="20"/>
                <w:szCs w:val="20"/>
                <w:color w:val="auto"/>
              </w:rPr>
            </w:pPr>
            <w:r>
              <w:rPr>
                <w:rFonts w:ascii="Arial" w:cs="Arial" w:eastAsia="Arial" w:hAnsi="Arial"/>
                <w:sz w:val="12"/>
                <w:szCs w:val="12"/>
                <w:b w:val="1"/>
                <w:bCs w:val="1"/>
                <w:color w:val="auto"/>
              </w:rPr>
              <w:t>Offset</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00" w:type="dxa"/>
            <w:vAlign w:val="bottom"/>
            <w:gridSpan w:val="3"/>
            <w:shd w:val="clear" w:color="auto" w:fill="9ADAF6"/>
          </w:tcPr>
          <w:p>
            <w:pPr>
              <w:jc w:val="center"/>
              <w:ind w:right="40"/>
              <w:spacing w:after="0" w:line="181" w:lineRule="exact"/>
              <w:rPr>
                <w:sz w:val="20"/>
                <w:szCs w:val="20"/>
                <w:color w:val="auto"/>
              </w:rPr>
            </w:pPr>
            <w:r>
              <w:rPr>
                <w:rFonts w:ascii="Arial" w:cs="Arial" w:eastAsia="Arial" w:hAnsi="Arial"/>
                <w:sz w:val="16"/>
                <w:szCs w:val="16"/>
                <w:b w:val="1"/>
                <w:bCs w:val="1"/>
                <w:color w:val="auto"/>
                <w:w w:val="99"/>
              </w:rPr>
              <w:t>Claimed</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9"/>
          </w:tcPr>
          <w:p>
            <w:pPr>
              <w:ind w:left="48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0"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3"/>
          </w:tcPr>
          <w:p>
            <w:pPr>
              <w:ind w:left="32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0"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6"/>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2"/>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restart"/>
            <w:shd w:val="clear" w:color="auto" w:fill="9ADAF6"/>
          </w:tcPr>
          <w:p>
            <w:pPr>
              <w:ind w:left="400"/>
              <w:spacing w:after="0" w:line="181"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5"/>
            <w:vMerge w:val="restart"/>
            <w:shd w:val="clear" w:color="auto" w:fill="9ADAF6"/>
          </w:tcPr>
          <w:p>
            <w:pPr>
              <w:jc w:val="center"/>
              <w:ind w:right="304"/>
              <w:spacing w:after="0" w:line="181"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restart"/>
            <w:shd w:val="clear" w:color="auto" w:fill="9ADAF6"/>
          </w:tcPr>
          <w:p>
            <w:pPr>
              <w:ind w:left="60"/>
              <w:spacing w:after="0" w:line="181"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60"/>
              <w:spacing w:after="0" w:line="181" w:lineRule="exact"/>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gridSpan w:val="5"/>
            <w:vMerge w:val="restart"/>
            <w:shd w:val="clear" w:color="auto" w:fill="9ADAF6"/>
          </w:tcPr>
          <w:p>
            <w:pPr>
              <w:ind w:left="660"/>
              <w:spacing w:after="0" w:line="181"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restart"/>
            <w:shd w:val="clear" w:color="auto" w:fill="9ADAF6"/>
          </w:tcPr>
          <w:p>
            <w:pPr>
              <w:ind w:left="380"/>
              <w:spacing w:after="0" w:line="181"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6"/>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42"/>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20" w:type="dxa"/>
            <w:vAlign w:val="bottom"/>
            <w:gridSpan w:val="3"/>
            <w:vMerge w:val="restart"/>
            <w:shd w:val="clear" w:color="auto" w:fill="9ADAF6"/>
          </w:tcPr>
          <w:p>
            <w:pPr>
              <w:jc w:val="center"/>
              <w:ind w:left="122"/>
              <w:spacing w:after="0"/>
              <w:rPr>
                <w:sz w:val="20"/>
                <w:szCs w:val="20"/>
                <w:color w:val="auto"/>
              </w:rPr>
            </w:pPr>
            <w:r>
              <w:rPr>
                <w:rFonts w:ascii="Arial" w:cs="Arial" w:eastAsia="Arial" w:hAnsi="Arial"/>
                <w:sz w:val="16"/>
                <w:szCs w:val="16"/>
                <w:b w:val="1"/>
                <w:bCs w:val="1"/>
                <w:color w:val="auto"/>
                <w:w w:val="99"/>
              </w:rPr>
              <w:t>Registered</w:t>
            </w:r>
          </w:p>
        </w:tc>
        <w:tc>
          <w:tcPr>
            <w:tcW w:w="6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20" w:type="dxa"/>
            <w:vAlign w:val="bottom"/>
            <w:gridSpan w:val="3"/>
            <w:vMerge w:val="continue"/>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lowerRoman"/>
      <w:start w:val="4"/>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lowerRoman"/>
      <w:start w:val="3"/>
    </w:lvl>
  </w:abstractNum>
  <w:abstractNum w:abstractNumId="25">
    <w:nsid w:val="579478FE"/>
    <w:multiLevelType w:val="hybridMultilevel"/>
    <w:lvl w:ilvl="0">
      <w:lvlJc w:val="left"/>
      <w:lvlText w:val=" "/>
      <w:numFmt w:val="bullet"/>
      <w:start w:val="1"/>
    </w:lvl>
  </w:abstractNum>
  <w:abstractNum w:abstractNumId="26">
    <w:nsid w:val="749ABB43"/>
    <w:multiLevelType w:val="hybridMultilevel"/>
    <w:lvl w:ilvl="0">
      <w:lvlJc w:val="left"/>
      <w:lvlText w:val=" "/>
      <w:numFmt w:val="bullet"/>
      <w:start w:val="1"/>
    </w:lvl>
  </w:abstractNum>
  <w:abstractNum w:abstractNumId="27">
    <w:nsid w:val="3DC240FB"/>
    <w:multiLevelType w:val="hybridMultilevel"/>
    <w:lvl w:ilvl="0">
      <w:lvlJc w:val="left"/>
      <w:lvlText w:val=" "/>
      <w:numFmt w:val="bullet"/>
      <w:start w:val="1"/>
    </w:lvl>
  </w:abstractNum>
  <w:abstractNum w:abstractNumId="28">
    <w:nsid w:val="1BA026FA"/>
    <w:multiLevelType w:val="hybridMultilevel"/>
    <w:lvl w:ilvl="0">
      <w:lvlJc w:val="left"/>
      <w:lvlText w:val=" "/>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12E685FB"/>
    <w:multiLevelType w:val="hybridMultilevel"/>
    <w:lvl w:ilvl="0">
      <w:lvlJc w:val="left"/>
      <w:lvlText w:val="(%1)"/>
      <w:numFmt w:val="decimal"/>
      <w:start w:val="2"/>
    </w:lvl>
    <w:lvl w:ilvl="1">
      <w:lvlJc w:val="left"/>
      <w:lvlText w:val="(%2)"/>
      <w:numFmt w:val="lowerRoman"/>
      <w:start w:val="1"/>
    </w:lvl>
  </w:abstractNum>
  <w:abstractNum w:abstractNumId="32">
    <w:nsid w:val="70C6A52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3">
    <w:nsid w:val="520EEDD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Letter"/>
      <w:start w:val="1"/>
    </w:lvl>
  </w:abstractNum>
  <w:abstractNum w:abstractNumId="36">
    <w:nsid w:val="23F9C13C"/>
    <w:multiLevelType w:val="hybridMultilevel"/>
    <w:lvl w:ilvl="0">
      <w:lvlJc w:val="left"/>
      <w:lvlText w:val="(%1)"/>
      <w:numFmt w:val="lowerLetter"/>
      <w:start w:val="3"/>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1"/>
    </w:lvl>
    <w:lvl w:ilvl="1">
      <w:lvlJc w:val="left"/>
      <w:lvlText w:val="(%2)"/>
      <w:numFmt w:val="lowerRoman"/>
      <w:start w:val="1"/>
    </w:lvl>
  </w:abstractNum>
  <w:abstractNum w:abstractNumId="40">
    <w:nsid w:val="1CF10FD8"/>
    <w:multiLevelType w:val="hybridMultilevel"/>
    <w:lvl w:ilvl="0">
      <w:lvlJc w:val="left"/>
      <w:lvlText w:val="(%1)"/>
      <w:numFmt w:val="lowerLetter"/>
      <w:start w:val="6"/>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2"/>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1"/>
    </w:lvl>
    <w:lvl w:ilvl="1">
      <w:lvlJc w:val="left"/>
      <w:lvlText w:val="(%2)"/>
      <w:numFmt w:val="lowerRoman"/>
      <w:start w:val="1"/>
    </w:lvl>
  </w:abstractNum>
  <w:abstractNum w:abstractNumId="46">
    <w:nsid w:val="741226BB"/>
    <w:multiLevelType w:val="hybridMultilevel"/>
    <w:lvl w:ilvl="0">
      <w:lvlJc w:val="left"/>
      <w:lvlText w:val="(%1)"/>
      <w:numFmt w:val="lowerLetter"/>
      <w:start w:val="8"/>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13"/>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3"/>
    </w:lvl>
  </w:abstractNum>
  <w:abstractNum w:abstractNumId="51">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2">
    <w:nsid w:val="77AE35EB"/>
    <w:multiLevelType w:val="hybridMultilevel"/>
    <w:lvl w:ilvl="0">
      <w:lvlJc w:val="left"/>
      <w:lvlText w:val="(%1)"/>
      <w:numFmt w:val="lowerLetter"/>
      <w:start w:val="2"/>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2"/>
    </w:lvl>
  </w:abstractNum>
  <w:abstractNum w:abstractNumId="56">
    <w:nsid w:val="2F305DEF"/>
    <w:multiLevelType w:val="hybridMultilevel"/>
    <w:lvl w:ilvl="0">
      <w:lvlJc w:val="left"/>
      <w:lvlText w:val="(%1)"/>
      <w:numFmt w:val="lowerLetter"/>
      <w:start w:val="4"/>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1"/>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2"/>
    </w:lvl>
  </w:abstractNum>
  <w:abstractNum w:abstractNumId="63">
    <w:nsid w:val="100F8FCA"/>
    <w:multiLevelType w:val="hybridMultilevel"/>
    <w:lvl w:ilvl="0">
      <w:lvlJc w:val="left"/>
      <w:lvlText w:val="%1:"/>
      <w:numFmt w:val="upperLetter"/>
      <w:start w:val="15"/>
    </w:lvl>
  </w:abstractNum>
  <w:abstractNum w:abstractNumId="64">
    <w:nsid w:val="6590700B"/>
    <w:multiLevelType w:val="hybridMultilevel"/>
    <w:lvl w:ilvl="0">
      <w:lvlJc w:val="left"/>
      <w:lvlText w:val="%1:"/>
      <w:numFmt w:val="upperLetter"/>
      <w:start w:val="6"/>
    </w:lvl>
  </w:abstractNum>
  <w:abstractNum w:abstractNumId="65">
    <w:nsid w:val="15014ACB"/>
    <w:multiLevelType w:val="hybridMultilevel"/>
    <w:lvl w:ilvl="0">
      <w:lvlJc w:val="left"/>
      <w:lvlText w:val="(%1)"/>
      <w:numFmt w:val="lowerLetter"/>
      <w:start w:val="8"/>
    </w:lvl>
  </w:abstractNum>
  <w:abstractNum w:abstractNumId="66">
    <w:nsid w:val="5F5E7FD0"/>
    <w:multiLevelType w:val="hybridMultilevel"/>
    <w:lvl w:ilvl="0">
      <w:lvlJc w:val="left"/>
      <w:lvlText w:val="%1"/>
      <w:numFmt w:val="lowerRoman"/>
      <w:start w:val="1"/>
    </w:lvl>
    <w:lvl w:ilvl="1">
      <w:lvlJc w:val="left"/>
      <w:lvlText w:val="%2."/>
      <w:numFmt w:val="decimal"/>
      <w:start w:val="1"/>
    </w:lvl>
  </w:abstractNum>
  <w:abstractNum w:abstractNumId="67">
    <w:nsid w:val="98A3148"/>
    <w:multiLevelType w:val="hybridMultilevel"/>
    <w:lvl w:ilvl="0">
      <w:lvlJc w:val="left"/>
      <w:lvlText w:val="(%1)"/>
      <w:numFmt w:val="lowerRoman"/>
      <w:start w:val="2"/>
    </w:lvl>
    <w:lvl w:ilvl="1">
      <w:lvlJc w:val="left"/>
      <w:lvlText w:val="%2."/>
      <w:numFmt w:val="decimal"/>
      <w:start w:val="2"/>
    </w:lvl>
  </w:abstractNum>
  <w:abstractNum w:abstractNumId="68">
    <w:nsid w:val="799D0247"/>
    <w:multiLevelType w:val="hybridMultilevel"/>
    <w:lvl w:ilvl="0">
      <w:lvlJc w:val="left"/>
      <w:lvlText w:val="(%1)"/>
      <w:numFmt w:val="lowerRoman"/>
      <w:start w:val="1"/>
    </w:lvl>
    <w:lvl w:ilvl="1">
      <w:lvlJc w:val="left"/>
      <w:lvlText w:val="%2."/>
      <w:numFmt w:val="decimal"/>
      <w:start w:val="3"/>
    </w:lvl>
  </w:abstractNum>
  <w:abstractNum w:abstractNumId="69">
    <w:nsid w:val="6B94764"/>
    <w:multiLevelType w:val="hybridMultilevel"/>
    <w:lvl w:ilvl="0">
      <w:lvlJc w:val="left"/>
      <w:lvlText w:val="%1."/>
      <w:numFmt w:val="decimal"/>
      <w:start w:val="5"/>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bullet"/>
      <w:start w:val="1"/>
    </w:lvl>
  </w:abstractNum>
  <w:abstractNum w:abstractNumId="72">
    <w:nsid w:val="1EBA5D2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jpe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jpeg"/><Relationship Id="rId134" Type="http://schemas.openxmlformats.org/officeDocument/2006/relationships/image" Target="media/image109.png"/><Relationship Id="rId135" Type="http://schemas.openxmlformats.org/officeDocument/2006/relationships/image" Target="media/image110.jpeg"/><Relationship Id="rId136" Type="http://schemas.openxmlformats.org/officeDocument/2006/relationships/image" Target="media/image111.png"/><Relationship Id="rId137" Type="http://schemas.openxmlformats.org/officeDocument/2006/relationships/image" Target="media/image112.jpeg"/><Relationship Id="rId138" Type="http://schemas.openxmlformats.org/officeDocument/2006/relationships/image" Target="media/image113.png"/><Relationship Id="rId139" Type="http://schemas.openxmlformats.org/officeDocument/2006/relationships/image" Target="media/image114.jpeg"/><Relationship Id="rId140" Type="http://schemas.openxmlformats.org/officeDocument/2006/relationships/image" Target="media/image115.jpe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51" Type="http://schemas.openxmlformats.org/officeDocument/2006/relationships/hyperlink" Target="http://www.sec.gov/ix?doc=/Archives/edgar/data/1907108/000119312526132085/lxeo-20251231.htm" TargetMode="External"/><Relationship Id="rId52" Type="http://schemas.openxmlformats.org/officeDocument/2006/relationships/hyperlink" Target="http://www.sec.gov/Archives/edgar/data/1907108/000119312526193930/lxeo-def_14a-2026_proxy.htm" TargetMode="External"/><Relationship Id="rId53" Type="http://schemas.openxmlformats.org/officeDocument/2006/relationships/hyperlink" Target="http://www.sec.gov/ix?doc=/Archives/edgar/data/1907108/000119312526215678/lxeo-20260331.htm" TargetMode="External"/><Relationship Id="rId54" Type="http://schemas.openxmlformats.org/officeDocument/2006/relationships/hyperlink" Target="http://www.sec.gov/ix?doc=/Archives/edgar/data/1907108/000119312526345724/lxeo-20260630.htm" TargetMode="External"/><Relationship Id="rId55" Type="http://schemas.openxmlformats.org/officeDocument/2006/relationships/hyperlink" Target="http://www.sec.gov/ix?doc=/Archives/edgar/data/1907108/000119312526193927/lxeo-20260428.htm" TargetMode="External"/><Relationship Id="rId56" Type="http://schemas.openxmlformats.org/officeDocument/2006/relationships/hyperlink" Target="http://www.sec.gov/ix?doc=/Archives/edgar/data/1907108/000119312526215674/lxeo-20260511.htm" TargetMode="External"/><Relationship Id="rId57" Type="http://schemas.openxmlformats.org/officeDocument/2006/relationships/hyperlink" Target="http://www.sec.gov/ix?doc=/Archives/edgar/data/1907108/000119312526270275/lxeo-20260615.htm" TargetMode="External"/><Relationship Id="rId58" Type="http://schemas.openxmlformats.org/officeDocument/2006/relationships/hyperlink" Target="http://www.sec.gov/ix?doc=/Archives/edgar/data/1907108/000119312526288703/lxeo-20260625.htm" TargetMode="External"/><Relationship Id="rId59" Type="http://schemas.openxmlformats.org/officeDocument/2006/relationships/hyperlink" Target="http://www.sec.gov/ix?doc=/Archives/edgar/data/1907108/000119312526345722/lxeo-20260812.htm" TargetMode="External"/><Relationship Id="rId60" Type="http://schemas.openxmlformats.org/officeDocument/2006/relationships/hyperlink" Target="http://www.sec.gov/ix?doc=/Archives/edgar/data/1907108/000119312526397221/lxeo-20260916.htm" TargetMode="External"/><Relationship Id="rId61" Type="http://schemas.openxmlformats.org/officeDocument/2006/relationships/hyperlink" Target="http://www.sec.gov/ix?doc=/Archives/edgar/data/1907108/000119312526407555/lxeo-20260929.htm" TargetMode="External"/><Relationship Id="rId62" Type="http://schemas.openxmlformats.org/officeDocument/2006/relationships/hyperlink" Target="http://www.sec.gov/Archives/edgar/data/1907108/000119312523268168/d576224d8a12b.htm" TargetMode="External"/><Relationship Id="rId63" Type="http://schemas.openxmlformats.org/officeDocument/2006/relationships/hyperlink" Target="http://www.sec.gov/Archives/edgar/data/1907108/000095017024028941/lxeo-ex4_3.htm" TargetMode="External"/><Relationship Id="rId75" Type="http://schemas.openxmlformats.org/officeDocument/2006/relationships/hyperlink" Target="http://www.sec.gov/Archives/edgar/data/1907108/000119312526397221/lxeo-ex2_1.htm" TargetMode="External"/><Relationship Id="rId76" Type="http://schemas.openxmlformats.org/officeDocument/2006/relationships/hyperlink" Target="http://www.sec.gov/Archives/edgar/data/1907108/000119312523265646/d287237dex42.htm" TargetMode="External"/><Relationship Id="rId77" Type="http://schemas.openxmlformats.org/officeDocument/2006/relationships/hyperlink" Target="http://www.sec.gov/Archives/edgar/data/1907108/000095017025077377/lxeo-ex4_1.htm" TargetMode="External"/><Relationship Id="rId78" Type="http://schemas.openxmlformats.org/officeDocument/2006/relationships/hyperlink" Target="http://www.sec.gov/Archives/edgar/data/1907108/000119312525242652/d52644dex41.htm" TargetMode="External"/><Relationship Id="rId79" Type="http://schemas.openxmlformats.org/officeDocument/2006/relationships/hyperlink" Target="http://www.sec.gov/Archives/edgar/data/1907108/000095017025077377/lxeo-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2026-10-29T06:32:16Z</dcterms:created>
  <dcterms:modified xsi:type="dcterms:W3CDTF">2026-10-29T06:32:16Z</dcterms:modified>
</cp:coreProperties>
</file>