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82026_050901.xml.htm"/>
      <w:bookmarkStart w:id="1" w:name="ksform409282026_05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Townsend Richard Nolan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LEXEO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 SOUTH, FLOOR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Lexeo Therapeutics, Inc.</w:t>
              </w:r>
            </w:hyperlink>
            <w:r>
              <w:rPr/>
              <w:t xml:space="preserve"> [ </w:t>
            </w:r>
            <w:r>
              <w:rPr>
                <w:rFonts w:ascii="Times;serif" w:hAnsi="Times;serif"/>
                <w:color w:val="0000FF"/>
                <w:sz w:val="24"/>
                <w:shd w:fill="FFFFFF" w:val="clear"/>
              </w:rPr>
              <w:t>LXEO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575"/>
        <w:gridCol w:w="374"/>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2,306</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2.644</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376,778</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voluntarily reporting the acquisition of shares of the Issuer's common stock pursuant to the Lexeo Therapeutics, Inc. 2023 Employee Stock Purchase Plan. This transaction is exempt under both Rule 16b-3(c) and Rule 16b-3(d).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242,911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underlying the option vest and become exercisable on September 24, 2027, and 1/48th of the shares underlying the option shall vest in monthly installments thereafter, subject to the Reporting Person's continuous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Youjin Choi,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5218" TargetMode="External"/><Relationship Id="rId5" Type="http://schemas.openxmlformats.org/officeDocument/2006/relationships/hyperlink" Target="http://www.sec.gov/cgi-bin/browse-edgar?action=getcompany&amp;CIK=00019071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3660</Characters>
  <CharactersWithSpaces>4246</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