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xeo-20260929.htm"/>
      <w:bookmarkStart w:id="1" w:name="kslxeo2026092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924" w:type="dxa"/>
        <w:jc w:val="left"/>
        <w:tblInd w:w="0" w:type="dxa"/>
        <w:tblLayout w:type="fixed"/>
        <w:tblCellMar>
          <w:top w:w="28" w:type="dxa"/>
          <w:left w:w="28" w:type="dxa"/>
          <w:bottom w:w="28" w:type="dxa"/>
          <w:right w:w="28" w:type="dxa"/>
        </w:tblCellMar>
      </w:tblPr>
      <w:tblGrid>
        <w:gridCol w:w="5924"/>
      </w:tblGrid>
      <w:tr>
        <w:trPr/>
        <w:tc>
          <w:tcPr>
            <w:tcW w:w="5924" w:type="dxa"/>
            <w:tcBorders/>
            <w:vAlign w:val="center"/>
          </w:tcPr>
          <w:p>
            <w:pPr>
              <w:pStyle w:val="TableContents"/>
              <w:bidi w:val="0"/>
              <w:spacing w:before="0" w:after="283"/>
              <w:jc w:val="left"/>
              <w:rPr>
                <w:sz w:val="4"/>
                <w:szCs w:val="4"/>
              </w:rPr>
            </w:pPr>
            <w:r>
              <w:rPr>
                <w:sz w:val="4"/>
                <w:szCs w:val="4"/>
              </w:rPr>
            </w:r>
          </w:p>
        </w:tc>
      </w:tr>
      <w:tr>
        <w:trPr/>
        <w:tc>
          <w:tcPr>
            <w:tcW w:w="592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September 29,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Lexeo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001-41855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85-4012572</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345 Park Avenue South, Floor 6</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10010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547-9879</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LXEO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Introductory Note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September 29, 2026, Lexeo Therapeutics, Inc. (“</w:t>
      </w:r>
      <w:r>
        <w:rPr>
          <w:rFonts w:ascii="Times New Roman" w:hAnsi="Times New Roman"/>
          <w:color w:val="000000"/>
          <w:sz w:val="20"/>
          <w:u w:val="single"/>
        </w:rPr>
        <w:t>Lexeo</w:t>
      </w:r>
      <w:r>
        <w:rPr>
          <w:rFonts w:ascii="Times New Roman" w:hAnsi="Times New Roman"/>
          <w:color w:val="000000"/>
          <w:sz w:val="20"/>
        </w:rPr>
        <w:t>” or the “</w:t>
      </w:r>
      <w:r>
        <w:rPr>
          <w:rFonts w:ascii="Times New Roman" w:hAnsi="Times New Roman"/>
          <w:color w:val="000000"/>
          <w:sz w:val="20"/>
          <w:u w:val="single"/>
        </w:rPr>
        <w:t>Company</w:t>
      </w:r>
      <w:r>
        <w:rPr>
          <w:rFonts w:ascii="Times New Roman" w:hAnsi="Times New Roman"/>
          <w:color w:val="000000"/>
          <w:sz w:val="20"/>
        </w:rPr>
        <w:t>”) completed the previously announced acquisition of Mantle Therapeutics Inc. (“</w:t>
      </w:r>
      <w:r>
        <w:rPr>
          <w:rFonts w:ascii="Times New Roman" w:hAnsi="Times New Roman"/>
          <w:color w:val="000000"/>
          <w:sz w:val="20"/>
          <w:u w:val="single"/>
        </w:rPr>
        <w:t>Mantle</w:t>
      </w:r>
      <w:r>
        <w:rPr>
          <w:rFonts w:ascii="Times New Roman" w:hAnsi="Times New Roman"/>
          <w:color w:val="000000"/>
          <w:sz w:val="20"/>
        </w:rPr>
        <w:t>”), pursuant to the Agreement and Plan of Merger dated September 16, 2026 (the “</w:t>
      </w:r>
      <w:r>
        <w:rPr>
          <w:rFonts w:ascii="Times New Roman" w:hAnsi="Times New Roman"/>
          <w:color w:val="000000"/>
          <w:sz w:val="20"/>
          <w:u w:val="single"/>
        </w:rPr>
        <w:t>Merger Agreement</w:t>
      </w:r>
      <w:r>
        <w:rPr>
          <w:rFonts w:ascii="Times New Roman" w:hAnsi="Times New Roman"/>
          <w:color w:val="000000"/>
          <w:sz w:val="20"/>
        </w:rPr>
        <w:t>”) by and among the Company, Mantle and Magma Merger Sub Inc., a Delaware corporation and a wholly-owned subsidiary of the Company (“</w:t>
      </w:r>
      <w:r>
        <w:rPr>
          <w:rFonts w:ascii="Times New Roman" w:hAnsi="Times New Roman"/>
          <w:color w:val="000000"/>
          <w:sz w:val="20"/>
          <w:u w:val="single"/>
        </w:rPr>
        <w:t>Merger Sub</w:t>
      </w:r>
      <w:r>
        <w:rPr>
          <w:rFonts w:ascii="Times New Roman" w:hAnsi="Times New Roman"/>
          <w:color w:val="000000"/>
          <w:sz w:val="20"/>
        </w:rPr>
        <w:t>”), and Shareholder Representative Services LLC, a Colorado limited liability company, solely in its capacity as representative, agent and attorney in fact of the Sellers. Pursuant to the Merger Agreement, Merger Sub was merged with and into Mantle (the “</w:t>
      </w:r>
      <w:r>
        <w:rPr>
          <w:rFonts w:ascii="Times New Roman" w:hAnsi="Times New Roman"/>
          <w:color w:val="000000"/>
          <w:sz w:val="20"/>
          <w:u w:val="single"/>
        </w:rPr>
        <w:t>Merger</w:t>
      </w:r>
      <w:r>
        <w:rPr>
          <w:rFonts w:ascii="Times New Roman" w:hAnsi="Times New Roman"/>
          <w:color w:val="000000"/>
          <w:sz w:val="20"/>
        </w:rPr>
        <w:t xml:space="preserve">”), with Mantle continuing as the surviving corporation and wholly owned subsidiary of Lexeo.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descriptions of the Merger Agreement and the transactions contemplated thereby (including, without limitation, the Merger) in this Current Report on Form 8-K are only a summary, do not purport to be complete and are subject to, and qualified in their entirety by reference to, the full text of the Merger Agreement, a copy of which was filed as Exhibit 2.1 to the Company’s Current Report on Form 8-K filed with the Securities and Exchange Commission (the “</w:t>
      </w:r>
      <w:r>
        <w:rPr>
          <w:rFonts w:ascii="Times New Roman" w:hAnsi="Times New Roman"/>
          <w:color w:val="000000"/>
          <w:sz w:val="20"/>
          <w:u w:val="single"/>
        </w:rPr>
        <w:t>SEC</w:t>
      </w:r>
      <w:r>
        <w:rPr>
          <w:rFonts w:ascii="Times New Roman" w:hAnsi="Times New Roman"/>
          <w:color w:val="000000"/>
          <w:sz w:val="20"/>
        </w:rPr>
        <w:t>”) on September 22, 2026, which is incorporated herein by reference.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Item 2.01 Completion of Acquisition or Disposal of Assets.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At the effective time of the Merger (the “</w:t>
      </w:r>
      <w:r>
        <w:rPr>
          <w:rFonts w:ascii="Times New Roman" w:hAnsi="Times New Roman"/>
          <w:color w:val="000000"/>
          <w:sz w:val="20"/>
          <w:u w:val="single"/>
        </w:rPr>
        <w:t>Effective Time</w:t>
      </w:r>
      <w:r>
        <w:rPr>
          <w:rFonts w:ascii="Times New Roman" w:hAnsi="Times New Roman"/>
          <w:color w:val="000000"/>
          <w:sz w:val="20"/>
        </w:rPr>
        <w:t>”), each outstanding share of Mantle capital stock (other than shares held by Mantle as treasury shares, shares held by Lexeo or Merger Sub, and Dissenting Shares) was converted into the right to receive an aggregate upfront purchase price consisting of: (i) $5,300,000 in cash, subject to certain adjustments; and (ii) $3,000,000 in shares of Lexeo common stock, par value $0.0001 per share (the "</w:t>
      </w:r>
      <w:r>
        <w:rPr>
          <w:rFonts w:ascii="Times New Roman" w:hAnsi="Times New Roman"/>
          <w:color w:val="000000"/>
          <w:sz w:val="20"/>
          <w:u w:val="single"/>
        </w:rPr>
        <w:t>Common Stock</w:t>
      </w:r>
      <w:r>
        <w:rPr>
          <w:rFonts w:ascii="Times New Roman" w:hAnsi="Times New Roman"/>
          <w:color w:val="000000"/>
          <w:sz w:val="20"/>
        </w:rPr>
        <w:t>"). The Common Stock issued at the Effective Time is not being registered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or any state securities laws, and is issued in reliance on the exemption from registration provided by Section 4(a)(2) under the Securities Act and/or Regulation D promulgated thereunder for transactions not involving a public offering.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Immediately prior to the Effective Time, each outstanding share of Mantle restricted stock vested in full and was cancelled in exchange for the right to receive the same consideration as each share of Mantle capital stock above, subject to withholding. Immediately prior to the Effective Time, each outstanding simple agreement for future equity ("</w:t>
      </w:r>
      <w:r>
        <w:rPr>
          <w:rFonts w:ascii="Times New Roman" w:hAnsi="Times New Roman"/>
          <w:color w:val="000000"/>
          <w:sz w:val="20"/>
          <w:u w:val="single"/>
        </w:rPr>
        <w:t>SAFE</w:t>
      </w:r>
      <w:r>
        <w:rPr>
          <w:rFonts w:ascii="Times New Roman" w:hAnsi="Times New Roman"/>
          <w:color w:val="000000"/>
          <w:sz w:val="20"/>
        </w:rPr>
        <w:t xml:space="preserve">") of Mantle was cancelled in exchange for the applicable SAFE consideration, determined in accordance with the liquidity event provisions of each SAFE. Each outstanding convertible promissory note of Mantle was cancelled upon payment of the payoff amount determined under the Merger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consideration payable at closing, the Merger Agreement provides for the following contingent payments, none of which is guaranteed and each of which may never become payable:</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i/>
          <w:color w:val="000000"/>
          <w:sz w:val="20"/>
        </w:rPr>
        <w:t>Additional Cash Payment</w:t>
      </w:r>
      <w:r>
        <w:rPr>
          <w:rFonts w:ascii="Times New Roman" w:hAnsi="Times New Roman"/>
          <w:color w:val="000000"/>
          <w:sz w:val="20"/>
        </w:rPr>
        <w:t>. An additional one-time aggregate cash payment of $1,000,000, payable only upon the achievement of certain events.</w:t>
      </w:r>
    </w:p>
    <w:p>
      <w:pPr>
        <w:pStyle w:val="TextBody"/>
        <w:bidi w:val="0"/>
        <w:spacing w:before="0" w:after="0"/>
        <w:ind w:left="360" w:right="0" w:hanging="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Milestone Payments</w:t>
      </w:r>
      <w:r>
        <w:rPr>
          <w:rFonts w:ascii="Times New Roman" w:hAnsi="Times New Roman"/>
          <w:color w:val="000000"/>
          <w:sz w:val="20"/>
        </w:rPr>
        <w:t>. Up to an aggregate of $12,000,000 payable upon the achievement of specified development and regulatory milestones relating to Mantle’s product candidates, over a milestone term of 12 years. Certain of the milestone payments are payable in cash, and certain of the milestone payments are payable in shares of Common Stock valued using a thirty-day trailing volume-weighted average price based on the date of achievement such milestone.</w:t>
      </w:r>
    </w:p>
    <w:p>
      <w:pPr>
        <w:pStyle w:val="TextBody"/>
        <w:bidi w:val="0"/>
        <w:jc w:val="both"/>
        <w:rPr>
          <w:rFonts w:ascii="Times New Roman" w:hAnsi="Times New Roman"/>
          <w:color w:val="000000"/>
          <w:sz w:val="20"/>
        </w:rPr>
      </w:pPr>
      <w:r>
        <w:rPr>
          <w:rFonts w:ascii="Times New Roman" w:hAnsi="Times New Roman"/>
          <w:color w:val="000000"/>
          <w:sz w:val="20"/>
        </w:rPr>
        <w:t>Lexeo makes no guarantees that it will achieve any milestone, and the Merger Agreement does not require Lexeo to devote any particular level of resources to the development or commercialization of Mantle’s product candidates beyond the commercially reasonable efforts standard set forth in the Merger Agreement.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in Item 2.01 of this Current Report on Form 8-K regarding the issuance of shares of the Company’s Common Stock in connection with the Merger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shares of Common Stock issued in connection with the Merger were not registered under the Securities Act of 1933, or any applicable state securities laws and were issued in reliance on the exemption from registration provided by Section 4(a)(2) of the Securities Act and/or Regulation D promulgated thereunder.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report contains certain forward-looking statements regarding the business of Lexeo that are not a description of historical facts within the meaning of the Private Securities Litigation Reform Act of 1995. Forward-looking statements include statements regarding the achievement of any contingent consideration events by the Company under the Merger Agreement.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Lexeo believes these forward-looking statements are reasonable, undue reliance should not be placed on any such forward-looking statements. These forward-looking statements are based upon current information available to the company as well as certain estimates and assumptions and are subject to various risks and uncertainties (including, without limitation, those set forth in Lexeo’s filings with the U.S. Securities and Exchange Commission (SEC)), many of which are beyond the company’s control and subject to change. Actual results could be materially different from those indicated by such forward-looking statements as a result of many factors, including but not limited to: risks and uncertainties related to global macroeconomic conditions and related volatility; expectations regarding the initiation, progress, and expected results of Lexeo’s preclinical studies, clinical trials and research and development programs; the unpredictable relationship between preclinical study results and clinical study results; delays in submission of regulatory filings or failure to receive regulatory approval; liquidity and capital resources; and other risks and uncertainties identified in Lexeo’s Quarterly Report on Form 10-Q for the quarterly period ended June 30, 2026, filed with the SEC on August 12, 2026, and subsequent future filings Lexeo may make with the SEC. New risks and uncertainties may emerge from time to time, and it is not possible to predict all risks and uncertainties. Lexeo claims the protection of the Safe Harbor contained in the Private Securities Litigation Reform Act of 1995 for forward-looking statements. Lexeo expressly disclaims any obligation to update or alter any statements whether as a result of new information, future events or otherwise, except as required by law.</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 Exhibits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as of September 16, 2026 by and among Lexeo Therapeutics, Inc., Mantle Therapeutics Inc., Magma Merger Sub Inc., and Shareholder Representative Services LLC</w:t>
              </w:r>
            </w:hyperlink>
            <w:hyperlink r:id="rId3">
              <w:r>
                <w:rPr>
                  <w:rStyle w:val="InternetLink"/>
                  <w:rFonts w:ascii="Times New Roman" w:hAnsi="Times New Roman"/>
                  <w:color w:val="0000FF"/>
                  <w:sz w:val="20"/>
                </w:rPr>
                <w:t xml:space="preserve"> </w:t>
              </w:r>
            </w:hyperlink>
            <w:r>
              <w:rPr>
                <w:rFonts w:ascii="Times New Roman" w:hAnsi="Times New Roman"/>
                <w:color w:val="000000"/>
                <w:sz w:val="20"/>
              </w:rPr>
              <w:t>(incorporated by reference to Exhibit 2.1 to the Company's Current Report on Form 8-K filed September 22, 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exhibits, schedules, and annexes have been omitted pursuant to Item 601(a)(5) of Regulation S-K. Lexeo agrees to furnish supplementally a copy of any omitted exhibits, schedules, and annexes to the SEC upon its request.</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 have been omitted because the registrant has determined that the information is both not material and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559" w:type="dxa"/>
        <w:jc w:val="left"/>
        <w:tblInd w:w="0" w:type="dxa"/>
        <w:tblLayout w:type="fixed"/>
        <w:tblCellMar>
          <w:top w:w="28" w:type="dxa"/>
          <w:left w:w="28" w:type="dxa"/>
          <w:bottom w:w="28" w:type="dxa"/>
          <w:right w:w="28" w:type="dxa"/>
        </w:tblCellMar>
      </w:tblPr>
      <w:tblGrid>
        <w:gridCol w:w="556"/>
        <w:gridCol w:w="1726"/>
        <w:gridCol w:w="451"/>
        <w:gridCol w:w="382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Lexeo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8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 Nolan Townsend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14" w:after="187"/>
              <w:jc w:val="left"/>
              <w:rPr>
                <w:color w:val="000000"/>
              </w:rPr>
            </w:pPr>
            <w:r>
              <w:rPr>
                <w:color w:val="000000"/>
              </w:rPr>
              <w:t> </w:t>
            </w:r>
            <w:r>
              <w:rPr>
                <w:rFonts w:ascii="Times New Roman" w:hAnsi="Times New Roman"/>
                <w:color w:val="000000"/>
                <w:sz w:val="20"/>
              </w:rPr>
              <w:t>R. Nolan Townsend,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07108/000119312526397221/lxeo-ex2_1.htm" TargetMode="External"/><Relationship Id="rId3" Type="http://schemas.openxmlformats.org/officeDocument/2006/relationships/hyperlink" Target="https://www.sec.gov/Archives/edgar/data/1907108/000119312526397221/lxeo-ex2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1544</Words>
  <Characters>8738</Characters>
  <CharactersWithSpaces>10270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