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6,184,134.00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6,184,134.00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6,184,134.00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6,184,134.00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5,449,272.00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5,449,272.00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5,449,272.00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March 31,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74,086,737 shares of Common Stock outstanding as of March 31, 2026, as reported by the Issuer in its Form 10-Q filed with the SEC on May 11,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1460</Words>
  <Characters>7465</Characters>
  <CharactersWithSpaces>8856</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