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Lexeo Therapeutics,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$0.0001 par value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Affinity Asset Advisors,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6,674,913.00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6,674,913.00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6,674,913.00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 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Michael Cho</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6,674,913.00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6,674,913.00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6,674,913.00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8.4 %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 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51"/>
        <w:gridCol w:w="8899"/>
        <w:gridCol w:w="155"/>
      </w:tblGrid>
      <w:tr>
        <w:trPr/>
        <w:tc>
          <w:tcPr>
            <w:tcW w:w="1151" w:type="dxa"/>
            <w:tcBorders/>
            <w:vAlign w:val="center"/>
          </w:tcPr>
          <w:p>
            <w:pPr>
              <w:pStyle w:val="TableContents"/>
              <w:bidi w:val="0"/>
              <w:spacing w:before="0" w:after="283"/>
              <w:jc w:val="left"/>
              <w:rPr/>
            </w:pPr>
            <w:r>
              <w:rPr/>
              <w:t>Item 1.</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issuer: </w:t>
            </w:r>
          </w:p>
          <w:p>
            <w:pPr>
              <w:pStyle w:val="TableContents"/>
              <w:bidi w:val="0"/>
              <w:spacing w:before="0" w:after="0"/>
              <w:jc w:val="left"/>
              <w:rPr/>
            </w:pPr>
            <w:r>
              <w:rPr/>
              <w:t>Lexeo Therapeutics, Inc.</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345 Park Avenue South, Floor 6, New York, New York, 10010</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2.</w:t>
            </w:r>
          </w:p>
        </w:tc>
        <w:tc>
          <w:tcPr>
            <w:tcW w:w="889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Name of person filing: </w:t>
            </w:r>
          </w:p>
          <w:p>
            <w:pPr>
              <w:pStyle w:val="TableContents"/>
              <w:bidi w:val="0"/>
              <w:spacing w:before="0" w:after="0"/>
              <w:jc w:val="left"/>
              <w:rPr/>
            </w:pPr>
            <w:r>
              <w:rPr/>
              <w:t>Affinity Asset Advisors, LLC Michael Cho</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450 Park Avenue Suite 1403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jc w:val="left"/>
              <w:rPr/>
            </w:pPr>
            <w:r>
              <w:rPr/>
              <w:t xml:space="preserve">Citizenship: </w:t>
            </w:r>
          </w:p>
          <w:p>
            <w:pPr>
              <w:pStyle w:val="TableContents"/>
              <w:bidi w:val="0"/>
              <w:spacing w:before="0" w:after="0"/>
              <w:jc w:val="left"/>
              <w:rPr/>
            </w:pPr>
            <w:r>
              <w:rPr/>
              <w:t>Affinity Asset Advisors, LLC is a Delaware limited liability company, and Michael Cho is an individual and is a citizen of the United States.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$0.0001 par value per share</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3.</w:t>
            </w:r>
          </w:p>
        </w:tc>
        <w:tc>
          <w:tcPr>
            <w:tcW w:w="889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(d)</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(e)</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(f)</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(g)</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(h)</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(j)</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(k)</w:t>
            </w:r>
          </w:p>
        </w:tc>
        <w:tc>
          <w:tcPr>
            <w:tcW w:w="8899"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9054" w:type="dxa"/>
            <w:gridSpan w:val="2"/>
            <w:tcBorders/>
            <w:vAlign w:val="center"/>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4.</w:t>
            </w:r>
          </w:p>
        </w:tc>
        <w:tc>
          <w:tcPr>
            <w:tcW w:w="889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(a)</w:t>
            </w:r>
          </w:p>
        </w:tc>
        <w:tc>
          <w:tcPr>
            <w:tcW w:w="889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The securities reported herein are directly held by Affinity Healthcare Fund, LP (the "Fund"). Affinity Asset Advisors, LLC (the "Adviser") is the investment manager of the Fund and exercises voting and investment power over the securities held directly by the Fund reported herein pursuant to an investment management agreement between the Adviser, the Fund, and the general partner of the Fund. The Adviser may be deemed to beneficially own the securities reported herein held by the Fund by virtue of its position as investment manager of the Fund. Michael Cho, the managing member of the Adviser, may be deemed a beneficial owner of the securities reported herein held directly by the Fund. As of June 30, 2026, the Adviser and Mr. Cho (collectively, the "Reporting Persons") beneficially own 6,674,913 shares of common stock, $0.0001 par value per share ("Common Stock"), of Lexeo Therapeutics, Inc. (the "Issuer"), which amount includes 867,302 shares of Common Stock issuable upon the exercise of warrants to purchase shares of Common Stock ("Warrants") held directly by the Fund.</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(b)</w:t>
            </w:r>
          </w:p>
        </w:tc>
        <w:tc>
          <w:tcPr>
            <w:tcW w:w="889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As of June 30, 2026, the Reporting Persons beneficially own approximately 8.4% of the Common Stock outstanding. The percentages disclosed above are based on 78,521,634 shares of Common Stock of the Issuer outstanding as of May 7, 2026, as set forth in the Issuer's Form 10-Q filed with the Securities and Exchange Commission on May 11, 2026, plus 867,302 shares of Common Stock issuable upon the exercise of Warrants held by the Fund.  %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(c)</w:t>
            </w:r>
          </w:p>
        </w:tc>
        <w:tc>
          <w:tcPr>
            <w:tcW w:w="889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As of June 30, 2026, the Reporting Persons have sole power to vote or to direct the vote of 6,674,913 shares of Common Stock, which amount includes 867,302 shares of Common Stock issuable upon the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As of June 30, 2026, the Reporting Persons have shared power to vote or to direct the vote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As of June 30, 2026, the Reporting Persons have sole power to dispose or to direct the disposition of 6,674,913 shares of Common Stock, which amount includes 867,302 shares of Common Stock issuable upon the exercise of Warrants.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As of June 30, 2026, the Reporting Persons have shared power to dispose or to direct the disposition of 0 shares of Common Stock.</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5.</w:t>
            </w:r>
          </w:p>
        </w:tc>
        <w:tc>
          <w:tcPr>
            <w:tcW w:w="889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6.</w:t>
            </w:r>
          </w:p>
        </w:tc>
        <w:tc>
          <w:tcPr>
            <w:tcW w:w="889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7.</w:t>
            </w:r>
          </w:p>
        </w:tc>
        <w:tc>
          <w:tcPr>
            <w:tcW w:w="889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8.</w:t>
            </w:r>
          </w:p>
        </w:tc>
        <w:tc>
          <w:tcPr>
            <w:tcW w:w="889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Item 9.</w:t>
            </w:r>
          </w:p>
        </w:tc>
        <w:tc>
          <w:tcPr>
            <w:tcW w:w="889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51" w:type="dxa"/>
            <w:tcBorders/>
            <w:vAlign w:val="center"/>
          </w:tcPr>
          <w:p>
            <w:pPr>
              <w:pStyle w:val="TableContents"/>
              <w:bidi w:val="0"/>
              <w:spacing w:before="0" w:after="283"/>
              <w:jc w:val="left"/>
              <w:rPr/>
            </w:pPr>
            <w:r>
              <w:rPr/>
              <w:t> </w:t>
            </w:r>
          </w:p>
        </w:tc>
        <w:tc>
          <w:tcPr>
            <w:tcW w:w="889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260" w:type="dxa"/>
        <w:jc w:val="left"/>
        <w:tblInd w:w="0" w:type="dxa"/>
        <w:tblLayout w:type="fixed"/>
        <w:tblCellMar>
          <w:top w:w="28" w:type="dxa"/>
          <w:left w:w="28" w:type="dxa"/>
          <w:bottom w:w="28" w:type="dxa"/>
          <w:right w:w="28" w:type="dxa"/>
        </w:tblCellMar>
      </w:tblPr>
      <w:tblGrid>
        <w:gridCol w:w="3130"/>
        <w:gridCol w:w="3130"/>
      </w:tblGrid>
      <w:tr>
        <w:trPr/>
        <w:tc>
          <w:tcPr>
            <w:tcW w:w="3130" w:type="dxa"/>
            <w:tcBorders/>
            <w:vAlign w:val="center"/>
          </w:tcPr>
          <w:p>
            <w:pPr>
              <w:pStyle w:val="TableContents"/>
              <w:bidi w:val="0"/>
              <w:spacing w:before="0" w:after="0"/>
              <w:jc w:val="left"/>
              <w:rPr/>
            </w:pPr>
            <w:r>
              <w:rPr/>
              <w:t> </w:t>
            </w:r>
          </w:p>
          <w:tbl>
            <w:tblPr>
              <w:tblW w:w="3001" w:type="dxa"/>
              <w:jc w:val="left"/>
              <w:tblInd w:w="0" w:type="dxa"/>
              <w:tblLayout w:type="fixed"/>
              <w:tblCellMar>
                <w:top w:w="28" w:type="dxa"/>
                <w:left w:w="28" w:type="dxa"/>
                <w:bottom w:w="28" w:type="dxa"/>
                <w:right w:w="28" w:type="dxa"/>
              </w:tblCellMar>
            </w:tblPr>
            <w:tblGrid>
              <w:gridCol w:w="3001"/>
            </w:tblGrid>
            <w:tr>
              <w:trPr/>
              <w:tc>
                <w:tcPr>
                  <w:tcW w:w="3001" w:type="dxa"/>
                  <w:tcBorders/>
                  <w:vAlign w:val="center"/>
                </w:tcPr>
                <w:p>
                  <w:pPr>
                    <w:pStyle w:val="TableContents"/>
                    <w:bidi w:val="0"/>
                    <w:spacing w:before="0" w:after="0"/>
                    <w:jc w:val="left"/>
                    <w:rPr/>
                  </w:pPr>
                  <w:r>
                    <w:rPr/>
                    <w:t>Affinity Asset Advisors, LLC</w:t>
                  </w:r>
                </w:p>
              </w:tc>
            </w:tr>
          </w:tbl>
          <w:p>
            <w:pPr>
              <w:pStyle w:val="TableContents"/>
              <w:bidi w:val="0"/>
              <w:spacing w:before="0" w:after="283"/>
              <w:jc w:val="left"/>
              <w:rPr/>
            </w:pPr>
            <w:r>
              <w:rPr/>
            </w:r>
          </w:p>
        </w:tc>
        <w:tc>
          <w:tcPr>
            <w:tcW w:w="31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35"/>
        <w:gridCol w:w="4270"/>
      </w:tblGrid>
      <w:tr>
        <w:trPr/>
        <w:tc>
          <w:tcPr>
            <w:tcW w:w="5935"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4"/>
              <w:gridCol w:w="9051"/>
            </w:tblGrid>
            <w:tr>
              <w:trPr/>
              <w:tc>
                <w:tcPr>
                  <w:tcW w:w="1154" w:type="dxa"/>
                  <w:tcBorders/>
                  <w:vAlign w:val="center"/>
                </w:tcPr>
                <w:p>
                  <w:pPr>
                    <w:pStyle w:val="TableContents"/>
                    <w:bidi w:val="0"/>
                    <w:spacing w:before="0" w:after="283"/>
                    <w:jc w:val="left"/>
                    <w:rPr/>
                  </w:pPr>
                  <w:r>
                    <w:rPr/>
                    <w:t>Signature:</w:t>
                  </w:r>
                </w:p>
              </w:tc>
              <w:tc>
                <w:tcPr>
                  <w:tcW w:w="9051" w:type="dxa"/>
                  <w:tcBorders/>
                  <w:vAlign w:val="center"/>
                </w:tcPr>
                <w:p>
                  <w:pPr>
                    <w:pStyle w:val="TableContents"/>
                    <w:bidi w:val="0"/>
                    <w:spacing w:before="0" w:after="283"/>
                    <w:jc w:val="left"/>
                    <w:rPr/>
                  </w:pPr>
                  <w:r>
                    <w:rPr/>
                    <w:t>/s/ Andrew Weinstein</w:t>
                  </w:r>
                </w:p>
              </w:tc>
            </w:tr>
            <w:tr>
              <w:trPr/>
              <w:tc>
                <w:tcPr>
                  <w:tcW w:w="1154" w:type="dxa"/>
                  <w:tcBorders/>
                  <w:vAlign w:val="center"/>
                </w:tcPr>
                <w:p>
                  <w:pPr>
                    <w:pStyle w:val="TableContents"/>
                    <w:bidi w:val="0"/>
                    <w:spacing w:before="0" w:after="283"/>
                    <w:jc w:val="left"/>
                    <w:rPr/>
                  </w:pPr>
                  <w:r>
                    <w:rPr/>
                    <w:t>Name/Title:</w:t>
                  </w:r>
                </w:p>
              </w:tc>
              <w:tc>
                <w:tcPr>
                  <w:tcW w:w="9051" w:type="dxa"/>
                  <w:tcBorders/>
                  <w:vAlign w:val="center"/>
                </w:tcPr>
                <w:p>
                  <w:pPr>
                    <w:pStyle w:val="TableContents"/>
                    <w:bidi w:val="0"/>
                    <w:spacing w:before="0" w:after="283"/>
                    <w:jc w:val="left"/>
                    <w:rPr/>
                  </w:pPr>
                  <w:r>
                    <w:rPr/>
                    <w:t>Andrew Weinstein, Chief Financial Officer and Chief Compliance Officer</w:t>
                  </w:r>
                </w:p>
              </w:tc>
            </w:tr>
            <w:tr>
              <w:trPr/>
              <w:tc>
                <w:tcPr>
                  <w:tcW w:w="1154" w:type="dxa"/>
                  <w:tcBorders/>
                  <w:vAlign w:val="center"/>
                </w:tcPr>
                <w:p>
                  <w:pPr>
                    <w:pStyle w:val="TableContents"/>
                    <w:bidi w:val="0"/>
                    <w:spacing w:before="0" w:after="283"/>
                    <w:jc w:val="left"/>
                    <w:rPr/>
                  </w:pPr>
                  <w:r>
                    <w:rPr/>
                    <w:t>Date:</w:t>
                  </w:r>
                </w:p>
              </w:tc>
              <w:tc>
                <w:tcPr>
                  <w:tcW w:w="9051"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270"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Michael Cho</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788"/>
        <w:gridCol w:w="4417"/>
      </w:tblGrid>
      <w:tr>
        <w:trPr/>
        <w:tc>
          <w:tcPr>
            <w:tcW w:w="578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Michael Cho</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Michael Cho, Self</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08/13/2026</w:t>
                  </w:r>
                </w:p>
              </w:tc>
            </w:tr>
          </w:tbl>
          <w:p>
            <w:pPr>
              <w:pStyle w:val="TableContents"/>
              <w:bidi w:val="0"/>
              <w:spacing w:before="0" w:after="283"/>
              <w:jc w:val="left"/>
              <w:rPr/>
            </w:pPr>
            <w:r>
              <w:rPr/>
            </w:r>
          </w:p>
        </w:tc>
        <w:tc>
          <w:tcPr>
            <w:tcW w:w="441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1257</Words>
  <Characters>6422</Characters>
  <CharactersWithSpaces>7650</CharactersWithSpaces>
  <Paragraphs>207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