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92026_080630.xml.htm"/>
      <w:bookmarkStart w:id="1" w:name="ksform406292026_0806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CHOLMONDELEY PAULA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LEXEO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 SOUTH, FLOOR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Lexeo Therapeutics, Inc.</w:t>
              </w:r>
            </w:hyperlink>
            <w:r>
              <w:rPr/>
              <w:t xml:space="preserve"> [ </w:t>
            </w:r>
            <w:r>
              <w:rPr>
                <w:rFonts w:ascii="Times;serif" w:hAnsi="Times;serif"/>
                <w:color w:val="0000FF"/>
                <w:sz w:val="24"/>
                <w:shd w:fill="FFFFFF" w:val="clear"/>
              </w:rPr>
              <w:t>LXEO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100% of the shares underlying the option shall vest, and become exercisable, on the earlier of one year following the grant date or the next annual meeting of stockholders, subject to the Reporting Person's continuous service on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Youjin Choi,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3675" TargetMode="External"/><Relationship Id="rId5" Type="http://schemas.openxmlformats.org/officeDocument/2006/relationships/hyperlink" Target="http://www.sec.gov/cgi-bin/browse-edgar?action=getcompany&amp;CIK=00019071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3311</Characters>
  <CharactersWithSpaces>3861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