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Lexeo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28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001-41855</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85-4012572</w:t>
            </w:r>
          </w:p>
        </w:tc>
      </w:tr>
      <w:tr>
        <w:trPr>
          <w:trHeight w:val="149"/>
        </w:trPr>
        <w:tc>
          <w:tcPr>
            <w:tcW w:w="288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6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88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6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880" w:type="dxa"/>
            <w:vAlign w:val="bottom"/>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345 Park Avenue South, Floor 6</w:t>
            </w:r>
          </w:p>
        </w:tc>
        <w:tc>
          <w:tcPr>
            <w:tcW w:w="27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880" w:type="dxa"/>
            <w:vAlign w:val="bottom"/>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276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288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6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212 547-9879</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LXEO</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jc w:val="both"/>
        <w:ind w:left="660" w:right="820"/>
        <w:spacing w:after="0" w:line="268" w:lineRule="auto"/>
        <w:rPr>
          <w:sz w:val="20"/>
          <w:szCs w:val="20"/>
          <w:color w:val="auto"/>
        </w:rPr>
      </w:pPr>
      <w:r>
        <w:rPr>
          <w:rFonts w:ascii="Times New Roman" w:cs="Times New Roman" w:eastAsia="Times New Roman" w:hAnsi="Times New Roman"/>
          <w:sz w:val="18"/>
          <w:szCs w:val="18"/>
          <w:color w:val="auto"/>
        </w:rPr>
        <w:t>On May 12, 2025, Lexeo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business highlights and its financial results for the three months ended March 31, 2025. A copy of this press release is furnished herewith as Exhibit 99.1 to this Current Report and is incorporated herein by reference.</w:t>
      </w:r>
    </w:p>
    <w:p>
      <w:pPr>
        <w:spacing w:after="0" w:line="175" w:lineRule="exact"/>
        <w:rPr>
          <w:sz w:val="20"/>
          <w:szCs w:val="20"/>
          <w:color w:val="auto"/>
        </w:rPr>
      </w:pPr>
    </w:p>
    <w:p>
      <w:pPr>
        <w:ind w:left="660" w:right="7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of the Company’s filings under the Securities Act of 1933, as amended, or the Exchange Act, whether made before or after the date hereof, except as expressly set forth by specific reference in such a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6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r>
      <w:tr>
        <w:trPr>
          <w:trHeight w:val="169"/>
        </w:trPr>
        <w:tc>
          <w:tcPr>
            <w:tcW w:w="660" w:type="dxa"/>
            <w:vAlign w:val="bottom"/>
          </w:tcPr>
          <w:p>
            <w:pPr>
              <w:spacing w:after="0"/>
              <w:rPr>
                <w:sz w:val="14"/>
                <w:szCs w:val="14"/>
                <w:color w:val="auto"/>
              </w:rPr>
            </w:pPr>
          </w:p>
        </w:tc>
        <w:tc>
          <w:tcPr>
            <w:tcW w:w="7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4"/>
                <w:szCs w:val="14"/>
                <w:color w:val="auto"/>
              </w:rPr>
            </w:pPr>
          </w:p>
        </w:tc>
        <w:tc>
          <w:tcPr>
            <w:tcW w:w="9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Press Release</w:t>
            </w:r>
          </w:p>
        </w:tc>
        <w:tc>
          <w:tcPr>
            <w:tcW w:w="20" w:type="dxa"/>
            <w:vAlign w:val="bottom"/>
            <w:tcBorders>
              <w:bottom w:val="single" w:sz="8" w:color="0000EE"/>
            </w:tcBorders>
          </w:tcPr>
          <w:p>
            <w:pPr>
              <w:spacing w:after="0"/>
              <w:rPr>
                <w:sz w:val="14"/>
                <w:szCs w:val="14"/>
                <w:color w:val="auto"/>
              </w:rPr>
            </w:pPr>
          </w:p>
        </w:tc>
        <w:tc>
          <w:tcPr>
            <w:tcW w:w="7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7"/>
        </w:trPr>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Lexeo Therapeutics,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May 12, 2025</w:t>
      </w:r>
      <w:r>
        <w:rPr>
          <w:sz w:val="20"/>
          <w:szCs w:val="20"/>
          <w:color w:val="auto"/>
        </w:rPr>
        <w:tab/>
      </w:r>
      <w:r>
        <w:rPr>
          <w:rFonts w:ascii="Times New Roman" w:cs="Times New Roman" w:eastAsia="Times New Roman" w:hAnsi="Times New Roman"/>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 Nolan Townsend,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724535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19685</wp:posOffset>
            </wp:positionV>
            <wp:extent cx="124269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26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Lexeo Therapeutics Reports First Quarter 2025 Financial Results and Operational Highlights</w:t>
      </w:r>
    </w:p>
    <w:p>
      <w:pPr>
        <w:spacing w:after="0" w:line="1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Announced positive interim data for LX2006 from Phase 1/2 studies in Friederich ataxia (FA) cardiomyopathy; frataxin expression</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and LVMI improvement exceeded co-primary target thresholds for planned registrational study</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LX2006 registrational study expected to begin by early 2026; commencing enrollment in prospective natural history study, CLARITY-</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FA, in Q2 2025 to serve as concurrent external control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1/2 clinical trial of LX2020 (HEROIC-PKP2) currently enrolling patients in Cohort 3; interim clinical data update on track for</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second half of 2025</w:t>
      </w:r>
    </w:p>
    <w:p>
      <w:pPr>
        <w:spacing w:after="0" w:line="1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Redeployed $20 million to focus on clinical-stage programs; cash, cash equivalents and investments of $106.9 million expected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provide operational runway into 2027</w:t>
      </w:r>
    </w:p>
    <w:p>
      <w:pPr>
        <w:spacing w:after="0" w:line="13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 May 12, 2025 (GLOBE NEWSWIRE) – Lexeo Therapeutics, Inc. (Nasdaq: LXEO), a clinical stage genetic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dedicated to pioneering novel treatments for cardiovascular diseases, today provided business updates across its portfolio and reported first quarter 2025 financial results.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the highly encouraging clinical data shared to date, we believe LX2006 could be transformational and establish a new standard of care in FA cardiomyopathy,” said R. Nolan Townsend, Chief Executive Officer of Lexeo Therapeutics. “We look forward to beginning enrollment in the CLARITY-FA natural history study imminently and moving as quickly as possible to initiate a registrational study for LX2006 by early 2026. We were also proud to share the promising, early data for LX2020 for the treatment of PKP2-associated arrhythmogenic cardiomyopathy and we look forward to sharing additional clinical updates later in 2025 for this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Program Updates</w:t>
      </w:r>
    </w:p>
    <w:p>
      <w:pPr>
        <w:spacing w:after="0" w:line="31" w:lineRule="exact"/>
        <w:rPr>
          <w:sz w:val="20"/>
          <w:szCs w:val="20"/>
          <w:color w:val="auto"/>
        </w:rPr>
      </w:pPr>
    </w:p>
    <w:p>
      <w:pPr>
        <w:jc w:val="both"/>
        <w:ind w:left="660" w:right="380" w:hanging="33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LX2006 for the Treatment of FA Cardiomyopathy: </w:t>
      </w:r>
      <w:r>
        <w:rPr>
          <w:rFonts w:ascii="Times New Roman" w:cs="Times New Roman" w:eastAsia="Times New Roman" w:hAnsi="Times New Roman"/>
          <w:sz w:val="18"/>
          <w:szCs w:val="18"/>
          <w:color w:val="auto"/>
        </w:rPr>
        <w:t>In April 2025, Lexeo announced positive interim data of LX2006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both the Lexeo-sponsored SUNRISE-FA Phase 1/2 clinical trial (</w:t>
      </w:r>
      <w:r>
        <w:rPr>
          <w:rFonts w:ascii="Times New Roman" w:cs="Times New Roman" w:eastAsia="Times New Roman" w:hAnsi="Times New Roman"/>
          <w:sz w:val="18"/>
          <w:szCs w:val="18"/>
          <w:color w:val="467886"/>
        </w:rPr>
        <w:t>NCT05445323</w:t>
      </w:r>
      <w:r>
        <w:rPr>
          <w:rFonts w:ascii="Times New Roman" w:cs="Times New Roman" w:eastAsia="Times New Roman" w:hAnsi="Times New Roman"/>
          <w:sz w:val="18"/>
          <w:szCs w:val="18"/>
          <w:color w:val="auto"/>
        </w:rPr>
        <w:t>) and the Weill Cornell Medicine investigator-initiated Phase 1A trial (</w:t>
      </w:r>
      <w:r>
        <w:rPr>
          <w:rFonts w:ascii="Times New Roman" w:cs="Times New Roman" w:eastAsia="Times New Roman" w:hAnsi="Times New Roman"/>
          <w:sz w:val="18"/>
          <w:szCs w:val="18"/>
          <w:color w:val="467886"/>
        </w:rPr>
        <w:t>NCT05302271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right="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Efficacy:</w:t>
      </w:r>
      <w:r>
        <w:rPr>
          <w:rFonts w:ascii="Times New Roman" w:cs="Times New Roman" w:eastAsia="Times New Roman" w:hAnsi="Times New Roman"/>
          <w:sz w:val="18"/>
          <w:szCs w:val="18"/>
          <w:color w:val="auto"/>
        </w:rPr>
        <w:t xml:space="preserve"> Clinically meaningful improvements were observed across cardiac biomarkers and functional measures in the majority of participants across both studies. Participants with abnormal left ventricular mass index (LVMI) at baseline achieved 25% mean reduction in LVMI by 12 months or sooner, exceeding the 10% target reduction in LVMI by 12 months aligned with the U.S. Food and Drug Administration (FDA) for the planned registrational study.</w:t>
      </w:r>
    </w:p>
    <w:p>
      <w:pPr>
        <w:spacing w:after="0" w:line="1" w:lineRule="exact"/>
        <w:rPr>
          <w:rFonts w:ascii="Times New Roman" w:cs="Times New Roman" w:eastAsia="Times New Roman" w:hAnsi="Times New Roman"/>
          <w:sz w:val="18"/>
          <w:szCs w:val="18"/>
          <w:color w:val="auto"/>
        </w:rPr>
      </w:pPr>
    </w:p>
    <w:p>
      <w:pPr>
        <w:ind w:left="1300" w:right="18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Protein Expression</w:t>
      </w:r>
      <w:r>
        <w:rPr>
          <w:rFonts w:ascii="Times New Roman" w:cs="Times New Roman" w:eastAsia="Times New Roman" w:hAnsi="Times New Roman"/>
          <w:sz w:val="18"/>
          <w:szCs w:val="18"/>
          <w:color w:val="auto"/>
        </w:rPr>
        <w:t>: Increases in cardiac frataxin expression were observed in all SUNRISE-FA participants at 3-months post treatment, with an average increase of 115% over baseline observed in the high-dose cohort.</w:t>
      </w:r>
    </w:p>
    <w:p>
      <w:pPr>
        <w:ind w:left="1300" w:right="3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Safety:</w:t>
      </w:r>
      <w:r>
        <w:rPr>
          <w:rFonts w:ascii="Times New Roman" w:cs="Times New Roman" w:eastAsia="Times New Roman" w:hAnsi="Times New Roman"/>
          <w:sz w:val="18"/>
          <w:szCs w:val="18"/>
          <w:color w:val="auto"/>
        </w:rPr>
        <w:t xml:space="preserve"> LX2006 continues to be generally well tolerated with no new treatment-related serious adverse events to report.</w:t>
      </w:r>
    </w:p>
    <w:p>
      <w:pPr>
        <w:ind w:left="1300" w:right="1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Regulatory Plans:</w:t>
      </w:r>
      <w:r>
        <w:rPr>
          <w:rFonts w:ascii="Times New Roman" w:cs="Times New Roman" w:eastAsia="Times New Roman" w:hAnsi="Times New Roman"/>
          <w:sz w:val="18"/>
          <w:szCs w:val="18"/>
          <w:color w:val="auto"/>
        </w:rPr>
        <w:t xml:space="preserve"> Lexeo expects final alignment with FDA on the LX2006 planned pivotal study protocol and statistical analysis plan in 2025. Lexeo previously aligned with FDA on co-primary endpoints for the study and measurement thresholds: greater than 10% reduction in LVMI as measured by cardiac MRI, and any increase from baseline cardiac frataxin expression as measured by liquid chromatography mass spectrometry (LCMS).</w:t>
      </w:r>
    </w:p>
    <w:p>
      <w:pPr>
        <w:spacing w:after="0" w:line="1" w:lineRule="exact"/>
        <w:rPr>
          <w:rFonts w:ascii="Times New Roman" w:cs="Times New Roman" w:eastAsia="Times New Roman" w:hAnsi="Times New Roman"/>
          <w:sz w:val="18"/>
          <w:szCs w:val="18"/>
          <w:color w:val="auto"/>
        </w:rPr>
      </w:pPr>
    </w:p>
    <w:p>
      <w:pPr>
        <w:ind w:left="1300" w:right="2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Next Steps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Q2 2025, Lexeo expects to begin enrollment in a prospective natural history study serving as a concurrent external control arm for the registrational study. The Company expects to initiate a registrational study by early 2026 with a potential efficacy readout in 2027</w:t>
      </w:r>
    </w:p>
    <w:p>
      <w:pPr>
        <w:spacing w:after="0" w:line="1" w:lineRule="exact"/>
        <w:rPr>
          <w:rFonts w:ascii="Times New Roman" w:cs="Times New Roman" w:eastAsia="Times New Roman" w:hAnsi="Times New Roman"/>
          <w:sz w:val="18"/>
          <w:szCs w:val="18"/>
          <w:color w:val="auto"/>
        </w:rPr>
      </w:pPr>
    </w:p>
    <w:p>
      <w:pPr>
        <w:ind w:left="660" w:right="220" w:hanging="33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LX2020 for the Treatment of PKP2-ACM: </w:t>
      </w:r>
      <w:r>
        <w:rPr>
          <w:rFonts w:ascii="Times New Roman" w:cs="Times New Roman" w:eastAsia="Times New Roman" w:hAnsi="Times New Roman"/>
          <w:sz w:val="18"/>
          <w:szCs w:val="18"/>
          <w:color w:val="auto"/>
        </w:rPr>
        <w:t>In March 2025, Lexeo shared positive interim data of LX2020 from the low-dose cohort in the HEROIC-PKP2 Phase 1/2 clinical trial.</w:t>
      </w: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Cohort 1 Interim Update:</w:t>
      </w:r>
      <w:r>
        <w:rPr>
          <w:rFonts w:ascii="Times New Roman" w:cs="Times New Roman" w:eastAsia="Times New Roman" w:hAnsi="Times New Roman"/>
          <w:sz w:val="18"/>
          <w:szCs w:val="18"/>
          <w:color w:val="auto"/>
        </w:rPr>
        <w:t xml:space="preserve"> At 3-months post-treatment, cardiac biopsies from two participants in cohort 1 showed 71% and 115% increases, respectively, in PKP2 protein expression from baseline; the third cohort 1 participant elected not to undergo a post-treatment biopsy. The first participant evaluated 6-months post treatment experienced a 67% reduction in premature ventricular contractions (PVCs) from baseline.</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Safety:</w:t>
      </w:r>
      <w:r>
        <w:rPr>
          <w:rFonts w:ascii="Times New Roman" w:cs="Times New Roman" w:eastAsia="Times New Roman" w:hAnsi="Times New Roman"/>
          <w:sz w:val="18"/>
          <w:szCs w:val="18"/>
          <w:color w:val="auto"/>
        </w:rPr>
        <w:t xml:space="preserve"> LX2020 has been generally well tolerated with no treatment-related serious adverse events to date across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both dose cohorts.</w:t>
      </w:r>
    </w:p>
    <w:p>
      <w:pPr>
        <w:spacing w:after="0" w:line="9" w:lineRule="exact"/>
        <w:rPr>
          <w:sz w:val="20"/>
          <w:szCs w:val="20"/>
          <w:color w:val="auto"/>
        </w:rPr>
      </w:pPr>
    </w:p>
    <w:p>
      <w:pPr>
        <w:ind w:left="1300" w:right="380" w:hanging="32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Next Steps</w:t>
      </w:r>
      <w:r>
        <w:rPr>
          <w:rFonts w:ascii="Times New Roman" w:cs="Times New Roman" w:eastAsia="Times New Roman" w:hAnsi="Times New Roman"/>
          <w:sz w:val="18"/>
          <w:szCs w:val="18"/>
          <w:color w:val="auto"/>
        </w:rPr>
        <w:t>: Currently enrolling cohort 3 of LX2020 HEROIC-PKP2 (n=4), with an interim clinical data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in the second half of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ind w:left="660" w:hanging="332"/>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Redeployment and Cash Runway</w:t>
      </w:r>
      <w:r>
        <w:rPr>
          <w:rFonts w:ascii="Times New Roman" w:cs="Times New Roman" w:eastAsia="Times New Roman" w:hAnsi="Times New Roman"/>
          <w:sz w:val="18"/>
          <w:szCs w:val="18"/>
          <w:color w:val="auto"/>
        </w:rPr>
        <w:t>: In April 2025, Lexeo identified approximately $20 million in capital to redeploy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towards the Company’s lead cardiac programs, LX2006 and LX2020. This capital was redeployed from preclinical and non-cardiac pipeline activities and included a limited reduction in force impacting approximately 15% of employees. The updated capital structure is expected to enable the Company to execute against key milestones for its clinical-stage pipeline, accelerate work to initiate a registrational study for LX2006 by early 2026, and maintain operational runway into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31" w:lineRule="exact"/>
        <w:rPr>
          <w:sz w:val="20"/>
          <w:szCs w:val="20"/>
          <w:color w:val="auto"/>
        </w:rPr>
      </w:pPr>
    </w:p>
    <w:p>
      <w:pPr>
        <w:ind w:left="520" w:right="40" w:hanging="257"/>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2025, cash, cash equivalents, and investments were $106.9 million, which Lexeo believes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sufficient to fund operations into 2027.</w:t>
      </w:r>
    </w:p>
    <w:p>
      <w:pPr>
        <w:ind w:left="520" w:right="180" w:hanging="257"/>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$17.2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compared to $15.7 million for the three months ended March 31, 2024.</w:t>
      </w:r>
    </w:p>
    <w:p>
      <w:pPr>
        <w:ind w:left="520" w:right="100" w:hanging="257"/>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$16.6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compared to $7.5 million for the three months ended March 31, 2024.</w:t>
      </w:r>
    </w:p>
    <w:p>
      <w:pPr>
        <w:ind w:left="520" w:right="560" w:hanging="257"/>
        <w:spacing w:after="0" w:line="26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$32.7 million or $0.99 per share (basic and diluted) for the three months ended March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$21.7 million or $0.77 per share (basic and diluted) for the three months ended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Lexeo Therapeutics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Lexeo Therapeutics is a New York City-based, clinical stage genetic medicine company dedicated to reshaping heart health by applying pioneering science to fundamentally change how cardiovascular diseases are treated. The Company is advancing a portfolio of therapeutic candidates that take aim at the underlying genetic causes of conditions, including LX2006 for the treatment of Friedreich ataxia (FA) cardiomyopathy, LX2020 for the treatment of plakophilin-2 (PKP2) arrhythmogenic cardiomyopathy, and other devastating diseases with high unmet need.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federal securities laws, including, but not limited to, Lexeo’s expectations and plans regarding its current product candidates and programs and the timing for receipt and announcement of data from its clinical trials, the timing and likelihood of potential regulatory developments and approval, expectations regarding the time period over which Lexeo’s capital resources will be sufficient to fund its anticipated operations and estimates regarding Lexeo’s financial condition.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risks and uncertainties related to global macroeconomic conditions and related volatility;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Lexeo’s Annual Report on Form 10-K for the annual period ended December 31, 2024, filed with the SEC on March 24, 2025,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Response: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Media@lexeotx.com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Response: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Tanzi,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ctanzi@kendallir.com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gridSpan w:val="2"/>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17,171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16,634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(23,291)</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and expense</w:t>
            </w:r>
          </w:p>
        </w:tc>
        <w:tc>
          <w:tcPr>
            <w:tcW w:w="90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and expense</w:t>
            </w:r>
          </w:p>
        </w:tc>
        <w:tc>
          <w:tcPr>
            <w:tcW w:w="9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(21,682)</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(21,682)</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20" w:type="dxa"/>
            <w:vAlign w:val="bottom"/>
            <w:gridSpan w:val="3"/>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660" w:type="dxa"/>
            <w:vAlign w:val="bottom"/>
          </w:tcPr>
          <w:p>
            <w:pPr>
              <w:spacing w:after="0"/>
              <w:rPr>
                <w:sz w:val="17"/>
                <w:szCs w:val="17"/>
                <w:color w:val="auto"/>
              </w:rPr>
            </w:pPr>
          </w:p>
        </w:tc>
      </w:tr>
      <w:tr>
        <w:trPr>
          <w:trHeight w:val="198"/>
        </w:trPr>
        <w:tc>
          <w:tcPr>
            <w:tcW w:w="660" w:type="dxa"/>
            <w:vAlign w:val="bottom"/>
          </w:tcPr>
          <w:p>
            <w:pPr>
              <w:spacing w:after="0"/>
              <w:rPr>
                <w:sz w:val="17"/>
                <w:szCs w:val="17"/>
                <w:color w:val="auto"/>
              </w:rPr>
            </w:pPr>
          </w:p>
        </w:tc>
        <w:tc>
          <w:tcPr>
            <w:tcW w:w="64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used in computation of net loss per</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basic and diluted</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33,113,991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27,979,838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40"/>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gridSpan w:val="2"/>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140" w:type="dxa"/>
            <w:vAlign w:val="bottom"/>
            <w:gridSpan w:val="2"/>
          </w:tcPr>
          <w:p>
            <w:pPr>
              <w:jc w:val="center"/>
              <w:ind w:left="17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Borders>
              <w:top w:val="single" w:sz="8" w:color="auto"/>
            </w:tcBorders>
            <w:gridSpan w:val="2"/>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1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106,866</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37,575</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-3882390</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-3882390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-3590925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-3590925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-2750820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-2750820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-2468245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-2468245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2025-05-12T06:13:14Z</dcterms:created>
  <dcterms:modified xsi:type="dcterms:W3CDTF">2025-05-12T06:13:14Z</dcterms:modified>
</cp:coreProperties>
</file>