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50906.xml.htm"/>
      <w:bookmarkStart w:id="1" w:name="ksform409282026_0509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Bhalla Narinder Pal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LEXEO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 SOUTH,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Lexeo Therapeutics, Inc.</w:t>
              </w:r>
            </w:hyperlink>
            <w:r>
              <w:rPr/>
              <w:t xml:space="preserve"> [ </w:t>
            </w:r>
            <w:r>
              <w:rPr>
                <w:rFonts w:ascii="Times;serif" w:hAnsi="Times;serif"/>
                <w:color w:val="0000FF"/>
                <w:sz w:val="24"/>
                <w:shd w:fill="FFFFFF" w:val="clear"/>
              </w:rPr>
              <w:t>LXEO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575"/>
        <w:gridCol w:w="374"/>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2,714</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84,908</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common stock pursuant to the Lexeo Therapeutics, Inc. 2023 Employee Stock Purchase Plan. This transaction is exempt under both Rule 16b-3(c) and Rule 16b-3(d).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49,500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underlying the option vest and become exercisable on September 24, 2027, and 1/48th of the shares underlying the option shall vest in monthly installments thereafter, subject to the Reporting Person's continuous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Youjin Choi,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9299" TargetMode="External"/><Relationship Id="rId5" Type="http://schemas.openxmlformats.org/officeDocument/2006/relationships/hyperlink" Target="http://www.sec.gov/cgi-bin/browse-edgar?action=getcompany&amp;CIK=0001907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3652</Characters>
  <CharactersWithSpaces>4238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