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October 30, 2023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333-274777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Amendment No. 1</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to</w:t>
      </w:r>
    </w:p>
    <w:p>
      <w:pPr>
        <w:jc w:val="center"/>
        <w:ind w:right="-119"/>
        <w:spacing w:after="0"/>
        <w:rPr>
          <w:sz w:val="20"/>
          <w:szCs w:val="20"/>
          <w:color w:val="auto"/>
        </w:rPr>
      </w:pPr>
      <w:r>
        <w:rPr>
          <w:rFonts w:ascii="Arial" w:cs="Arial" w:eastAsia="Arial" w:hAnsi="Arial"/>
          <w:sz w:val="27"/>
          <w:szCs w:val="27"/>
          <w:b w:val="1"/>
          <w:bCs w:val="1"/>
          <w:color w:val="auto"/>
        </w:rPr>
        <w:t>FORM S-1</w:t>
      </w:r>
    </w:p>
    <w:p>
      <w:pPr>
        <w:jc w:val="center"/>
        <w:ind w:right="-119"/>
        <w:spacing w:after="0"/>
        <w:rPr>
          <w:sz w:val="20"/>
          <w:szCs w:val="20"/>
          <w:color w:val="auto"/>
        </w:rPr>
      </w:pPr>
      <w:r>
        <w:rPr>
          <w:rFonts w:ascii="Arial" w:cs="Arial" w:eastAsia="Arial" w:hAnsi="Arial"/>
          <w:sz w:val="27"/>
          <w:szCs w:val="27"/>
          <w:b w:val="1"/>
          <w:bCs w:val="1"/>
          <w:color w:val="auto"/>
        </w:rPr>
        <w:t>REGISTRATION STATEMENT</w:t>
      </w:r>
    </w:p>
    <w:p>
      <w:pPr>
        <w:jc w:val="center"/>
        <w:ind w:right="-119"/>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Lexeo Therapeutics,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5"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Delaware</w:t>
            </w:r>
          </w:p>
        </w:tc>
        <w:tc>
          <w:tcPr>
            <w:tcW w:w="38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2836</w:t>
            </w:r>
          </w:p>
        </w:tc>
        <w:tc>
          <w:tcPr>
            <w:tcW w:w="2160" w:type="dxa"/>
            <w:vAlign w:val="bottom"/>
          </w:tcPr>
          <w:p>
            <w:pPr>
              <w:jc w:val="center"/>
              <w:ind w:left="1114"/>
              <w:spacing w:after="0"/>
              <w:rPr>
                <w:sz w:val="20"/>
                <w:szCs w:val="20"/>
                <w:color w:val="auto"/>
              </w:rPr>
            </w:pPr>
            <w:r>
              <w:rPr>
                <w:rFonts w:ascii="Arial" w:cs="Arial" w:eastAsia="Arial" w:hAnsi="Arial"/>
                <w:sz w:val="14"/>
                <w:szCs w:val="14"/>
                <w:b w:val="1"/>
                <w:bCs w:val="1"/>
                <w:color w:val="auto"/>
                <w:w w:val="93"/>
              </w:rPr>
              <w:t>85-4012572</w:t>
            </w:r>
          </w:p>
        </w:tc>
      </w:tr>
      <w:tr>
        <w:trPr>
          <w:trHeight w:val="135"/>
        </w:trPr>
        <w:tc>
          <w:tcPr>
            <w:tcW w:w="272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8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82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Classification Code Number)</w:t>
            </w:r>
          </w:p>
        </w:tc>
        <w:tc>
          <w:tcPr>
            <w:tcW w:w="216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345 Park Avenue South, Floor 6</w:t>
      </w:r>
    </w:p>
    <w:p>
      <w:pPr>
        <w:jc w:val="center"/>
        <w:ind w:right="-119"/>
        <w:spacing w:after="0" w:line="226" w:lineRule="auto"/>
        <w:rPr>
          <w:sz w:val="20"/>
          <w:szCs w:val="20"/>
          <w:color w:val="auto"/>
        </w:rPr>
      </w:pPr>
      <w:r>
        <w:rPr>
          <w:rFonts w:ascii="Arial" w:cs="Arial" w:eastAsia="Arial" w:hAnsi="Arial"/>
          <w:sz w:val="14"/>
          <w:szCs w:val="14"/>
          <w:b w:val="1"/>
          <w:bCs w:val="1"/>
          <w:color w:val="auto"/>
        </w:rPr>
        <w:t>New York, New York 10010</w:t>
      </w:r>
    </w:p>
    <w:p>
      <w:pPr>
        <w:jc w:val="center"/>
        <w:ind w:right="-119"/>
        <w:spacing w:after="0" w:line="225" w:lineRule="auto"/>
        <w:rPr>
          <w:sz w:val="20"/>
          <w:szCs w:val="20"/>
          <w:color w:val="auto"/>
        </w:rPr>
      </w:pPr>
      <w:r>
        <w:rPr>
          <w:rFonts w:ascii="Arial" w:cs="Arial" w:eastAsia="Arial" w:hAnsi="Arial"/>
          <w:sz w:val="14"/>
          <w:szCs w:val="14"/>
          <w:b w:val="1"/>
          <w:bCs w:val="1"/>
          <w:color w:val="auto"/>
        </w:rPr>
        <w:t>Tel: (212) 547-9879</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 Nolan Townsend</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Lexeo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345 Park Avenue South, Floor 6</w:t>
      </w:r>
    </w:p>
    <w:p>
      <w:pPr>
        <w:jc w:val="center"/>
        <w:ind w:right="-119"/>
        <w:spacing w:after="0" w:line="221" w:lineRule="auto"/>
        <w:rPr>
          <w:sz w:val="20"/>
          <w:szCs w:val="20"/>
          <w:color w:val="auto"/>
        </w:rPr>
      </w:pPr>
      <w:r>
        <w:rPr>
          <w:rFonts w:ascii="Arial" w:cs="Arial" w:eastAsia="Arial" w:hAnsi="Arial"/>
          <w:sz w:val="14"/>
          <w:szCs w:val="14"/>
          <w:b w:val="1"/>
          <w:bCs w:val="1"/>
          <w:color w:val="auto"/>
        </w:rPr>
        <w:t>New York, New York 10010</w:t>
      </w:r>
    </w:p>
    <w:p>
      <w:pPr>
        <w:jc w:val="center"/>
        <w:ind w:right="-119"/>
        <w:spacing w:after="0" w:line="225" w:lineRule="auto"/>
        <w:rPr>
          <w:sz w:val="20"/>
          <w:szCs w:val="20"/>
          <w:color w:val="auto"/>
        </w:rPr>
      </w:pPr>
      <w:r>
        <w:rPr>
          <w:rFonts w:ascii="Arial" w:cs="Arial" w:eastAsia="Arial" w:hAnsi="Arial"/>
          <w:sz w:val="14"/>
          <w:szCs w:val="14"/>
          <w:b w:val="1"/>
          <w:bCs w:val="1"/>
          <w:color w:val="auto"/>
        </w:rPr>
        <w:t>Tel: (212) 547-9879</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76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Copies to:</w:t>
            </w:r>
          </w:p>
        </w:tc>
      </w:tr>
      <w:tr>
        <w:trPr>
          <w:trHeight w:val="205"/>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7"/>
              </w:rPr>
              <w:t>Eric Blanchard</w:t>
            </w:r>
          </w:p>
        </w:tc>
        <w:tc>
          <w:tcPr>
            <w:tcW w:w="4760" w:type="dxa"/>
            <w:vAlign w:val="bottom"/>
          </w:tcPr>
          <w:p>
            <w:pPr>
              <w:jc w:val="center"/>
              <w:ind w:left="2988"/>
              <w:spacing w:after="0"/>
              <w:rPr>
                <w:sz w:val="20"/>
                <w:szCs w:val="20"/>
                <w:color w:val="auto"/>
              </w:rPr>
            </w:pPr>
            <w:r>
              <w:rPr>
                <w:rFonts w:ascii="Arial" w:cs="Arial" w:eastAsia="Arial" w:hAnsi="Arial"/>
                <w:sz w:val="14"/>
                <w:szCs w:val="14"/>
                <w:b w:val="1"/>
                <w:bCs w:val="1"/>
                <w:color w:val="auto"/>
                <w:w w:val="91"/>
              </w:rPr>
              <w:t>Siavosh Salimi</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Divakar Gupta</w:t>
            </w:r>
          </w:p>
        </w:tc>
        <w:tc>
          <w:tcPr>
            <w:tcW w:w="4760" w:type="dxa"/>
            <w:vAlign w:val="bottom"/>
          </w:tcPr>
          <w:p>
            <w:pPr>
              <w:jc w:val="center"/>
              <w:ind w:left="3008"/>
              <w:spacing w:after="0" w:line="149" w:lineRule="exact"/>
              <w:rPr>
                <w:sz w:val="20"/>
                <w:szCs w:val="20"/>
                <w:color w:val="auto"/>
              </w:rPr>
            </w:pPr>
            <w:r>
              <w:rPr>
                <w:rFonts w:ascii="Arial" w:cs="Arial" w:eastAsia="Arial" w:hAnsi="Arial"/>
                <w:sz w:val="14"/>
                <w:szCs w:val="14"/>
                <w:b w:val="1"/>
                <w:bCs w:val="1"/>
                <w:color w:val="auto"/>
                <w:w w:val="97"/>
              </w:rPr>
              <w:t>William A. Magioncalda</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Peter Byrne</w:t>
            </w:r>
          </w:p>
        </w:tc>
        <w:tc>
          <w:tcPr>
            <w:tcW w:w="4760" w:type="dxa"/>
            <w:vAlign w:val="bottom"/>
          </w:tcPr>
          <w:p>
            <w:pPr>
              <w:jc w:val="center"/>
              <w:ind w:left="3008"/>
              <w:spacing w:after="0" w:line="149" w:lineRule="exact"/>
              <w:rPr>
                <w:sz w:val="20"/>
                <w:szCs w:val="20"/>
                <w:color w:val="auto"/>
              </w:rPr>
            </w:pPr>
            <w:r>
              <w:rPr>
                <w:rFonts w:ascii="Arial" w:cs="Arial" w:eastAsia="Arial" w:hAnsi="Arial"/>
                <w:sz w:val="14"/>
                <w:szCs w:val="14"/>
                <w:b w:val="1"/>
                <w:bCs w:val="1"/>
                <w:color w:val="auto"/>
                <w:w w:val="94"/>
              </w:rPr>
              <w:t>Paul Hastings LLP</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Dayne Brown</w:t>
            </w:r>
          </w:p>
        </w:tc>
        <w:tc>
          <w:tcPr>
            <w:tcW w:w="4760" w:type="dxa"/>
            <w:vAlign w:val="bottom"/>
          </w:tcPr>
          <w:p>
            <w:pPr>
              <w:jc w:val="center"/>
              <w:ind w:left="3008"/>
              <w:spacing w:after="0" w:line="149" w:lineRule="exact"/>
              <w:rPr>
                <w:sz w:val="20"/>
                <w:szCs w:val="20"/>
                <w:color w:val="auto"/>
              </w:rPr>
            </w:pPr>
            <w:r>
              <w:rPr>
                <w:rFonts w:ascii="Arial" w:cs="Arial" w:eastAsia="Arial" w:hAnsi="Arial"/>
                <w:sz w:val="14"/>
                <w:szCs w:val="14"/>
                <w:b w:val="1"/>
                <w:bCs w:val="1"/>
                <w:color w:val="auto"/>
                <w:w w:val="92"/>
              </w:rPr>
              <w:t>200 Park Avenue</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760" w:type="dxa"/>
            <w:vAlign w:val="bottom"/>
          </w:tcPr>
          <w:p>
            <w:pPr>
              <w:jc w:val="center"/>
              <w:ind w:left="3008"/>
              <w:spacing w:after="0" w:line="149" w:lineRule="exact"/>
              <w:rPr>
                <w:sz w:val="20"/>
                <w:szCs w:val="20"/>
                <w:color w:val="auto"/>
              </w:rPr>
            </w:pPr>
            <w:r>
              <w:rPr>
                <w:rFonts w:ascii="Arial" w:cs="Arial" w:eastAsia="Arial" w:hAnsi="Arial"/>
                <w:sz w:val="14"/>
                <w:szCs w:val="14"/>
                <w:b w:val="1"/>
                <w:bCs w:val="1"/>
                <w:color w:val="auto"/>
                <w:w w:val="94"/>
              </w:rPr>
              <w:t>New York, New York 10166</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55 Hudson Yards</w:t>
            </w:r>
          </w:p>
        </w:tc>
        <w:tc>
          <w:tcPr>
            <w:tcW w:w="476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3"/>
              </w:rPr>
              <w:t>(212) 318-6000</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760" w:type="dxa"/>
            <w:vAlign w:val="bottom"/>
          </w:tcPr>
          <w:p>
            <w:pPr>
              <w:spacing w:after="0"/>
              <w:rPr>
                <w:sz w:val="12"/>
                <w:szCs w:val="12"/>
                <w:color w:val="auto"/>
              </w:rPr>
            </w:pP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67310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1"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2" w:lineRule="exact"/>
        <w:rPr>
          <w:sz w:val="24"/>
          <w:szCs w:val="24"/>
          <w:color w:val="auto"/>
        </w:rPr>
      </w:pPr>
    </w:p>
    <w:p>
      <w:pPr>
        <w:ind w:left="120" w:right="340"/>
        <w:spacing w:after="0" w:line="184" w:lineRule="exact"/>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360"/>
        <w:spacing w:after="0" w:line="184" w:lineRule="exact"/>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40"/>
        <w:spacing w:after="0" w:line="184" w:lineRule="exact"/>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3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248"/>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left="120" w:right="360"/>
        <w:spacing w:after="0" w:line="184"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52705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b w:val="1"/>
          <w:bCs w:val="1"/>
          <w:color w:val="8B3F4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8B3F4E"/>
        </w:rPr>
        <w:t>Subject to completion, dated October 30, 2023</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PRELIMINARY PROSPECTUS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i w:val="1"/>
          <w:iCs w:val="1"/>
          <w:color w:val="auto"/>
        </w:rPr>
        <w:t>9,000,000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60"/>
        <w:spacing w:after="0"/>
        <w:rPr>
          <w:sz w:val="20"/>
          <w:szCs w:val="20"/>
          <w:color w:val="auto"/>
        </w:rPr>
      </w:pPr>
      <w:r>
        <w:rPr>
          <w:rFonts w:ascii="Arial" w:cs="Arial" w:eastAsia="Arial" w:hAnsi="Arial"/>
          <w:sz w:val="32"/>
          <w:szCs w:val="32"/>
          <w:b w:val="1"/>
          <w:bCs w:val="1"/>
          <w:i w:val="1"/>
          <w:iCs w:val="1"/>
          <w:color w:val="auto"/>
        </w:rPr>
        <w:t>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is an initial public offering of shares of common stock of Lexeo Therapeutics, Inc.</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9,000,000 shares of our common stock. The initial public offering is expected to be between $13.00 and $15.00 per share.</w:t>
      </w:r>
    </w:p>
    <w:p>
      <w:pPr>
        <w:spacing w:after="0" w:line="144"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Prior to this offering, there has been no public market for our common stock. We have applied to list our common stock on the Nasdaq Global Market under the trading symbol “LXEO” and this offering is contingent upon the listing of our common stock on the Nasdaq Global Market.</w:t>
      </w:r>
    </w:p>
    <w:p>
      <w:pPr>
        <w:spacing w:after="0" w:line="7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w:t>
      </w:r>
    </w:p>
    <w:p>
      <w:pPr>
        <w:spacing w:after="0" w:line="112"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Investing in our common stock involves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xml:space="preserve">” beginning on page </w:t>
      </w:r>
      <w:r>
        <w:rPr>
          <w:rFonts w:ascii="Arial" w:cs="Arial" w:eastAsia="Arial" w:hAnsi="Arial"/>
          <w:sz w:val="18"/>
          <w:szCs w:val="18"/>
          <w:b w:val="1"/>
          <w:bCs w:val="1"/>
          <w:i w:val="1"/>
          <w:iCs w:val="1"/>
          <w:color w:val="auto"/>
        </w:rPr>
        <w:t>16</w:t>
      </w:r>
      <w:r>
        <w:rPr>
          <w:rFonts w:ascii="Arial" w:cs="Arial" w:eastAsia="Arial" w:hAnsi="Arial"/>
          <w:sz w:val="18"/>
          <w:szCs w:val="18"/>
          <w:b w:val="1"/>
          <w:bCs w:val="1"/>
          <w:color w:val="auto"/>
        </w:rPr>
        <w:t xml:space="preserve"> to read about factors you should consider before buying shares of our common stock.</w:t>
      </w:r>
    </w:p>
    <w:p>
      <w:pPr>
        <w:spacing w:after="0" w:line="81"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2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ind w:left="2300"/>
              <w:spacing w:after="0"/>
              <w:rPr>
                <w:sz w:val="20"/>
                <w:szCs w:val="20"/>
                <w:color w:val="auto"/>
              </w:rPr>
            </w:pPr>
            <w:r>
              <w:rPr>
                <w:rFonts w:ascii="Arial" w:cs="Arial" w:eastAsia="Arial" w:hAnsi="Arial"/>
                <w:sz w:val="16"/>
                <w:szCs w:val="16"/>
                <w:b w:val="1"/>
                <w:bCs w:val="1"/>
                <w:color w:val="auto"/>
              </w:rPr>
              <w:t>Per Share</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36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xml:space="preserve">$           </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      </w:t>
            </w:r>
          </w:p>
        </w:tc>
      </w:tr>
      <w:tr>
        <w:trPr>
          <w:trHeight w:val="216"/>
        </w:trPr>
        <w:tc>
          <w:tcPr>
            <w:tcW w:w="6260" w:type="dxa"/>
            <w:vAlign w:val="bottom"/>
          </w:tcPr>
          <w:p>
            <w:pPr>
              <w:spacing w:after="0" w:line="216" w:lineRule="exact"/>
              <w:rPr>
                <w:sz w:val="20"/>
                <w:szCs w:val="20"/>
                <w:color w:val="auto"/>
              </w:rPr>
            </w:pPr>
            <w:r>
              <w:rPr>
                <w:rFonts w:ascii="Arial" w:cs="Arial" w:eastAsia="Arial" w:hAnsi="Arial"/>
                <w:sz w:val="17"/>
                <w:szCs w:val="17"/>
                <w:color w:val="auto"/>
              </w:rPr>
              <w:t xml:space="preserve">Underwriting discounts </w:t>
            </w:r>
            <w:r>
              <w:rPr>
                <w:rFonts w:ascii="Arial" w:cs="Arial" w:eastAsia="Arial" w:hAnsi="Arial"/>
                <w:sz w:val="25"/>
                <w:szCs w:val="25"/>
                <w:color w:val="auto"/>
                <w:vertAlign w:val="superscript"/>
              </w:rPr>
              <w:t>(1)</w:t>
            </w:r>
          </w:p>
        </w:tc>
        <w:tc>
          <w:tcPr>
            <w:tcW w:w="3600" w:type="dxa"/>
            <w:vAlign w:val="bottom"/>
          </w:tcPr>
          <w:p>
            <w:pPr>
              <w:ind w:left="2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before expenses, to Lexeo Therapeutics, Inc.</w:t>
            </w:r>
          </w:p>
        </w:tc>
        <w:tc>
          <w:tcPr>
            <w:tcW w:w="3600" w:type="dxa"/>
            <w:vAlign w:val="bottom"/>
            <w:tcBorders>
              <w:bottom w:val="single" w:sz="8" w:color="auto"/>
            </w:tcBorders>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r>
    </w:tbl>
    <w:p>
      <w:pPr>
        <w:spacing w:after="0" w:line="70"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for a description of the compensation payable to the underwriters.</w:t>
      </w:r>
    </w:p>
    <w:p>
      <w:pPr>
        <w:spacing w:after="0" w:line="14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up to 1,350,000 additional shares from us at the public offering price less the underwriting discount.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against payment in New York, New York on   , 2023.</w:t>
      </w:r>
    </w:p>
    <w:p>
      <w:pPr>
        <w:spacing w:after="0" w:line="140" w:lineRule="exact"/>
        <w:rPr>
          <w:sz w:val="20"/>
          <w:szCs w:val="20"/>
          <w:color w:val="auto"/>
        </w:rPr>
      </w:pPr>
    </w:p>
    <w:p>
      <w:pPr>
        <w:ind w:left="120"/>
        <w:spacing w:after="0"/>
        <w:tabs>
          <w:tab w:leader="none" w:pos="2540" w:val="left"/>
          <w:tab w:leader="none" w:pos="5840" w:val="left"/>
          <w:tab w:leader="none" w:pos="82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7"/>
          <w:szCs w:val="27"/>
          <w:b w:val="1"/>
          <w:bCs w:val="1"/>
          <w:color w:val="auto"/>
        </w:rPr>
        <w:t>RBC Capital Markets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Prospectus dated    , 2023.</w:t>
      </w:r>
    </w:p>
    <w:p>
      <w:pPr>
        <w:sectPr>
          <w:pgSz w:w="11900" w:h="16838" w:orient="portrait"/>
          <w:cols w:equalWidth="0" w:num="1">
            <w:col w:w="11140"/>
          </w:cols>
          <w:pgMar w:left="320" w:top="45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8560" w:type="dxa"/>
            <w:vAlign w:val="bottom"/>
            <w:gridSpan w:val="23"/>
          </w:tcPr>
          <w:p>
            <w:pPr>
              <w:spacing w:after="0"/>
              <w:rPr>
                <w:sz w:val="20"/>
                <w:szCs w:val="20"/>
                <w:color w:val="auto"/>
              </w:rPr>
            </w:pPr>
            <w:r>
              <w:rPr>
                <w:rFonts w:ascii="Arial" w:cs="Arial" w:eastAsia="Arial" w:hAnsi="Arial"/>
                <w:sz w:val="18"/>
                <w:szCs w:val="18"/>
                <w:color w:val="0000EE"/>
              </w:rPr>
              <w:t>Prospectus Summary</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5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Risk Factors</w:t>
            </w:r>
          </w:p>
        </w:tc>
        <w:tc>
          <w:tcPr>
            <w:tcW w:w="7040" w:type="dxa"/>
            <w:vAlign w:val="bottom"/>
            <w:gridSpan w:val="12"/>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3"/>
        </w:trPr>
        <w:tc>
          <w:tcPr>
            <w:tcW w:w="38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Special Note Regarding Forward-Looking Statements</w:t>
            </w:r>
          </w:p>
        </w:tc>
        <w:tc>
          <w:tcPr>
            <w:tcW w:w="4680" w:type="dxa"/>
            <w:vAlign w:val="bottom"/>
            <w:gridSpan w:val="3"/>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8560" w:type="dxa"/>
            <w:vAlign w:val="bottom"/>
            <w:gridSpan w:val="23"/>
          </w:tcPr>
          <w:p>
            <w:pPr>
              <w:spacing w:after="0"/>
              <w:rPr>
                <w:sz w:val="20"/>
                <w:szCs w:val="20"/>
                <w:color w:val="auto"/>
              </w:rPr>
            </w:pPr>
            <w:r>
              <w:rPr>
                <w:rFonts w:ascii="Arial" w:cs="Arial" w:eastAsia="Arial" w:hAnsi="Arial"/>
                <w:sz w:val="18"/>
                <w:szCs w:val="18"/>
                <w:color w:val="0000EE"/>
              </w:rPr>
              <w:t>Market and Industry Data</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18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Use of Proceeds</w:t>
            </w:r>
          </w:p>
        </w:tc>
        <w:tc>
          <w:tcPr>
            <w:tcW w:w="6720" w:type="dxa"/>
            <w:vAlign w:val="bottom"/>
            <w:gridSpan w:val="9"/>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3"/>
        </w:trPr>
        <w:tc>
          <w:tcPr>
            <w:tcW w:w="11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4"/>
              </w:rPr>
              <w:t>Dividend Policy</w:t>
            </w:r>
          </w:p>
        </w:tc>
        <w:tc>
          <w:tcPr>
            <w:tcW w:w="7380" w:type="dxa"/>
            <w:vAlign w:val="bottom"/>
            <w:gridSpan w:val="13"/>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3"/>
        </w:trPr>
        <w:tc>
          <w:tcPr>
            <w:tcW w:w="8560" w:type="dxa"/>
            <w:vAlign w:val="bottom"/>
            <w:gridSpan w:val="23"/>
          </w:tcPr>
          <w:p>
            <w:pPr>
              <w:spacing w:after="0"/>
              <w:rPr>
                <w:sz w:val="20"/>
                <w:szCs w:val="20"/>
                <w:color w:val="auto"/>
              </w:rPr>
            </w:pPr>
            <w:r>
              <w:rPr>
                <w:rFonts w:ascii="Arial" w:cs="Arial" w:eastAsia="Arial" w:hAnsi="Arial"/>
                <w:sz w:val="18"/>
                <w:szCs w:val="18"/>
                <w:color w:val="0000EE"/>
              </w:rPr>
              <w:t>Capitalization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3"/>
        </w:trPr>
        <w:tc>
          <w:tcPr>
            <w:tcW w:w="6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6"/>
              </w:rPr>
              <w:t>Dilution</w:t>
            </w:r>
          </w:p>
        </w:tc>
        <w:tc>
          <w:tcPr>
            <w:tcW w:w="400" w:type="dxa"/>
            <w:vAlign w:val="bottom"/>
            <w:tcBorders>
              <w:top w:val="single" w:sz="8" w:color="0000EE"/>
            </w:tcBorders>
            <w:gridSpan w:val="6"/>
          </w:tcPr>
          <w:p>
            <w:pPr>
              <w:spacing w:after="0"/>
              <w:rPr>
                <w:sz w:val="22"/>
                <w:szCs w:val="22"/>
                <w:color w:val="auto"/>
              </w:rPr>
            </w:pPr>
          </w:p>
        </w:tc>
        <w:tc>
          <w:tcPr>
            <w:tcW w:w="7560" w:type="dxa"/>
            <w:vAlign w:val="bottom"/>
            <w:gridSpan w:val="15"/>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6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0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64"/>
        </w:trPr>
        <w:tc>
          <w:tcPr>
            <w:tcW w:w="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4"/>
              </w:rPr>
              <w:t>Business</w:t>
            </w:r>
          </w:p>
        </w:tc>
        <w:tc>
          <w:tcPr>
            <w:tcW w:w="7920" w:type="dxa"/>
            <w:vAlign w:val="bottom"/>
            <w:gridSpan w:val="20"/>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7"/>
              </w:rPr>
              <w:t>Management</w:t>
            </w:r>
          </w:p>
        </w:tc>
        <w:tc>
          <w:tcPr>
            <w:tcW w:w="7620" w:type="dxa"/>
            <w:vAlign w:val="bottom"/>
            <w:gridSpan w:val="18"/>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63"/>
        </w:trPr>
        <w:tc>
          <w:tcPr>
            <w:tcW w:w="18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Executive Compensation</w:t>
            </w:r>
          </w:p>
        </w:tc>
        <w:tc>
          <w:tcPr>
            <w:tcW w:w="6760" w:type="dxa"/>
            <w:vAlign w:val="bottom"/>
            <w:gridSpan w:val="10"/>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63"/>
        </w:trPr>
        <w:tc>
          <w:tcPr>
            <w:tcW w:w="38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Certain Relationships and Related Party Transactions</w:t>
            </w:r>
          </w:p>
        </w:tc>
        <w:tc>
          <w:tcPr>
            <w:tcW w:w="4720" w:type="dxa"/>
            <w:vAlign w:val="bottom"/>
            <w:gridSpan w:val="4"/>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63"/>
        </w:trPr>
        <w:tc>
          <w:tcPr>
            <w:tcW w:w="8560" w:type="dxa"/>
            <w:vAlign w:val="bottom"/>
            <w:gridSpan w:val="23"/>
          </w:tcPr>
          <w:p>
            <w:pPr>
              <w:spacing w:after="0"/>
              <w:rPr>
                <w:sz w:val="20"/>
                <w:szCs w:val="20"/>
                <w:color w:val="auto"/>
              </w:rPr>
            </w:pPr>
            <w:r>
              <w:rPr>
                <w:rFonts w:ascii="Arial" w:cs="Arial" w:eastAsia="Arial" w:hAnsi="Arial"/>
                <w:sz w:val="18"/>
                <w:szCs w:val="18"/>
                <w:color w:val="0000EE"/>
              </w:rPr>
              <w:t>Principal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3"/>
        </w:trPr>
        <w:tc>
          <w:tcPr>
            <w:tcW w:w="8560" w:type="dxa"/>
            <w:vAlign w:val="bottom"/>
            <w:gridSpan w:val="23"/>
          </w:tcPr>
          <w:p>
            <w:pPr>
              <w:spacing w:after="0"/>
              <w:rPr>
                <w:sz w:val="20"/>
                <w:szCs w:val="20"/>
                <w:color w:val="auto"/>
              </w:rPr>
            </w:pPr>
            <w:r>
              <w:rPr>
                <w:rFonts w:ascii="Arial" w:cs="Arial" w:eastAsia="Arial" w:hAnsi="Arial"/>
                <w:sz w:val="18"/>
                <w:szCs w:val="18"/>
                <w:color w:val="0000EE"/>
              </w:rPr>
              <w:t>Description of Capital Stock</w:t>
            </w:r>
          </w:p>
        </w:tc>
        <w:tc>
          <w:tcPr>
            <w:tcW w:w="24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3"/>
        </w:trPr>
        <w:tc>
          <w:tcPr>
            <w:tcW w:w="22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Shares Eligible for Future Sale</w:t>
            </w:r>
          </w:p>
        </w:tc>
        <w:tc>
          <w:tcPr>
            <w:tcW w:w="6340" w:type="dxa"/>
            <w:vAlign w:val="bottom"/>
            <w:gridSpan w:val="6"/>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63"/>
        </w:trPr>
        <w:tc>
          <w:tcPr>
            <w:tcW w:w="50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Material U.S. Federal Income Tax Consequences to Non-U.S. Holders</w:t>
            </w:r>
          </w:p>
        </w:tc>
        <w:tc>
          <w:tcPr>
            <w:tcW w:w="3500" w:type="dxa"/>
            <w:vAlign w:val="bottom"/>
            <w:gridSpan w:val="2"/>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64"/>
        </w:trPr>
        <w:tc>
          <w:tcPr>
            <w:tcW w:w="8560" w:type="dxa"/>
            <w:vAlign w:val="bottom"/>
            <w:gridSpan w:val="23"/>
          </w:tcPr>
          <w:p>
            <w:pPr>
              <w:spacing w:after="0"/>
              <w:rPr>
                <w:sz w:val="20"/>
                <w:szCs w:val="20"/>
                <w:color w:val="auto"/>
              </w:rPr>
            </w:pPr>
            <w:r>
              <w:rPr>
                <w:rFonts w:ascii="Arial" w:cs="Arial" w:eastAsia="Arial" w:hAnsi="Arial"/>
                <w:sz w:val="18"/>
                <w:szCs w:val="18"/>
                <w:color w:val="0000EE"/>
              </w:rPr>
              <w:t>Underwriting</w:t>
            </w:r>
          </w:p>
        </w:tc>
        <w:tc>
          <w:tcPr>
            <w:tcW w:w="24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3"/>
        </w:trPr>
        <w:tc>
          <w:tcPr>
            <w:tcW w:w="8560" w:type="dxa"/>
            <w:vAlign w:val="bottom"/>
            <w:gridSpan w:val="23"/>
          </w:tcPr>
          <w:p>
            <w:pPr>
              <w:spacing w:after="0"/>
              <w:rPr>
                <w:sz w:val="20"/>
                <w:szCs w:val="20"/>
                <w:color w:val="auto"/>
              </w:rPr>
            </w:pPr>
            <w:r>
              <w:rPr>
                <w:rFonts w:ascii="Arial" w:cs="Arial" w:eastAsia="Arial" w:hAnsi="Arial"/>
                <w:sz w:val="18"/>
                <w:szCs w:val="18"/>
                <w:color w:val="0000EE"/>
              </w:rPr>
              <w:t>Legal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63"/>
        </w:trPr>
        <w:tc>
          <w:tcPr>
            <w:tcW w:w="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Experts</w:t>
            </w:r>
          </w:p>
        </w:tc>
        <w:tc>
          <w:tcPr>
            <w:tcW w:w="7580" w:type="dxa"/>
            <w:vAlign w:val="bottom"/>
            <w:gridSpan w:val="16"/>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4"/>
        </w:trPr>
        <w:tc>
          <w:tcPr>
            <w:tcW w:w="8560" w:type="dxa"/>
            <w:vAlign w:val="bottom"/>
            <w:gridSpan w:val="23"/>
          </w:tcPr>
          <w:p>
            <w:pPr>
              <w:spacing w:after="0"/>
              <w:rPr>
                <w:sz w:val="20"/>
                <w:szCs w:val="20"/>
                <w:color w:val="auto"/>
              </w:rPr>
            </w:pPr>
            <w:r>
              <w:rPr>
                <w:rFonts w:ascii="Arial" w:cs="Arial" w:eastAsia="Arial" w:hAnsi="Arial"/>
                <w:sz w:val="18"/>
                <w:szCs w:val="18"/>
                <w:color w:val="0000EE"/>
              </w:rPr>
              <w:t>Where You Can Find Additional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63"/>
        </w:trPr>
        <w:tc>
          <w:tcPr>
            <w:tcW w:w="214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9"/>
              </w:rPr>
              <w:t>Index to Financial Statements</w:t>
            </w:r>
          </w:p>
        </w:tc>
        <w:tc>
          <w:tcPr>
            <w:tcW w:w="1100" w:type="dxa"/>
            <w:vAlign w:val="bottom"/>
            <w:tcBorders>
              <w:top w:val="single" w:sz="8" w:color="0000EE"/>
            </w:tcBorders>
            <w:gridSpan w:val="2"/>
          </w:tcPr>
          <w:p>
            <w:pPr>
              <w:spacing w:after="0"/>
              <w:rPr>
                <w:sz w:val="22"/>
                <w:szCs w:val="22"/>
                <w:color w:val="auto"/>
              </w:rPr>
            </w:pPr>
          </w:p>
        </w:tc>
        <w:tc>
          <w:tcPr>
            <w:tcW w:w="5320" w:type="dxa"/>
            <w:vAlign w:val="bottom"/>
            <w:gridSpan w:val="5"/>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6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6" w:lineRule="exact"/>
        <w:rPr>
          <w:sz w:val="20"/>
          <w:szCs w:val="20"/>
          <w:color w:val="auto"/>
        </w:rPr>
      </w:pPr>
    </w:p>
    <w:p>
      <w:pPr>
        <w:jc w:val="both"/>
        <w:ind w:left="120" w:right="380"/>
        <w:spacing w:after="0" w:line="222"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58"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financial statements and the related notes thereto appearing elsewhere in this prospectus, before making an investment decision. As used in this prospectus, unless the context otherwise requires, references to “we,” “us,” “our,” “the Company,” and “Lexeo” refer to Lexeo Therapeutics, Inc.</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8"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color w:val="auto"/>
        </w:rPr>
        <w:t>We are a clinical stage genetic medicine company dedicated to transforming healthcare by applying pioneering science to fundamentally change how disease is treated. By taking aim at the underlying genetic cause of the devastating diseases we target, we seek to create substantial positive impact and reduce the overwhelming burdens placed on people receiving treatment, their caregivers, and healthcare systems. Our current pipeline consists of candidates targeting patient populations that place significant burden on society and are most amenable to our genetic medicine approach.</w:t>
      </w:r>
    </w:p>
    <w:p>
      <w:pPr>
        <w:spacing w:after="0" w:line="120"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 xml:space="preserve">Our most advanced cardiovascular product candidate, LX2006 for the treatment of patients with Friedreich’s ataxia, or FA, cardiomyopathy, is currently being evaluated in an ongoing Phase 1/2 clinical trial. We have observed an increase in frataxin protein expression in the heart from one patient in the low dose cohort based on a cardiac biopsy utilizing two separate analyses. We expect to report additional interim data from this trial in mid-2024. Our second most advanced cardiovascular product candidate, LX2020 for the treatment of arrhythmogenic cardiomyopathy, or ACM, caused by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referred to as PKP2-ACM, received investigational new drug, or IND, clearance from the U.S. Food and Drug Administration, or FDA, in July 2023 and we expect to dose the first patient in a Phase 1/2 clinical trial in the first half of 2024 and provide an interim data readout from cohort 1 in the second half of 2024.</w:t>
      </w:r>
    </w:p>
    <w:p>
      <w:pPr>
        <w:spacing w:after="0" w:line="110"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 xml:space="preserve">Our lead Alzheimer’s disease product candidate, LX1001, for the treatment of </w:t>
      </w:r>
      <w:r>
        <w:rPr>
          <w:rFonts w:ascii="Arial" w:cs="Arial" w:eastAsia="Arial" w:hAnsi="Arial"/>
          <w:sz w:val="17"/>
          <w:szCs w:val="17"/>
          <w:i w:val="1"/>
          <w:iCs w:val="1"/>
          <w:color w:val="auto"/>
        </w:rPr>
        <w:t>APOE4</w:t>
      </w:r>
      <w:r>
        <w:rPr>
          <w:rFonts w:ascii="Arial" w:cs="Arial" w:eastAsia="Arial" w:hAnsi="Arial"/>
          <w:sz w:val="17"/>
          <w:szCs w:val="17"/>
          <w:color w:val="auto"/>
        </w:rPr>
        <w:t xml:space="preserve"> homozygous patients with Alzheimer’s disease, is in an ongoing Phase 1/2 trial, and we have initially observed an increase in expression levels of the protective protein, APOE2, in the first dose cohort and a consistent trend towards improvement in core Alzheimer’s disease biomarkers. We expect to complete enrollment in the trial by the end of 2023 and report additional interim data from all cohorts in the Phase 1/2 clinical trial in the second half of 2024.</w:t>
      </w:r>
    </w:p>
    <w:p>
      <w:pPr>
        <w:spacing w:after="0" w:line="90"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We are targeting diseases that have seen limited penetration of precision medicine, which we define as medications that treat the underlying molecular mechanism of a disease, and where we believe there is significant opportunity for gene therapy to play a role as a key therapeutic option. We believe the specific indications we are initially targeting, FA cardiomyopathy, PKP2-ACM and APOE4-associated Alzheimer’s disease, are highly amenable to gene therapy, where administration of a single dose has the potential to either restore loss-of-function or minimize gain-of-function mutations by treating the underlying genetic cause of the disease. Although few precision medicines are currently approved for the treatment of cardiovascular conditions or Alzheimer’s disease, recent approvals by the FDA suggest a willingness to approve new precision medicines based on biomarkers and functional endpoints. Together with improved diagnostics and increased testing, these developments may offer one of the most substantial opportunities for the uptake of precision medicines in the global pharmaceutical marketplace.</w:t>
      </w:r>
    </w:p>
    <w:p>
      <w:pPr>
        <w:spacing w:after="0" w:line="9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Each of our gene therapy candidates utilizes the vector construct, dose and route of administration that we believe will result in the most favorable biodistribution and safety profile for our product candidate for each</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disease. Our most advanced cardiovascular and APOE4-associated Alzheimer’s disease programs use the AAVrh10 vector due to its high transduction efficiency in both myocardial cells and neurons, potential for lower toxicity given the opportunity to utilize lower doses compared to other well-established AAV serotypes, and low pre-existing immunity.</w:t>
      </w:r>
    </w:p>
    <w:p>
      <w:pPr>
        <w:spacing w:after="0" w:line="103"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By specifically tailoring our technological approach to each targeted disease, we believe we can optimize our programs to achieve the highest likelihood of having therapeutic impact. We target genetically defined indications in specific sub-groups of patients that offer the potential to demonstrate therapeutic impact through improvement in functional endpoints or biomarkers, have high unmet need and large market opportunities, have established proof-of-concept in relevant preclinical models, and have organized patient advocacy groups and identifiable patient populations. In addition to targeting cardiovascular diseases and APOE4-associated Alzheimer’s disease that we believe can be addressed by our current approach utilizing AAVrh10, we have ongoing discovery efforts to identify next-generation vector technologies with the best potential therapeutic profile. Finally, we continuously seek to bolster our pipeline through relationships with academic institutions, providing us access to cutting edge genetic medicines research which will include not only AAV gene therapy but also other potential therapeutic payload types and non-viral delivery systems.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pipeline</w:t>
      </w:r>
    </w:p>
    <w:p>
      <w:pPr>
        <w:spacing w:after="0" w:line="138" w:lineRule="exact"/>
        <w:rPr>
          <w:sz w:val="20"/>
          <w:szCs w:val="20"/>
          <w:color w:val="auto"/>
        </w:rPr>
      </w:pPr>
    </w:p>
    <w:p>
      <w:pPr>
        <w:ind w:left="300" w:right="60"/>
        <w:spacing w:after="0" w:line="286" w:lineRule="auto"/>
        <w:rPr>
          <w:sz w:val="20"/>
          <w:szCs w:val="20"/>
          <w:color w:val="auto"/>
        </w:rPr>
      </w:pPr>
      <w:r>
        <w:rPr>
          <w:rFonts w:ascii="Arial" w:cs="Arial" w:eastAsia="Arial" w:hAnsi="Arial"/>
          <w:sz w:val="17"/>
          <w:szCs w:val="17"/>
          <w:color w:val="auto"/>
        </w:rPr>
        <w:t>Utilizing a stepwise, capital-efficient development approach, we are leveraging early proof-of-concept functional and biomarker data to advance a deep and diverse pipeline of cardiovascular and APOE4-associated Alzheimer’s disease programs for larger-rare and prevalent indications. We retain exclusive worldwide development and commercialization rights to all of our product candidates and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Cardiovascular programs</w:t>
      </w:r>
    </w:p>
    <w:p>
      <w:pPr>
        <w:spacing w:after="0" w:line="144" w:lineRule="exact"/>
        <w:rPr>
          <w:sz w:val="20"/>
          <w:szCs w:val="20"/>
          <w:color w:val="auto"/>
        </w:rPr>
      </w:pPr>
    </w:p>
    <w:p>
      <w:pPr>
        <w:ind w:left="300" w:right="100"/>
        <w:spacing w:after="0" w:line="308" w:lineRule="auto"/>
        <w:rPr>
          <w:sz w:val="20"/>
          <w:szCs w:val="20"/>
          <w:color w:val="auto"/>
        </w:rPr>
      </w:pPr>
      <w:r>
        <w:rPr>
          <w:rFonts w:ascii="Arial" w:cs="Arial" w:eastAsia="Arial" w:hAnsi="Arial"/>
          <w:sz w:val="17"/>
          <w:szCs w:val="17"/>
          <w:color w:val="auto"/>
        </w:rPr>
        <w:t>We are developing a number of disease-modifying gene therapy candidates to treat larger-rare cardiovascular diseases that have significant unmet need and no approved treatments that address the underlying genetic cause of the disease. These programs include:</w:t>
      </w:r>
    </w:p>
    <w:p>
      <w:pPr>
        <w:spacing w:after="0" w:line="79" w:lineRule="exact"/>
        <w:rPr>
          <w:sz w:val="20"/>
          <w:szCs w:val="20"/>
          <w:color w:val="auto"/>
        </w:rPr>
      </w:pPr>
    </w:p>
    <w:p>
      <w:pPr>
        <w:ind w:left="480" w:right="100" w:hanging="186"/>
        <w:spacing w:after="0" w:line="277"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LX2006 </w:t>
      </w:r>
      <w:r>
        <w:rPr>
          <w:rFonts w:ascii="Arial" w:cs="Arial" w:eastAsia="Arial" w:hAnsi="Arial"/>
          <w:sz w:val="18"/>
          <w:szCs w:val="18"/>
          <w:color w:val="auto"/>
        </w:rPr>
        <w:t>is an AAVrh10-based gene therapy candidate designed to intravenously deliver a functional frataxin, or</w:t>
      </w:r>
      <w:r>
        <w:rPr>
          <w:rFonts w:ascii="Arial" w:cs="Arial" w:eastAsia="Arial" w:hAnsi="Arial"/>
          <w:sz w:val="18"/>
          <w:szCs w:val="18"/>
          <w:i w:val="1"/>
          <w:iCs w:val="1"/>
          <w:color w:val="auto"/>
        </w:rPr>
        <w:t xml:space="preserve"> FXN, </w:t>
      </w:r>
      <w:r>
        <w:rPr>
          <w:rFonts w:ascii="Arial" w:cs="Arial" w:eastAsia="Arial" w:hAnsi="Arial"/>
          <w:sz w:val="18"/>
          <w:szCs w:val="18"/>
          <w:color w:val="auto"/>
        </w:rPr>
        <w:t>gene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FA cardiomyopathy. FA cardiomyopathy is the most common cause of</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 xml:space="preserve">mortality in patients with FA and affects approximately 5,000 patients in the United States. LX2006 is designed to promote the expression of the protein frataxin to restore normal mitochondrial function and energy production in myocardial cells. In preclinical studies, LX2006 demonstrated improvement in cardiac function and survival in a severe </w:t>
      </w:r>
      <w:r>
        <w:rPr>
          <w:rFonts w:ascii="Arial" w:cs="Arial" w:eastAsia="Arial" w:hAnsi="Arial"/>
          <w:sz w:val="18"/>
          <w:szCs w:val="18"/>
          <w:i w:val="1"/>
          <w:iCs w:val="1"/>
          <w:color w:val="auto"/>
        </w:rPr>
        <w:t>FXN</w:t>
      </w:r>
      <w:r>
        <w:rPr>
          <w:rFonts w:ascii="Arial" w:cs="Arial" w:eastAsia="Arial" w:hAnsi="Arial"/>
          <w:sz w:val="18"/>
          <w:szCs w:val="18"/>
          <w:color w:val="auto"/>
        </w:rPr>
        <w:t xml:space="preserve"> knockout mouse model. Similarly, in a partial </w:t>
      </w:r>
      <w:r>
        <w:rPr>
          <w:rFonts w:ascii="Arial" w:cs="Arial" w:eastAsia="Arial" w:hAnsi="Arial"/>
          <w:sz w:val="18"/>
          <w:szCs w:val="18"/>
          <w:i w:val="1"/>
          <w:iCs w:val="1"/>
          <w:color w:val="auto"/>
        </w:rPr>
        <w:t>FXN</w:t>
      </w:r>
      <w:r>
        <w:rPr>
          <w:rFonts w:ascii="Arial" w:cs="Arial" w:eastAsia="Arial" w:hAnsi="Arial"/>
          <w:sz w:val="18"/>
          <w:szCs w:val="18"/>
          <w:color w:val="auto"/>
        </w:rPr>
        <w:t xml:space="preserve"> knockout mouse model, LX2006 was observed to restore cardiac function and reverse disease abnormalities of FA cardiomyopathy. LX2006 is currently being evaluated in an open-label, ascending dose Phase 1/2 clinical trial in patients with FA cardiomyopathy, and we have observed an increase in frataxin protein expression in the heart from one patient in the low dose cohort based on a cardiac biopsy utilizing two separate analyses. We expect to report additional interim data from this trial in mid-2024. The FDA has granted Rare Pediatric Disease designation and Orphan Drug designation to LX2006 for the treatment of FA.</w:t>
      </w:r>
    </w:p>
    <w:p>
      <w:pPr>
        <w:spacing w:after="0" w:line="124" w:lineRule="exact"/>
        <w:rPr>
          <w:sz w:val="20"/>
          <w:szCs w:val="20"/>
          <w:color w:val="auto"/>
        </w:rPr>
      </w:pPr>
    </w:p>
    <w:p>
      <w:pPr>
        <w:ind w:left="480" w:right="160" w:hanging="186"/>
        <w:spacing w:after="0" w:line="290"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LX2020 </w:t>
      </w:r>
      <w:r>
        <w:rPr>
          <w:rFonts w:ascii="Arial" w:cs="Arial" w:eastAsia="Arial" w:hAnsi="Arial"/>
          <w:sz w:val="16"/>
          <w:szCs w:val="16"/>
          <w:color w:val="auto"/>
        </w:rPr>
        <w:t>is an AAVrh10-based gene therapy candidate designed to intravenously deliver a functional</w:t>
      </w:r>
      <w:r>
        <w:rPr>
          <w:rFonts w:ascii="Arial" w:cs="Arial" w:eastAsia="Arial" w:hAnsi="Arial"/>
          <w:sz w:val="16"/>
          <w:szCs w:val="16"/>
          <w:i w:val="1"/>
          <w:iCs w:val="1"/>
          <w:color w:val="auto"/>
        </w:rPr>
        <w:t xml:space="preserve"> PKP2 </w:t>
      </w:r>
      <w:r>
        <w:rPr>
          <w:rFonts w:ascii="Arial" w:cs="Arial" w:eastAsia="Arial" w:hAnsi="Arial"/>
          <w:sz w:val="16"/>
          <w:szCs w:val="16"/>
          <w:color w:val="auto"/>
        </w:rPr>
        <w:t>gene to cardiac muscle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treatment of PKP2-ACM.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mutations are associated with approximately 75% of all genetic cases of ACM, and we estimate they affect approximately 60,000 patients in the United States.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mutations can cause replacement of heart muscle with fibrotic tissue and fatty deposits, and severe abnormal heart rhythms, or arrhythmias, that cause cardiac dysfunction and can result in sudden cardiac death. LX2020 is designed to increase desmosomal PKP2 protein levels, reassemble desmosomes and restore myocardial cell function. In our preclinical studies, using a genetic mouse model of ACM harboring a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 that recapitulates the phenotype of PKP2-ACM, LX2020 resulted in fewer arrhythmias and increased survival. We received IND clearance for LX2020 in July 2023 and we expect to dose the first patient in a Phase 1/2 clinical trial in the first half of 2024 and provide an interim data readout from cohort 1 in the second half of 2024.</w:t>
      </w:r>
    </w:p>
    <w:p>
      <w:pPr>
        <w:spacing w:after="0" w:line="97" w:lineRule="exact"/>
        <w:rPr>
          <w:rFonts w:ascii="Arial" w:cs="Arial" w:eastAsia="Arial" w:hAnsi="Arial"/>
          <w:sz w:val="16"/>
          <w:szCs w:val="16"/>
          <w:color w:val="auto"/>
        </w:rPr>
      </w:pPr>
    </w:p>
    <w:p>
      <w:pPr>
        <w:ind w:left="480" w:hanging="186"/>
        <w:spacing w:after="0" w:line="25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LX2021 </w:t>
      </w:r>
      <w:r>
        <w:rPr>
          <w:rFonts w:ascii="Arial" w:cs="Arial" w:eastAsia="Arial" w:hAnsi="Arial"/>
          <w:sz w:val="18"/>
          <w:szCs w:val="18"/>
          <w:color w:val="auto"/>
        </w:rPr>
        <w:t>is a gene therapy candidate we are developing to intravenously deliver the coding sequence for the functional connexin 43, or Cx43,</w:t>
      </w:r>
      <w:r>
        <w:rPr>
          <w:rFonts w:ascii="Arial" w:cs="Arial" w:eastAsia="Arial" w:hAnsi="Arial"/>
          <w:sz w:val="18"/>
          <w:szCs w:val="18"/>
          <w:i w:val="1"/>
          <w:iCs w:val="1"/>
          <w:color w:val="auto"/>
        </w:rPr>
        <w:t xml:space="preserve"> </w:t>
      </w:r>
      <w:r>
        <w:rPr>
          <w:rFonts w:ascii="Arial" w:cs="Arial" w:eastAsia="Arial" w:hAnsi="Arial"/>
          <w:sz w:val="18"/>
          <w:szCs w:val="18"/>
          <w:color w:val="auto"/>
        </w:rPr>
        <w:t>protein for a group of inherited cardiac muscle disorders associated with a high risk of sudden death, including ACM and certain forms of dilated cardiomyopathy. We believe restoring the Cx43 protein can potentially treat multiple genetic causes of ACM because the cardiac loss of Cx43 is a molecular deficit generally observed in all ACM patient populations. Our LX2021 program is initially targeting Desmoplakin, or DSP, cardiomyopathy, a distinct form of ACM as well as a certain form of dilated cardiomyopathy, with a prevalence that may be as high as 4% of all inherited dilated cardiomyopathies and 4% of all ACMs, impacting up to approximately 35,000 patients in the United States. We plan to initiate IND-enabling studies for LX2021 in 2024.</w:t>
      </w:r>
    </w:p>
    <w:p>
      <w:pPr>
        <w:spacing w:after="0" w:line="127" w:lineRule="exact"/>
        <w:rPr>
          <w:rFonts w:ascii="Arial" w:cs="Arial" w:eastAsia="Arial" w:hAnsi="Arial"/>
          <w:sz w:val="18"/>
          <w:szCs w:val="18"/>
          <w:color w:val="auto"/>
        </w:rPr>
      </w:pPr>
    </w:p>
    <w:p>
      <w:pPr>
        <w:ind w:left="480" w:hanging="186"/>
        <w:spacing w:after="0" w:line="293"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LX2022 </w:t>
      </w:r>
      <w:r>
        <w:rPr>
          <w:rFonts w:ascii="Arial" w:cs="Arial" w:eastAsia="Arial" w:hAnsi="Arial"/>
          <w:sz w:val="16"/>
          <w:szCs w:val="16"/>
          <w:color w:val="auto"/>
        </w:rPr>
        <w:t>is a gene therapy candidate we are developing to intravenously deliver a functional</w:t>
      </w:r>
      <w:r>
        <w:rPr>
          <w:rFonts w:ascii="Arial" w:cs="Arial" w:eastAsia="Arial" w:hAnsi="Arial"/>
          <w:sz w:val="16"/>
          <w:szCs w:val="16"/>
          <w:i w:val="1"/>
          <w:iCs w:val="1"/>
          <w:color w:val="auto"/>
        </w:rPr>
        <w:t xml:space="preserve"> TNNI3 </w:t>
      </w:r>
      <w:r>
        <w:rPr>
          <w:rFonts w:ascii="Arial" w:cs="Arial" w:eastAsia="Arial" w:hAnsi="Arial"/>
          <w:sz w:val="16"/>
          <w:szCs w:val="16"/>
          <w:color w:val="auto"/>
        </w:rPr>
        <w:t>gene to myocardial cells to treat a distinct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of hypertrophic cardiomyopathy, or HCM, due to mutations in the </w:t>
      </w:r>
      <w:r>
        <w:rPr>
          <w:rFonts w:ascii="Arial" w:cs="Arial" w:eastAsia="Arial" w:hAnsi="Arial"/>
          <w:sz w:val="16"/>
          <w:szCs w:val="16"/>
          <w:i w:val="1"/>
          <w:iCs w:val="1"/>
          <w:color w:val="auto"/>
        </w:rPr>
        <w:t>TNNI3</w:t>
      </w:r>
      <w:r>
        <w:rPr>
          <w:rFonts w:ascii="Arial" w:cs="Arial" w:eastAsia="Arial" w:hAnsi="Arial"/>
          <w:sz w:val="16"/>
          <w:szCs w:val="16"/>
          <w:color w:val="auto"/>
        </w:rPr>
        <w:t xml:space="preserve"> gene. Mutations in the </w:t>
      </w:r>
      <w:r>
        <w:rPr>
          <w:rFonts w:ascii="Arial" w:cs="Arial" w:eastAsia="Arial" w:hAnsi="Arial"/>
          <w:sz w:val="16"/>
          <w:szCs w:val="16"/>
          <w:i w:val="1"/>
          <w:iCs w:val="1"/>
          <w:color w:val="auto"/>
        </w:rPr>
        <w:t>TNNI3</w:t>
      </w:r>
      <w:r>
        <w:rPr>
          <w:rFonts w:ascii="Arial" w:cs="Arial" w:eastAsia="Arial" w:hAnsi="Arial"/>
          <w:sz w:val="16"/>
          <w:szCs w:val="16"/>
          <w:color w:val="auto"/>
        </w:rPr>
        <w:t xml:space="preserve"> gene often result in left ventricular hypertrophy and restrictive cardiomyopathy, leading to arrhythmias and heart failure. With an estimated prevalence of 1 in 500 people in the United States, HCM is one of the most common forms of genetic cardiomyopathy and is caused by mutations that affect the cardiac sarcomere in approximately 75% of cases. It is estimated that as many as 25,000 patients in the United States and 34,000 patients in the European Union are affected by HCM caused by mutations in the </w:t>
      </w:r>
      <w:r>
        <w:rPr>
          <w:rFonts w:ascii="Arial" w:cs="Arial" w:eastAsia="Arial" w:hAnsi="Arial"/>
          <w:sz w:val="16"/>
          <w:szCs w:val="16"/>
          <w:i w:val="1"/>
          <w:iCs w:val="1"/>
          <w:color w:val="auto"/>
        </w:rPr>
        <w:t>TNNI3</w:t>
      </w:r>
      <w:r>
        <w:rPr>
          <w:rFonts w:ascii="Arial" w:cs="Arial" w:eastAsia="Arial" w:hAnsi="Arial"/>
          <w:sz w:val="16"/>
          <w:szCs w:val="16"/>
          <w:color w:val="auto"/>
        </w:rPr>
        <w:t xml:space="preserve"> gene. We plan to complete candidate selection for LX2022 in 2024.</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APOE4-associated Alzheimer’s disease programs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developing a portfolio of approaches to treat the genetics underlying Alzheimer’s disease.</w:t>
      </w:r>
    </w:p>
    <w:p>
      <w:pPr>
        <w:spacing w:after="0" w:line="158" w:lineRule="exact"/>
        <w:rPr>
          <w:sz w:val="20"/>
          <w:szCs w:val="20"/>
          <w:color w:val="auto"/>
        </w:rPr>
      </w:pPr>
    </w:p>
    <w:p>
      <w:pPr>
        <w:ind w:left="480" w:right="120" w:hanging="186"/>
        <w:spacing w:after="0" w:line="279"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LX1001 </w:t>
      </w:r>
      <w:r>
        <w:rPr>
          <w:rFonts w:ascii="Arial" w:cs="Arial" w:eastAsia="Arial" w:hAnsi="Arial"/>
          <w:sz w:val="17"/>
          <w:szCs w:val="17"/>
          <w:color w:val="auto"/>
        </w:rPr>
        <w:t>is an AAVrh10-based gene therapy candidate designed to deliver into the cerebrospinal fluid, or CSF, an</w:t>
      </w:r>
      <w:r>
        <w:rPr>
          <w:rFonts w:ascii="Arial" w:cs="Arial" w:eastAsia="Arial" w:hAnsi="Arial"/>
          <w:sz w:val="17"/>
          <w:szCs w:val="17"/>
          <w:i w:val="1"/>
          <w:iCs w:val="1"/>
          <w:color w:val="auto"/>
        </w:rPr>
        <w:t xml:space="preserve"> APOE2 </w:t>
      </w:r>
      <w:r>
        <w:rPr>
          <w:rFonts w:ascii="Arial" w:cs="Arial" w:eastAsia="Arial" w:hAnsi="Arial"/>
          <w:sz w:val="17"/>
          <w:szCs w:val="17"/>
          <w:color w:val="auto"/>
        </w:rPr>
        <w:t>gene for the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w:t>
      </w:r>
      <w:r>
        <w:rPr>
          <w:rFonts w:ascii="Arial" w:cs="Arial" w:eastAsia="Arial" w:hAnsi="Arial"/>
          <w:sz w:val="17"/>
          <w:szCs w:val="17"/>
          <w:i w:val="1"/>
          <w:iCs w:val="1"/>
          <w:color w:val="auto"/>
        </w:rPr>
        <w:t>APOE4</w:t>
      </w:r>
      <w:r>
        <w:rPr>
          <w:rFonts w:ascii="Arial" w:cs="Arial" w:eastAsia="Arial" w:hAnsi="Arial"/>
          <w:sz w:val="17"/>
          <w:szCs w:val="17"/>
          <w:color w:val="auto"/>
        </w:rPr>
        <w:t xml:space="preserve"> homozygous patients with Alzheimer’s disease. Alzheimer’s disease is the leading cause of cognitive decline in late adult life and characterized by complex underlying pathology in the central nervous system, or CNS. Individuals homozygous for </w:t>
      </w:r>
      <w:r>
        <w:rPr>
          <w:rFonts w:ascii="Arial" w:cs="Arial" w:eastAsia="Arial" w:hAnsi="Arial"/>
          <w:sz w:val="17"/>
          <w:szCs w:val="17"/>
          <w:i w:val="1"/>
          <w:iCs w:val="1"/>
          <w:color w:val="auto"/>
        </w:rPr>
        <w:t>APOE4</w:t>
      </w:r>
      <w:r>
        <w:rPr>
          <w:rFonts w:ascii="Arial" w:cs="Arial" w:eastAsia="Arial" w:hAnsi="Arial"/>
          <w:sz w:val="17"/>
          <w:szCs w:val="17"/>
          <w:color w:val="auto"/>
        </w:rPr>
        <w:t xml:space="preserve">, an allele of the gene </w:t>
      </w:r>
      <w:r>
        <w:rPr>
          <w:rFonts w:ascii="Arial" w:cs="Arial" w:eastAsia="Arial" w:hAnsi="Arial"/>
          <w:sz w:val="17"/>
          <w:szCs w:val="17"/>
          <w:i w:val="1"/>
          <w:iCs w:val="1"/>
          <w:color w:val="auto"/>
        </w:rPr>
        <w:t>APOE</w:t>
      </w:r>
      <w:r>
        <w:rPr>
          <w:rFonts w:ascii="Arial" w:cs="Arial" w:eastAsia="Arial" w:hAnsi="Arial"/>
          <w:sz w:val="17"/>
          <w:szCs w:val="17"/>
          <w:color w:val="auto"/>
        </w:rPr>
        <w:t>, are approximately 15 times more likely to develop Alzheimer’s disease than the general population,</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right="20"/>
        <w:spacing w:after="0" w:line="289" w:lineRule="auto"/>
        <w:rPr>
          <w:sz w:val="20"/>
          <w:szCs w:val="20"/>
          <w:color w:val="auto"/>
        </w:rPr>
      </w:pPr>
      <w:r>
        <w:rPr>
          <w:rFonts w:ascii="Arial" w:cs="Arial" w:eastAsia="Arial" w:hAnsi="Arial"/>
          <w:sz w:val="16"/>
          <w:szCs w:val="16"/>
          <w:color w:val="auto"/>
        </w:rPr>
        <w:t xml:space="preserve">and it is estimated that there are 900,000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with Alzheimer’s disease in the United States alone. Conversely, individuals homozygous for the </w:t>
      </w:r>
      <w:r>
        <w:rPr>
          <w:rFonts w:ascii="Arial" w:cs="Arial" w:eastAsia="Arial" w:hAnsi="Arial"/>
          <w:sz w:val="16"/>
          <w:szCs w:val="16"/>
          <w:i w:val="1"/>
          <w:iCs w:val="1"/>
          <w:color w:val="auto"/>
        </w:rPr>
        <w:t>APOE</w:t>
      </w:r>
      <w:r>
        <w:rPr>
          <w:rFonts w:ascii="Arial" w:cs="Arial" w:eastAsia="Arial" w:hAnsi="Arial"/>
          <w:sz w:val="16"/>
          <w:szCs w:val="16"/>
          <w:color w:val="auto"/>
        </w:rPr>
        <w:t xml:space="preserve"> allele </w:t>
      </w:r>
      <w:r>
        <w:rPr>
          <w:rFonts w:ascii="Arial" w:cs="Arial" w:eastAsia="Arial" w:hAnsi="Arial"/>
          <w:sz w:val="16"/>
          <w:szCs w:val="16"/>
          <w:i w:val="1"/>
          <w:iCs w:val="1"/>
          <w:color w:val="auto"/>
        </w:rPr>
        <w:t>APOE2</w:t>
      </w:r>
      <w:r>
        <w:rPr>
          <w:rFonts w:ascii="Arial" w:cs="Arial" w:eastAsia="Arial" w:hAnsi="Arial"/>
          <w:sz w:val="16"/>
          <w:szCs w:val="16"/>
          <w:color w:val="auto"/>
        </w:rPr>
        <w:t xml:space="preserve"> are 40% less likely to develop Alzheimer’s disease than the general population. This and other evidence suggest that </w:t>
      </w:r>
      <w:r>
        <w:rPr>
          <w:rFonts w:ascii="Arial" w:cs="Arial" w:eastAsia="Arial" w:hAnsi="Arial"/>
          <w:sz w:val="16"/>
          <w:szCs w:val="16"/>
          <w:i w:val="1"/>
          <w:iCs w:val="1"/>
          <w:color w:val="auto"/>
        </w:rPr>
        <w:t>APOE2</w:t>
      </w:r>
      <w:r>
        <w:rPr>
          <w:rFonts w:ascii="Arial" w:cs="Arial" w:eastAsia="Arial" w:hAnsi="Arial"/>
          <w:sz w:val="16"/>
          <w:szCs w:val="16"/>
          <w:color w:val="auto"/>
        </w:rPr>
        <w:t xml:space="preserve"> may play a neuroprotective role. LX1001 is designed to express the protective </w:t>
      </w:r>
      <w:r>
        <w:rPr>
          <w:rFonts w:ascii="Arial" w:cs="Arial" w:eastAsia="Arial" w:hAnsi="Arial"/>
          <w:sz w:val="16"/>
          <w:szCs w:val="16"/>
          <w:i w:val="1"/>
          <w:iCs w:val="1"/>
          <w:color w:val="auto"/>
        </w:rPr>
        <w:t>APOE2</w:t>
      </w:r>
      <w:r>
        <w:rPr>
          <w:rFonts w:ascii="Arial" w:cs="Arial" w:eastAsia="Arial" w:hAnsi="Arial"/>
          <w:sz w:val="16"/>
          <w:szCs w:val="16"/>
          <w:color w:val="auto"/>
        </w:rPr>
        <w:t xml:space="preserve"> gene in the CNS of </w:t>
      </w:r>
      <w:r>
        <w:rPr>
          <w:rFonts w:ascii="Arial" w:cs="Arial" w:eastAsia="Arial" w:hAnsi="Arial"/>
          <w:sz w:val="16"/>
          <w:szCs w:val="16"/>
          <w:i w:val="1"/>
          <w:iCs w:val="1"/>
          <w:color w:val="auto"/>
        </w:rPr>
        <w:t xml:space="preserve">APOE4 </w:t>
      </w:r>
      <w:r>
        <w:rPr>
          <w:rFonts w:ascii="Arial" w:cs="Arial" w:eastAsia="Arial" w:hAnsi="Arial"/>
          <w:sz w:val="16"/>
          <w:szCs w:val="16"/>
          <w:color w:val="auto"/>
        </w:rPr>
        <w:t xml:space="preserve">homozygous patients in order to halt or slow the progression of Alzheimer’s disease. LX1001 is being evaluated in an ongoing open-label, dose- escalation Phase 1/2 clinical trial. In the first dose cohort in the trial, we observed a consistent trend towards improvement in Alzheimer’s disease CSF biomarkers, such as total tau and phosphorylated tau. We have also observed expression of the protective APOE2 protein in all patients in the first dose cohort with follow-up data. LX1001 has been granted Fast Track designation by the FDA for the treatment of patients with early Alzheimer’s disease who are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to slow disease progression. We expect to complete enrollment in the trial by the end of 2023 and report additional interim data from all cohorts in the Phase 1/2 clinical trial in the second half of 2024.</w:t>
      </w:r>
    </w:p>
    <w:p>
      <w:pPr>
        <w:spacing w:after="0" w:line="99" w:lineRule="exact"/>
        <w:rPr>
          <w:sz w:val="20"/>
          <w:szCs w:val="20"/>
          <w:color w:val="auto"/>
        </w:rPr>
      </w:pPr>
    </w:p>
    <w:p>
      <w:pPr>
        <w:ind w:left="480" w:hanging="186"/>
        <w:spacing w:after="0" w:line="254"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LX1021 </w:t>
      </w:r>
      <w:r>
        <w:rPr>
          <w:rFonts w:ascii="Arial" w:cs="Arial" w:eastAsia="Arial" w:hAnsi="Arial"/>
          <w:sz w:val="18"/>
          <w:szCs w:val="18"/>
          <w:color w:val="auto"/>
        </w:rPr>
        <w:t>is a gene therapy candidate we are developing to deliver a Christchurch mutation-modified</w:t>
      </w:r>
      <w:r>
        <w:rPr>
          <w:rFonts w:ascii="Arial" w:cs="Arial" w:eastAsia="Arial" w:hAnsi="Arial"/>
          <w:sz w:val="18"/>
          <w:szCs w:val="18"/>
          <w:i w:val="1"/>
          <w:iCs w:val="1"/>
          <w:color w:val="auto"/>
        </w:rPr>
        <w:t xml:space="preserve"> APOE2 </w:t>
      </w:r>
      <w:r>
        <w:rPr>
          <w:rFonts w:ascii="Arial" w:cs="Arial" w:eastAsia="Arial" w:hAnsi="Arial"/>
          <w:sz w:val="18"/>
          <w:szCs w:val="18"/>
          <w:color w:val="auto"/>
        </w:rPr>
        <w:t>allele for the treatment of</w:t>
      </w:r>
      <w:r>
        <w:rPr>
          <w:rFonts w:ascii="Arial" w:cs="Arial" w:eastAsia="Arial" w:hAnsi="Arial"/>
          <w:sz w:val="18"/>
          <w:szCs w:val="18"/>
          <w:i w:val="1"/>
          <w:iCs w:val="1"/>
          <w:color w:val="auto"/>
        </w:rPr>
        <w:t xml:space="preserve"> APOE4 </w:t>
      </w:r>
      <w:r>
        <w:rPr>
          <w:rFonts w:ascii="Arial" w:cs="Arial" w:eastAsia="Arial" w:hAnsi="Arial"/>
          <w:sz w:val="18"/>
          <w:szCs w:val="18"/>
          <w:color w:val="auto"/>
        </w:rPr>
        <w:t xml:space="preserve">homozygous patients with Alzheimer’s disease. The Christchurch mutation has been recognized to protect individuals against Alzheimer’s disease even in the presence of significant amyloid pathology. The mechanism of this protection may relate to the fact that </w:t>
      </w:r>
      <w:r>
        <w:rPr>
          <w:rFonts w:ascii="Arial" w:cs="Arial" w:eastAsia="Arial" w:hAnsi="Arial"/>
          <w:sz w:val="18"/>
          <w:szCs w:val="18"/>
          <w:i w:val="1"/>
          <w:iCs w:val="1"/>
          <w:color w:val="auto"/>
        </w:rPr>
        <w:t>APOE</w:t>
      </w:r>
      <w:r>
        <w:rPr>
          <w:rFonts w:ascii="Arial" w:cs="Arial" w:eastAsia="Arial" w:hAnsi="Arial"/>
          <w:sz w:val="18"/>
          <w:szCs w:val="18"/>
          <w:color w:val="auto"/>
        </w:rPr>
        <w:t xml:space="preserve">, in the presence of the Christchurch mutation, binds poorly to heparan sulfate proteoglycans, which are molecules found on the surface of neurons that may inhibit the spread of tau between cells. We believe this approach has the potential to enhance the protective effect of </w:t>
      </w:r>
      <w:r>
        <w:rPr>
          <w:rFonts w:ascii="Arial" w:cs="Arial" w:eastAsia="Arial" w:hAnsi="Arial"/>
          <w:sz w:val="18"/>
          <w:szCs w:val="18"/>
          <w:i w:val="1"/>
          <w:iCs w:val="1"/>
          <w:color w:val="auto"/>
        </w:rPr>
        <w:t>APOE2</w:t>
      </w:r>
      <w:r>
        <w:rPr>
          <w:rFonts w:ascii="Arial" w:cs="Arial" w:eastAsia="Arial" w:hAnsi="Arial"/>
          <w:sz w:val="18"/>
          <w:szCs w:val="18"/>
          <w:color w:val="auto"/>
        </w:rPr>
        <w:t xml:space="preserve"> in homozygous APOE4-associated Alzheimer’s disease. We plan to hold a pre-IND meeting with the FDA in 2024 to guide the next stage of development for this program.</w:t>
      </w:r>
    </w:p>
    <w:p>
      <w:pPr>
        <w:spacing w:after="0" w:line="127" w:lineRule="exact"/>
        <w:rPr>
          <w:rFonts w:ascii="Arial" w:cs="Arial" w:eastAsia="Arial" w:hAnsi="Arial"/>
          <w:sz w:val="18"/>
          <w:szCs w:val="18"/>
          <w:color w:val="auto"/>
        </w:rPr>
      </w:pPr>
    </w:p>
    <w:p>
      <w:pPr>
        <w:ind w:left="480" w:right="40" w:hanging="186"/>
        <w:spacing w:after="0" w:line="25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LX1020 </w:t>
      </w:r>
      <w:r>
        <w:rPr>
          <w:rFonts w:ascii="Arial" w:cs="Arial" w:eastAsia="Arial" w:hAnsi="Arial"/>
          <w:sz w:val="18"/>
          <w:szCs w:val="18"/>
          <w:color w:val="auto"/>
        </w:rPr>
        <w:t>is a gene therapy candidate we are developing to deliver both the protective</w:t>
      </w:r>
      <w:r>
        <w:rPr>
          <w:rFonts w:ascii="Arial" w:cs="Arial" w:eastAsia="Arial" w:hAnsi="Arial"/>
          <w:sz w:val="18"/>
          <w:szCs w:val="18"/>
          <w:i w:val="1"/>
          <w:iCs w:val="1"/>
          <w:color w:val="auto"/>
        </w:rPr>
        <w:t xml:space="preserve"> APOE2 </w:t>
      </w:r>
      <w:r>
        <w:rPr>
          <w:rFonts w:ascii="Arial" w:cs="Arial" w:eastAsia="Arial" w:hAnsi="Arial"/>
          <w:sz w:val="18"/>
          <w:szCs w:val="18"/>
          <w:color w:val="auto"/>
        </w:rPr>
        <w:t>allele and miRNA to suppress</w:t>
      </w:r>
      <w:r>
        <w:rPr>
          <w:rFonts w:ascii="Arial" w:cs="Arial" w:eastAsia="Arial" w:hAnsi="Arial"/>
          <w:sz w:val="18"/>
          <w:szCs w:val="18"/>
          <w:i w:val="1"/>
          <w:iCs w:val="1"/>
          <w:color w:val="auto"/>
        </w:rPr>
        <w:t xml:space="preserve"> APOE4 </w:t>
      </w:r>
      <w:r>
        <w:rPr>
          <w:rFonts w:ascii="Arial" w:cs="Arial" w:eastAsia="Arial" w:hAnsi="Arial"/>
          <w:sz w:val="18"/>
          <w:szCs w:val="18"/>
          <w:color w:val="auto"/>
        </w:rPr>
        <w:t>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treatment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We believe delivery of </w:t>
      </w:r>
      <w:r>
        <w:rPr>
          <w:rFonts w:ascii="Arial" w:cs="Arial" w:eastAsia="Arial" w:hAnsi="Arial"/>
          <w:sz w:val="18"/>
          <w:szCs w:val="18"/>
          <w:i w:val="1"/>
          <w:iCs w:val="1"/>
          <w:color w:val="auto"/>
        </w:rPr>
        <w:t>APOE2</w:t>
      </w:r>
      <w:r>
        <w:rPr>
          <w:rFonts w:ascii="Arial" w:cs="Arial" w:eastAsia="Arial" w:hAnsi="Arial"/>
          <w:sz w:val="18"/>
          <w:szCs w:val="18"/>
          <w:color w:val="auto"/>
        </w:rPr>
        <w:t xml:space="preserve"> with concurrent suppression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will achieve a higher degree of conversion to the </w:t>
      </w:r>
      <w:r>
        <w:rPr>
          <w:rFonts w:ascii="Arial" w:cs="Arial" w:eastAsia="Arial" w:hAnsi="Arial"/>
          <w:sz w:val="18"/>
          <w:szCs w:val="18"/>
          <w:i w:val="1"/>
          <w:iCs w:val="1"/>
          <w:color w:val="auto"/>
        </w:rPr>
        <w:t>APOE4/E2</w:t>
      </w:r>
      <w:r>
        <w:rPr>
          <w:rFonts w:ascii="Arial" w:cs="Arial" w:eastAsia="Arial" w:hAnsi="Arial"/>
          <w:sz w:val="18"/>
          <w:szCs w:val="18"/>
          <w:color w:val="auto"/>
        </w:rPr>
        <w:t xml:space="preserve"> heterozygous profile, which should lead to greater therapeutic effect. We plan to complete candidate selection in 2024.</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approach</w:t>
      </w:r>
    </w:p>
    <w:p>
      <w:pPr>
        <w:spacing w:after="0" w:line="152"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Our integrated modular approach enables us to optimize our strategy to pursue larger-rare and prevalent genetically defined indications in specific sub-groups of patients, and is comprised of our technology approach, our precision medicine focus, our disease area strategy, our manufacturing process and academic collaborations.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technology approach</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that our approach to technology confers the following advantages over existing gene therapy technologies:</w:t>
      </w:r>
    </w:p>
    <w:p>
      <w:pPr>
        <w:spacing w:after="0" w:line="154" w:lineRule="exact"/>
        <w:rPr>
          <w:sz w:val="20"/>
          <w:szCs w:val="20"/>
          <w:color w:val="auto"/>
        </w:rPr>
      </w:pPr>
    </w:p>
    <w:p>
      <w:pPr>
        <w:ind w:left="480" w:right="140" w:hanging="186"/>
        <w:spacing w:after="0" w:line="25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High Transduction Efficiency and Biodistribution</w:t>
      </w:r>
      <w:r>
        <w:rPr>
          <w:rFonts w:ascii="Arial" w:cs="Arial" w:eastAsia="Arial" w:hAnsi="Arial"/>
          <w:sz w:val="18"/>
          <w:szCs w:val="18"/>
          <w:i w:val="1"/>
          <w:iCs w:val="1"/>
          <w:color w:val="auto"/>
        </w:rPr>
        <w:t>.</w:t>
      </w:r>
      <w:r>
        <w:rPr>
          <w:rFonts w:ascii="Arial" w:cs="Arial" w:eastAsia="Arial" w:hAnsi="Arial"/>
          <w:sz w:val="18"/>
          <w:szCs w:val="18"/>
          <w:color w:val="auto"/>
        </w:rPr>
        <w:t>  The AAVrh10 vector has been shown to be capable of transducing myocardial cells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preclinical research, and it has been shown to be capable of transducing neurons based on results from preclinical studies and our ongoing clinical trials. We believe these results demonstrate that among currently available, commonly used serotypes, AAVrh10 is an efficient vector for delivery and expression of transgenes for the treatment of the cardiovascular diseases that we are currently targeting and APOE4-associated Alzheimer’s disease.</w:t>
      </w:r>
    </w:p>
    <w:p>
      <w:pPr>
        <w:spacing w:after="0" w:line="115" w:lineRule="exact"/>
        <w:rPr>
          <w:rFonts w:ascii="Arial" w:cs="Arial" w:eastAsia="Arial" w:hAnsi="Arial"/>
          <w:sz w:val="18"/>
          <w:szCs w:val="18"/>
          <w:color w:val="auto"/>
        </w:rPr>
      </w:pPr>
    </w:p>
    <w:p>
      <w:pPr>
        <w:ind w:left="480" w:right="220" w:hanging="186"/>
        <w:spacing w:after="0" w:line="282"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Reduced Toxicity</w:t>
      </w:r>
      <w:r>
        <w:rPr>
          <w:rFonts w:ascii="Arial" w:cs="Arial" w:eastAsia="Arial" w:hAnsi="Arial"/>
          <w:sz w:val="18"/>
          <w:szCs w:val="18"/>
          <w:i w:val="1"/>
          <w:iCs w:val="1"/>
          <w:color w:val="auto"/>
        </w:rPr>
        <w:t>.</w:t>
      </w:r>
      <w:r>
        <w:rPr>
          <w:rFonts w:ascii="Arial" w:cs="Arial" w:eastAsia="Arial" w:hAnsi="Arial"/>
          <w:sz w:val="18"/>
          <w:szCs w:val="18"/>
          <w:color w:val="auto"/>
        </w:rPr>
        <w:t>  The cardiac tropism of AAVrh10 may allow our gene therapy candidates to be systemically administered at lower doses</w:t>
      </w:r>
      <w:r>
        <w:rPr>
          <w:rFonts w:ascii="Arial" w:cs="Arial" w:eastAsia="Arial" w:hAnsi="Arial"/>
          <w:sz w:val="18"/>
          <w:szCs w:val="18"/>
          <w:b w:val="1"/>
          <w:bCs w:val="1"/>
          <w:color w:val="auto"/>
        </w:rPr>
        <w:t xml:space="preserve"> </w:t>
      </w:r>
      <w:r>
        <w:rPr>
          <w:rFonts w:ascii="Arial" w:cs="Arial" w:eastAsia="Arial" w:hAnsi="Arial"/>
          <w:sz w:val="18"/>
          <w:szCs w:val="18"/>
          <w:color w:val="auto"/>
        </w:rPr>
        <w:t>than many other AAV-based therapies targeting cardiovascular or other systemic diseases.</w:t>
      </w:r>
    </w:p>
    <w:p>
      <w:pPr>
        <w:spacing w:after="0" w:line="98" w:lineRule="exact"/>
        <w:rPr>
          <w:rFonts w:ascii="Arial" w:cs="Arial" w:eastAsia="Arial" w:hAnsi="Arial"/>
          <w:sz w:val="18"/>
          <w:szCs w:val="18"/>
          <w:color w:val="auto"/>
        </w:rPr>
      </w:pPr>
    </w:p>
    <w:p>
      <w:pPr>
        <w:ind w:left="480" w:right="160" w:hanging="186"/>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Reduced Pre-Existing Neutralizing Antibodies.  </w:t>
      </w:r>
      <w:r>
        <w:rPr>
          <w:rFonts w:ascii="Arial" w:cs="Arial" w:eastAsia="Arial" w:hAnsi="Arial"/>
          <w:sz w:val="18"/>
          <w:szCs w:val="18"/>
          <w:color w:val="auto"/>
        </w:rPr>
        <w:t>Treatments leveraging vector serotypes to which humans have pre-existing immunity tend to</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effective. Among the naturally occurring and commonly used AAV</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serotypes, AAVrh10 has been shown in preclinical studies to have among the lowest levels of pre-existing neutralizing antibodies.</w:t>
      </w:r>
    </w:p>
    <w:p>
      <w:pPr>
        <w:spacing w:after="0" w:line="158" w:lineRule="exact"/>
        <w:rPr>
          <w:sz w:val="20"/>
          <w:szCs w:val="20"/>
          <w:color w:val="auto"/>
        </w:rPr>
      </w:pPr>
    </w:p>
    <w:p>
      <w:pPr>
        <w:ind w:left="480" w:right="480" w:hanging="186"/>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Optimized Expression.</w:t>
      </w:r>
      <w:r>
        <w:rPr>
          <w:rFonts w:ascii="Arial" w:cs="Arial" w:eastAsia="Arial" w:hAnsi="Arial"/>
          <w:sz w:val="18"/>
          <w:szCs w:val="18"/>
          <w:color w:val="auto"/>
        </w:rPr>
        <w:t>  We are collaborating with our academic partners to develop novel solutions to optimize the potential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our product candidates.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precision medicine focus</w:t>
      </w:r>
    </w:p>
    <w:p>
      <w:pPr>
        <w:spacing w:after="0" w:line="15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We believe a precision medicine focus for cardiovascular diseases and APOE4-associated Alzheimer’s disease represents a compelling opportunity and the next frontier in expanding the impact of genetic medicines across therapeutic areas:</w:t>
      </w:r>
    </w:p>
    <w:p>
      <w:pPr>
        <w:spacing w:after="0" w:line="103" w:lineRule="exact"/>
        <w:rPr>
          <w:sz w:val="20"/>
          <w:szCs w:val="20"/>
          <w:color w:val="auto"/>
        </w:rPr>
      </w:pPr>
    </w:p>
    <w:p>
      <w:pPr>
        <w:ind w:left="480" w:right="60" w:hanging="186"/>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Precision genetic medicines target the underlying cause of the disease. </w:t>
      </w:r>
      <w:r>
        <w:rPr>
          <w:rFonts w:ascii="Arial" w:cs="Arial" w:eastAsia="Arial" w:hAnsi="Arial"/>
          <w:sz w:val="18"/>
          <w:szCs w:val="18"/>
          <w:color w:val="auto"/>
        </w:rPr>
        <w:t>Next-generation precision based genetic medicines offer the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to directly target the mechanisms underlying cardiovascular disease and Alzheimer’s disease.</w:t>
      </w:r>
    </w:p>
    <w:p>
      <w:pPr>
        <w:spacing w:after="0" w:line="102" w:lineRule="exact"/>
        <w:rPr>
          <w:rFonts w:ascii="Arial" w:cs="Arial" w:eastAsia="Arial" w:hAnsi="Arial"/>
          <w:sz w:val="18"/>
          <w:szCs w:val="18"/>
          <w:color w:val="auto"/>
        </w:rPr>
      </w:pPr>
    </w:p>
    <w:p>
      <w:pPr>
        <w:ind w:left="480" w:right="20" w:hanging="186"/>
        <w:spacing w:after="0" w:line="311"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Significant unmet need in cardiovascular disease and APOE4-associated Alzheimer’s disease. </w:t>
      </w:r>
      <w:r>
        <w:rPr>
          <w:rFonts w:ascii="Arial" w:cs="Arial" w:eastAsia="Arial" w:hAnsi="Arial"/>
          <w:sz w:val="16"/>
          <w:szCs w:val="16"/>
          <w:color w:val="auto"/>
        </w:rPr>
        <w:t>More than 30 million adults have been diagnosed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approximately 655,000 Americans die yearly from heart disease. Additionally, we believe there are approximately 900,000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in the United States, and current treatment options are likely to be less effective for this subgroup of patients.</w:t>
      </w:r>
    </w:p>
    <w:p>
      <w:pPr>
        <w:spacing w:after="0" w:line="81" w:lineRule="exact"/>
        <w:rPr>
          <w:rFonts w:ascii="Arial" w:cs="Arial" w:eastAsia="Arial" w:hAnsi="Arial"/>
          <w:sz w:val="16"/>
          <w:szCs w:val="16"/>
          <w:color w:val="auto"/>
        </w:rPr>
      </w:pPr>
    </w:p>
    <w:p>
      <w:pPr>
        <w:ind w:left="480" w:right="20" w:hanging="186"/>
        <w:spacing w:after="0" w:line="342"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Improved landscape of regulatory precedents utilizing cardiac and CNS biomarkers. </w:t>
      </w:r>
      <w:r>
        <w:rPr>
          <w:rFonts w:ascii="Arial" w:cs="Arial" w:eastAsia="Arial" w:hAnsi="Arial"/>
          <w:sz w:val="16"/>
          <w:szCs w:val="16"/>
          <w:color w:val="auto"/>
        </w:rPr>
        <w:t>Biomarkers can help accelerate development timelines,</w:t>
      </w:r>
      <w:r>
        <w:rPr>
          <w:rFonts w:ascii="Arial" w:cs="Arial" w:eastAsia="Arial" w:hAnsi="Arial"/>
          <w:sz w:val="16"/>
          <w:szCs w:val="16"/>
          <w:i w:val="1"/>
          <w:iCs w:val="1"/>
          <w:color w:val="auto"/>
        </w:rPr>
        <w:t xml:space="preserve"> </w:t>
      </w:r>
      <w:r>
        <w:rPr>
          <w:rFonts w:ascii="Arial" w:cs="Arial" w:eastAsia="Arial" w:hAnsi="Arial"/>
          <w:sz w:val="16"/>
          <w:szCs w:val="16"/>
          <w:color w:val="auto"/>
        </w:rPr>
        <w:t>reduce patient attrition, and reduce the overall cost of drug development by providing an early read on potential efficacy and therapeutic impact.</w:t>
      </w:r>
    </w:p>
    <w:p>
      <w:pPr>
        <w:spacing w:after="0" w:line="56" w:lineRule="exact"/>
        <w:rPr>
          <w:rFonts w:ascii="Arial" w:cs="Arial" w:eastAsia="Arial" w:hAnsi="Arial"/>
          <w:sz w:val="16"/>
          <w:szCs w:val="16"/>
          <w:color w:val="auto"/>
        </w:rPr>
      </w:pPr>
    </w:p>
    <w:p>
      <w:pPr>
        <w:jc w:val="both"/>
        <w:ind w:left="480" w:right="140" w:hanging="186"/>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Improved diagnostics expand market opportunity. </w:t>
      </w:r>
      <w:r>
        <w:rPr>
          <w:rFonts w:ascii="Arial" w:cs="Arial" w:eastAsia="Arial" w:hAnsi="Arial"/>
          <w:sz w:val="18"/>
          <w:szCs w:val="18"/>
          <w:color w:val="auto"/>
        </w:rPr>
        <w:t>Implementation of genetic testing has the potential to help identify patients, including those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asymptomatic or at a higher likelihood of developing the disease being evaluated or who respond less favorably to currently approved treatments.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disease area strategy</w:t>
      </w:r>
    </w:p>
    <w:p>
      <w:pPr>
        <w:spacing w:after="0" w:line="158" w:lineRule="exact"/>
        <w:rPr>
          <w:sz w:val="20"/>
          <w:szCs w:val="20"/>
          <w:color w:val="auto"/>
        </w:rPr>
      </w:pPr>
    </w:p>
    <w:p>
      <w:pPr>
        <w:ind w:left="300" w:right="560"/>
        <w:spacing w:after="0" w:line="277" w:lineRule="auto"/>
        <w:rPr>
          <w:sz w:val="20"/>
          <w:szCs w:val="20"/>
          <w:color w:val="auto"/>
        </w:rPr>
      </w:pPr>
      <w:r>
        <w:rPr>
          <w:rFonts w:ascii="Arial" w:cs="Arial" w:eastAsia="Arial" w:hAnsi="Arial"/>
          <w:sz w:val="18"/>
          <w:szCs w:val="18"/>
          <w:color w:val="auto"/>
        </w:rPr>
        <w:t>We employ a strategy to select targets in indications that have relatively large patient populations, high unmet need and technically feasible treatment profiles.</w:t>
      </w: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disease area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cardiovascular and APOE4-associated gene therapy programs have the following characteristics:</w:t>
      </w:r>
    </w:p>
    <w:p>
      <w:pPr>
        <w:spacing w:after="0" w:line="158" w:lineRule="exact"/>
        <w:rPr>
          <w:sz w:val="20"/>
          <w:szCs w:val="20"/>
          <w:color w:val="auto"/>
        </w:rPr>
      </w:pPr>
    </w:p>
    <w:p>
      <w:pPr>
        <w:ind w:left="480" w:right="60" w:hanging="186"/>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Indications that may be effectively treated by gene therapy.  </w:t>
      </w:r>
      <w:r>
        <w:rPr>
          <w:rFonts w:ascii="Arial" w:cs="Arial" w:eastAsia="Arial" w:hAnsi="Arial"/>
          <w:sz w:val="18"/>
          <w:szCs w:val="18"/>
          <w:color w:val="auto"/>
        </w:rPr>
        <w:t>We select targets that correspond to populations with a specific genetic profile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clearly defined disease phenotype.</w:t>
      </w:r>
    </w:p>
    <w:p>
      <w:pPr>
        <w:spacing w:after="0" w:line="102" w:lineRule="exact"/>
        <w:rPr>
          <w:rFonts w:ascii="Arial" w:cs="Arial" w:eastAsia="Arial" w:hAnsi="Arial"/>
          <w:sz w:val="18"/>
          <w:szCs w:val="18"/>
          <w:color w:val="auto"/>
        </w:rPr>
      </w:pPr>
    </w:p>
    <w:p>
      <w:pPr>
        <w:ind w:left="480" w:hanging="186"/>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Indications with the potential to demonstrate early evidence of meaningful clinical benefit.</w:t>
      </w:r>
      <w:r>
        <w:rPr>
          <w:rFonts w:ascii="Arial" w:cs="Arial" w:eastAsia="Arial" w:hAnsi="Arial"/>
          <w:sz w:val="18"/>
          <w:szCs w:val="18"/>
          <w:color w:val="auto"/>
        </w:rPr>
        <w:t>  We pursue indications with defined biomarkers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 endpoints that can provide early proof-of-mechanism and inform clinical development decisions, including the potential to seek accelerated approval pathways.</w:t>
      </w:r>
    </w:p>
    <w:p>
      <w:pPr>
        <w:spacing w:after="0" w:line="116" w:lineRule="exact"/>
        <w:rPr>
          <w:rFonts w:ascii="Arial" w:cs="Arial" w:eastAsia="Arial" w:hAnsi="Arial"/>
          <w:sz w:val="18"/>
          <w:szCs w:val="18"/>
          <w:color w:val="auto"/>
        </w:rPr>
      </w:pPr>
    </w:p>
    <w:p>
      <w:pPr>
        <w:ind w:left="480" w:right="380" w:hanging="186"/>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Present opportunity to address high unmet medical need.</w:t>
      </w:r>
      <w:r>
        <w:rPr>
          <w:rFonts w:ascii="Arial" w:cs="Arial" w:eastAsia="Arial" w:hAnsi="Arial"/>
          <w:sz w:val="18"/>
          <w:szCs w:val="18"/>
          <w:color w:val="auto"/>
        </w:rPr>
        <w:t>  We are focused on genetically defined cardiovascular diseases and APOE4-associated Alzheimer’s disease where there are no currently approved treatments or where we believe our therapeutic candidates will have a meaningful improvement relative to existing standards of care.</w:t>
      </w:r>
    </w:p>
    <w:p>
      <w:pPr>
        <w:spacing w:after="0" w:line="112" w:lineRule="exact"/>
        <w:rPr>
          <w:rFonts w:ascii="Arial" w:cs="Arial" w:eastAsia="Arial" w:hAnsi="Arial"/>
          <w:sz w:val="18"/>
          <w:szCs w:val="18"/>
          <w:color w:val="auto"/>
        </w:rPr>
      </w:pPr>
    </w:p>
    <w:p>
      <w:pPr>
        <w:ind w:left="480" w:right="280" w:hanging="186"/>
        <w:spacing w:after="0" w:line="266"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Significant market opportunity. </w:t>
      </w:r>
      <w:r>
        <w:rPr>
          <w:rFonts w:ascii="Arial" w:cs="Arial" w:eastAsia="Arial" w:hAnsi="Arial"/>
          <w:sz w:val="18"/>
          <w:szCs w:val="18"/>
          <w:color w:val="auto"/>
        </w:rPr>
        <w:t>We pursue indications with significant commercial opportunities beyond those typically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gene therapy companies targeting rare monogenic diseases. Our current focus is on targets that impact larger-rare disease or prevalent disease patient populations.</w:t>
      </w:r>
    </w:p>
    <w:p>
      <w:pPr>
        <w:spacing w:after="0" w:line="108" w:lineRule="exact"/>
        <w:rPr>
          <w:rFonts w:ascii="Arial" w:cs="Arial" w:eastAsia="Arial" w:hAnsi="Arial"/>
          <w:sz w:val="18"/>
          <w:szCs w:val="18"/>
          <w:color w:val="auto"/>
        </w:rPr>
      </w:pPr>
    </w:p>
    <w:p>
      <w:pPr>
        <w:ind w:left="480" w:right="140" w:hanging="186"/>
        <w:spacing w:after="0" w:line="289"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Targets that have established </w:t>
      </w:r>
      <w:r>
        <w:rPr>
          <w:rFonts w:ascii="Arial" w:cs="Arial" w:eastAsia="Arial" w:hAnsi="Arial"/>
          <w:sz w:val="17"/>
          <w:szCs w:val="17"/>
          <w:i w:val="1"/>
          <w:iCs w:val="1"/>
          <w:color w:val="auto"/>
        </w:rPr>
        <w:t>proof-of-concept</w:t>
      </w:r>
      <w:r>
        <w:rPr>
          <w:rFonts w:ascii="Arial" w:cs="Arial" w:eastAsia="Arial" w:hAnsi="Arial"/>
          <w:sz w:val="17"/>
          <w:szCs w:val="17"/>
          <w:b w:val="1"/>
          <w:bCs w:val="1"/>
          <w:color w:val="auto"/>
        </w:rPr>
        <w:t>.</w:t>
      </w:r>
      <w:r>
        <w:rPr>
          <w:rFonts w:ascii="Arial" w:cs="Arial" w:eastAsia="Arial" w:hAnsi="Arial"/>
          <w:sz w:val="17"/>
          <w:szCs w:val="17"/>
          <w:color w:val="auto"/>
        </w:rPr>
        <w:t> We have leveraged our relationships with academic institutions including Weill Cornell</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College, or Weill Cornell Medicine, and the University of California, San Diego, or UCSD, to in-license or acquire product candidates with established proof-of-concept in relevant preclinical models that closely resemble the clinical phenotype we are pursuing.</w:t>
      </w:r>
    </w:p>
    <w:p>
      <w:pPr>
        <w:spacing w:after="0" w:line="90" w:lineRule="exact"/>
        <w:rPr>
          <w:rFonts w:ascii="Arial" w:cs="Arial" w:eastAsia="Arial" w:hAnsi="Arial"/>
          <w:sz w:val="17"/>
          <w:szCs w:val="17"/>
          <w:color w:val="auto"/>
        </w:rPr>
      </w:pPr>
    </w:p>
    <w:p>
      <w:pPr>
        <w:ind w:left="480" w:hanging="186"/>
        <w:spacing w:after="0" w:line="289"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Targeted disease areas best treated by optimal </w:t>
      </w:r>
      <w:r>
        <w:rPr>
          <w:rFonts w:ascii="Arial" w:cs="Arial" w:eastAsia="Arial" w:hAnsi="Arial"/>
          <w:sz w:val="17"/>
          <w:szCs w:val="17"/>
          <w:i w:val="1"/>
          <w:iCs w:val="1"/>
          <w:color w:val="auto"/>
        </w:rPr>
        <w:t>delivery</w:t>
      </w:r>
      <w:r>
        <w:rPr>
          <w:rFonts w:ascii="Arial" w:cs="Arial" w:eastAsia="Arial" w:hAnsi="Arial"/>
          <w:sz w:val="17"/>
          <w:szCs w:val="17"/>
          <w:b w:val="1"/>
          <w:bCs w:val="1"/>
          <w:color w:val="auto"/>
        </w:rPr>
        <w:t xml:space="preserve"> technologies. </w:t>
      </w:r>
      <w:r>
        <w:rPr>
          <w:rFonts w:ascii="Arial" w:cs="Arial" w:eastAsia="Arial" w:hAnsi="Arial"/>
          <w:sz w:val="17"/>
          <w:szCs w:val="17"/>
          <w:color w:val="auto"/>
        </w:rPr>
        <w:t>Our current gene therapy candidates utilize the AAVrh10 vector due to</w:t>
      </w:r>
      <w:r>
        <w:rPr>
          <w:rFonts w:ascii="Arial" w:cs="Arial" w:eastAsia="Arial" w:hAnsi="Arial"/>
          <w:sz w:val="17"/>
          <w:szCs w:val="17"/>
          <w:b w:val="1"/>
          <w:bCs w:val="1"/>
          <w:color w:val="auto"/>
        </w:rPr>
        <w:t xml:space="preserve"> </w:t>
      </w:r>
      <w:r>
        <w:rPr>
          <w:rFonts w:ascii="Arial" w:cs="Arial" w:eastAsia="Arial" w:hAnsi="Arial"/>
          <w:sz w:val="17"/>
          <w:szCs w:val="17"/>
          <w:color w:val="auto"/>
        </w:rPr>
        <w:t>its tropism for the heart and its observed tolerability in clinical trials for CNS disorders. We will pursue the optimal technology to address the diseases of interest for future indications while ensuring sufficient preclinical or clinical validation for any novel approaches.</w:t>
      </w:r>
    </w:p>
    <w:p>
      <w:pPr>
        <w:spacing w:after="0" w:line="90" w:lineRule="exact"/>
        <w:rPr>
          <w:rFonts w:ascii="Arial" w:cs="Arial" w:eastAsia="Arial" w:hAnsi="Arial"/>
          <w:sz w:val="17"/>
          <w:szCs w:val="17"/>
          <w:color w:val="auto"/>
        </w:rPr>
      </w:pPr>
    </w:p>
    <w:p>
      <w:pPr>
        <w:ind w:left="480" w:right="220" w:hanging="186"/>
        <w:spacing w:after="0" w:line="303"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Readily </w:t>
      </w:r>
      <w:r>
        <w:rPr>
          <w:rFonts w:ascii="Arial" w:cs="Arial" w:eastAsia="Arial" w:hAnsi="Arial"/>
          <w:sz w:val="16"/>
          <w:szCs w:val="16"/>
          <w:i w:val="1"/>
          <w:iCs w:val="1"/>
          <w:color w:val="auto"/>
        </w:rPr>
        <w:t>accessible</w:t>
      </w:r>
      <w:r>
        <w:rPr>
          <w:rFonts w:ascii="Arial" w:cs="Arial" w:eastAsia="Arial" w:hAnsi="Arial"/>
          <w:sz w:val="16"/>
          <w:szCs w:val="16"/>
          <w:b w:val="1"/>
          <w:bCs w:val="1"/>
          <w:color w:val="auto"/>
        </w:rPr>
        <w:t xml:space="preserve"> patients</w:t>
      </w:r>
      <w:r>
        <w:rPr>
          <w:rFonts w:ascii="Arial" w:cs="Arial" w:eastAsia="Arial" w:hAnsi="Arial"/>
          <w:sz w:val="16"/>
          <w:szCs w:val="16"/>
          <w:color w:val="auto"/>
        </w:rPr>
        <w:t>. Our goal is to accelerate patient recruitment for our clinical trials and increase the likelihood of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success of our potential products by focusing on diseases with established patient advocacy groups and university researchers who maintain registries of potentially eligible patients. Where possible, we leverage existing natural history studies to better define target patient phenotypes associated with the disease and may utilize these natural history datasets as a control group in future studies.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manufacturing approach</w:t>
      </w:r>
    </w:p>
    <w:p>
      <w:pPr>
        <w:spacing w:after="0" w:line="158"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We are developing gene therapy candidates for larger-rare and prevalent disease patient populations, which require a high-quality process that can produce vectors in relatively large quantities while utilizing traditional biologics manufacturing infrastructure. We utilize a baculovirus/Sf9 expression system to manufacture our gene therapy candidates. Our manufacturing platform is designed to infect Sf9 cells at high densities in suspension cell culture with both an AAVrh10 and baculovirus containing the transgene. The output is coupled with a chromatography-based purification process which allows for efficient AAV purification, resulting in higher yields and fewer empty AAV capsids than traditional plasmid HEK adherent cell culture approaches.</w:t>
      </w:r>
    </w:p>
    <w:p>
      <w:pPr>
        <w:spacing w:after="0" w:line="111" w:lineRule="exact"/>
        <w:rPr>
          <w:sz w:val="20"/>
          <w:szCs w:val="20"/>
          <w:color w:val="auto"/>
        </w:rPr>
      </w:pPr>
    </w:p>
    <w:p>
      <w:pPr>
        <w:ind w:left="300" w:right="120"/>
        <w:spacing w:after="0" w:line="275" w:lineRule="auto"/>
        <w:rPr>
          <w:sz w:val="20"/>
          <w:szCs w:val="20"/>
          <w:color w:val="auto"/>
        </w:rPr>
      </w:pPr>
      <w:r>
        <w:rPr>
          <w:rFonts w:ascii="Arial" w:cs="Arial" w:eastAsia="Arial" w:hAnsi="Arial"/>
          <w:sz w:val="17"/>
          <w:szCs w:val="17"/>
          <w:color w:val="auto"/>
        </w:rPr>
        <w:t>Traditional adherent HEK manufacturing approaches, which use plasmid transfection to produce viral vectors, are based on mammalian-derived cell lines and cellular components that replicate in mammalian cells. We believe our process has an improved safety profile over these manufacturing approaches for the following reasons: through our sponsored next-generation PacBio and Illumina sequencing analyses performed by one of our clinical research organizations, we have observed reduced incorporation of non-transgene DNA plasmid DNA impurities, from 15% observed in the adherent HEK system used by the Belfer Gene Therapy Core Facility</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spacing w:after="0" w:line="263" w:lineRule="auto"/>
        <w:rPr>
          <w:sz w:val="20"/>
          <w:szCs w:val="20"/>
          <w:color w:val="auto"/>
        </w:rPr>
      </w:pPr>
      <w:r>
        <w:rPr>
          <w:rFonts w:ascii="Arial" w:cs="Arial" w:eastAsia="Arial" w:hAnsi="Arial"/>
          <w:sz w:val="18"/>
          <w:szCs w:val="18"/>
          <w:color w:val="auto"/>
        </w:rPr>
        <w:t>to 0.2% in our process; our cellular components are non-replicating in mammalian cells; we have eliminated potentially immunogenic or toxic animal-derived proteins; and our cells are grown under serum-free conditions, leading to reduced risk of contamination from animal-derived products.</w:t>
      </w:r>
    </w:p>
    <w:p>
      <w:pPr>
        <w:spacing w:after="0" w:line="103"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We believe our manufacturing process enables us to efficiently pursue our goal of targeting larger-rare and prevalent patient populations. Historically, manufacturing challenges largely driven by the quantity of vector required to pursue large commercial opportunities have limited the utility of gene therapy for large patient populations. We believe our proprietary SF9 baculovirus process will allow us to produce vectors at the necessary scale to support the patient populations we are targeting at a cost-of-goods profile similar to what the pharmaceutical marketplace has seen with biologics.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Collaborations</w:t>
      </w:r>
    </w:p>
    <w:p>
      <w:pPr>
        <w:spacing w:after="0" w:line="144"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Our foundational science stems from partnerships and exclusive licenses with leading academic laboratories at Weill Cornell Medicine and UCSD, two preeminent institutions on the cutting edge of gene therapy research. In August 2023, we also announced a strategic investment from Sarepta Therapeutics, Inc., which we intend to use to support the development of our cardiovascular gene therapies and to explore collaboration opportunities within our preclinical cardiovascular pipeline. We believe our ongoing work with these institutions, as well as any potential new or expanded collaborations, will continue to be a valuable aspect of our efforts as we seek to further discover and develop novel gene therapies for devastating diseases.</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38" w:lineRule="exact"/>
        <w:rPr>
          <w:sz w:val="20"/>
          <w:szCs w:val="20"/>
          <w:color w:val="auto"/>
        </w:rPr>
      </w:pPr>
    </w:p>
    <w:p>
      <w:pPr>
        <w:ind w:left="300" w:right="420"/>
        <w:spacing w:after="0" w:line="277" w:lineRule="auto"/>
        <w:rPr>
          <w:sz w:val="20"/>
          <w:szCs w:val="20"/>
          <w:color w:val="auto"/>
        </w:rPr>
      </w:pPr>
      <w:r>
        <w:rPr>
          <w:rFonts w:ascii="Arial" w:cs="Arial" w:eastAsia="Arial" w:hAnsi="Arial"/>
          <w:sz w:val="18"/>
          <w:szCs w:val="18"/>
          <w:color w:val="auto"/>
        </w:rPr>
        <w:t>Our company is purpose built to amplify genetic medicine’s potential for empowering individuals by treating the underlying cause of genetic disease. The key elements of our strategy to achieve this vision are to:</w:t>
      </w:r>
    </w:p>
    <w:p>
      <w:pPr>
        <w:spacing w:after="0" w:line="103" w:lineRule="exact"/>
        <w:rPr>
          <w:sz w:val="20"/>
          <w:szCs w:val="20"/>
          <w:color w:val="auto"/>
        </w:rPr>
      </w:pPr>
    </w:p>
    <w:p>
      <w:pPr>
        <w:ind w:left="480" w:right="240" w:hanging="186"/>
        <w:spacing w:after="0" w:line="27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our AAV-based gene therapy candidates in areas of high unmet need and with substantial potential for societal impact and commercial opportunity, such as genetically defined cardiovascular diseases and APOE4-associated Alzheimer’s disease.</w:t>
      </w:r>
    </w:p>
    <w:p>
      <w:pPr>
        <w:spacing w:after="0" w:line="102" w:lineRule="exact"/>
        <w:rPr>
          <w:rFonts w:ascii="Arial" w:cs="Arial" w:eastAsia="Arial" w:hAnsi="Arial"/>
          <w:sz w:val="18"/>
          <w:szCs w:val="18"/>
          <w:color w:val="auto"/>
        </w:rPr>
      </w:pPr>
    </w:p>
    <w:p>
      <w:pPr>
        <w:ind w:left="480" w:right="820" w:hanging="186"/>
        <w:spacing w:after="0" w:line="27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a deep and diverse pipeline that includes candidates that are designed to address both larger rare and more prevalent patient populations, prioritizing conditions most likely to benefit from our therapies.</w:t>
      </w:r>
    </w:p>
    <w:p>
      <w:pPr>
        <w:spacing w:after="0" w:line="102"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a staged, capital-efficient approach for advancing programs through clinical development and regulatory approval.</w:t>
      </w:r>
    </w:p>
    <w:p>
      <w:pPr>
        <w:spacing w:after="0" w:line="157"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Utilize a unified, high-quality manufacturing platform that can quickly respond at scale to high impact opportunities.</w:t>
      </w:r>
    </w:p>
    <w:p>
      <w:pPr>
        <w:spacing w:after="0" w:line="157"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next-generation genetic medicine technologies that can enhance our capabilities and expand our impact on patients.</w:t>
      </w:r>
    </w:p>
    <w:p>
      <w:pPr>
        <w:spacing w:after="0" w:line="157"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expand upon our partnerships and exclusive licenses with world class academic institutions.</w:t>
      </w:r>
    </w:p>
    <w:p>
      <w:pPr>
        <w:spacing w:after="0" w:line="157"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Build a fully integrated genetic medicine company and selectively evaluate strategic opportunities to maximize the impact of our pipeline.</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company and team</w:t>
      </w:r>
    </w:p>
    <w:p>
      <w:pPr>
        <w:spacing w:after="0" w:line="13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We are led by pioneers and experts with decades of collective experience in genetic medicines, rare disease drug development, manufacturing and commercialization. Our scientific founder and Chief Scientific Advisor, Ronald G. Crystal, M.D., is a world leader in gene therapy research and development and currently serves as</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320" w:top="459" w:right="7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Professor and Chairman of Weill Cornell Medicine’s Genetic Medicine Department and Director of the Belfer Gene Therapy Core Facility. Our Chief Executive Officer, R. Nolan Townsend, has spent more than a decade working in global biopharmaceutical commercial organizations. Mr. Townsend previously led Pfizer’s U.S. rare disease commercial business unit, where he oversaw the successful U.S. launch of blockbuster rare cardiovascular product Vyndaqel/Vyndamax (tafamidis), now a $2.4 billion product by revenue. Eric Adler, M.D., our Chief Scientific Officer, is a pioneer in cardiovascular gene therapy and Professor of Medicine, head of the Heart Failure Section, Director of the Strauss Center for Cardiomyopathy, and the Czarina and Humberto S. Lopez Chancellor’s Endowed Chair in Cardiology at UCSD. Our Chief Technical Officer, Paul McCormac, Ph.D., has more than 20 years of experience and a proven track record in the field of gene therapy and biologics chemistry, manufacturing, and controls, or CMC. He previously served as Medicinal Sciences Category Lead for Pfizer Rare Disease, where he led gene therapy CMC and vector supply strategy for Pfizer’s rare disease business and research units. Our Chief Legal and Administrative Officer, Jenny R. Robertson, previously served as Chief Counsel to Pfizer’s Oncology Business Unit and held other senior legal roles across her 12-year tenure there, including Chief Counsel to Pfizer’s Rare Disease Business Unit and its Emerging Markets Business Unit. Prior to joining Pfizer, Ms. Robertson spent 10 years in private practice with a large global law firm. Our Chairman, Steven Altschuler, M.D., is currently Managing Director at Ziff Capital Partners and was formerly chairman of the gene therapy pioneer Spark Therapeutics, Inc., which was responsible for the first FDA-approved gene therapy, voretigene neparvovec-rzyl (Luxturna), and was acquired by Roche Holding AG in 2019 for $4.3 billion.</w:t>
      </w:r>
    </w:p>
    <w:p>
      <w:pPr>
        <w:spacing w:after="0" w:line="90"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Since our inception, we have raised $183.7 million in capital, including from certain funds affiliated with D1 Capital Partners, Eventide Healthcare &amp; Life Sciences Fund, Janus Henderson Investors, Longitude Capital, Lundbeckfonden Ventures, Omega Funds and PBM Capital. Prospective investors should not rely on the investment decisions of our existing investors, as these investors may have different risk tolerances and have received their shares in prior offerings at prices lower than the price offered to the public in this offering. See “Certain Relationships and Related Party Transactions” for more information.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Risks associated with our business</w:t>
      </w:r>
    </w:p>
    <w:p>
      <w:pPr>
        <w:spacing w:after="0" w:line="13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103" w:lineRule="exact"/>
        <w:rPr>
          <w:sz w:val="20"/>
          <w:szCs w:val="20"/>
          <w:color w:val="auto"/>
        </w:rPr>
      </w:pPr>
    </w:p>
    <w:p>
      <w:pPr>
        <w:ind w:left="480" w:right="60" w:hanging="186"/>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102" w:lineRule="exact"/>
        <w:rPr>
          <w:rFonts w:ascii="Arial" w:cs="Arial" w:eastAsia="Arial" w:hAnsi="Arial"/>
          <w:sz w:val="18"/>
          <w:szCs w:val="18"/>
          <w:color w:val="auto"/>
        </w:rPr>
      </w:pPr>
    </w:p>
    <w:p>
      <w:pPr>
        <w:ind w:left="480" w:right="420" w:hanging="186"/>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102" w:lineRule="exact"/>
        <w:rPr>
          <w:rFonts w:ascii="Arial" w:cs="Arial" w:eastAsia="Arial" w:hAnsi="Arial"/>
          <w:sz w:val="18"/>
          <w:szCs w:val="18"/>
          <w:color w:val="auto"/>
        </w:rPr>
      </w:pPr>
    </w:p>
    <w:p>
      <w:pPr>
        <w:ind w:left="480" w:right="400" w:hanging="186"/>
        <w:spacing w:after="0" w:line="263"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16" w:lineRule="exact"/>
        <w:rPr>
          <w:rFonts w:ascii="Arial" w:cs="Arial" w:eastAsia="Arial" w:hAnsi="Arial"/>
          <w:sz w:val="18"/>
          <w:szCs w:val="18"/>
          <w:color w:val="auto"/>
        </w:rPr>
      </w:pPr>
    </w:p>
    <w:p>
      <w:pPr>
        <w:ind w:left="480" w:right="40" w:hanging="186"/>
        <w:spacing w:after="0" w:line="263"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dependent on our ability to advance our current and future product candidates through preclinical studies and clinical trials, obtain marketing approval and ultimately commercialize them. If we are unable to or experience significant delays in doing so, our business will be materially harmed.</w:t>
      </w:r>
    </w:p>
    <w:p>
      <w:pPr>
        <w:spacing w:after="0" w:line="116" w:lineRule="exact"/>
        <w:rPr>
          <w:rFonts w:ascii="Arial" w:cs="Arial" w:eastAsia="Arial" w:hAnsi="Arial"/>
          <w:sz w:val="18"/>
          <w:szCs w:val="18"/>
          <w:color w:val="auto"/>
        </w:rPr>
      </w:pPr>
    </w:p>
    <w:p>
      <w:pPr>
        <w:ind w:left="480" w:right="400" w:hanging="186"/>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developing novel gene therapy product candidates, which makes it difficult to predict the time, cost and potential success of product candidate development.</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20" w:hanging="186"/>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gene therapy is novel and the regulatory landscape that governs any product candidates we may develop is rigorous, complex, uncertain and subject to change, we can predict neither the geographic areas in which we could obtain regulatory approval nor the time and cost of obtaining regulatory approval, if we receive it at all, for any product candidates we may develop.</w:t>
      </w:r>
    </w:p>
    <w:p>
      <w:pPr>
        <w:spacing w:after="0" w:line="116" w:lineRule="exact"/>
        <w:rPr>
          <w:rFonts w:ascii="Arial" w:cs="Arial" w:eastAsia="Arial" w:hAnsi="Arial"/>
          <w:sz w:val="18"/>
          <w:szCs w:val="18"/>
          <w:color w:val="auto"/>
        </w:rPr>
      </w:pPr>
    </w:p>
    <w:p>
      <w:pPr>
        <w:ind w:left="480" w:right="540" w:hanging="186"/>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02" w:lineRule="exact"/>
        <w:rPr>
          <w:rFonts w:ascii="Arial" w:cs="Arial" w:eastAsia="Arial" w:hAnsi="Arial"/>
          <w:sz w:val="18"/>
          <w:szCs w:val="18"/>
          <w:color w:val="auto"/>
        </w:rPr>
      </w:pPr>
    </w:p>
    <w:p>
      <w:pPr>
        <w:ind w:left="480" w:right="280" w:hanging="186"/>
        <w:spacing w:after="0" w:line="342"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56" w:lineRule="exact"/>
        <w:rPr>
          <w:rFonts w:ascii="Arial" w:cs="Arial" w:eastAsia="Arial" w:hAnsi="Arial"/>
          <w:sz w:val="16"/>
          <w:szCs w:val="16"/>
          <w:color w:val="auto"/>
        </w:rPr>
      </w:pPr>
    </w:p>
    <w:p>
      <w:pPr>
        <w:ind w:left="480" w:hanging="186"/>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w:t>
      </w:r>
    </w:p>
    <w:p>
      <w:pPr>
        <w:spacing w:after="0" w:line="157" w:lineRule="exact"/>
        <w:rPr>
          <w:rFonts w:ascii="Arial" w:cs="Arial" w:eastAsia="Arial" w:hAnsi="Arial"/>
          <w:sz w:val="18"/>
          <w:szCs w:val="18"/>
          <w:color w:val="auto"/>
        </w:rPr>
      </w:pPr>
    </w:p>
    <w:p>
      <w:pPr>
        <w:ind w:left="480" w:right="60" w:hanging="186"/>
        <w:spacing w:after="0" w:line="25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 We may also identify safety and efficacy concerns after the approval of a product candidate which can result in negative consequences to our business and results of operations.</w:t>
      </w:r>
    </w:p>
    <w:p>
      <w:pPr>
        <w:spacing w:after="0" w:line="120" w:lineRule="exact"/>
        <w:rPr>
          <w:rFonts w:ascii="Arial" w:cs="Arial" w:eastAsia="Arial" w:hAnsi="Arial"/>
          <w:sz w:val="18"/>
          <w:szCs w:val="18"/>
          <w:color w:val="auto"/>
        </w:rPr>
      </w:pPr>
    </w:p>
    <w:p>
      <w:pPr>
        <w:ind w:left="480" w:right="260" w:hanging="186"/>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our contract manufacturers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116" w:lineRule="exact"/>
        <w:rPr>
          <w:rFonts w:ascii="Arial" w:cs="Arial" w:eastAsia="Arial" w:hAnsi="Arial"/>
          <w:sz w:val="18"/>
          <w:szCs w:val="18"/>
          <w:color w:val="auto"/>
        </w:rPr>
      </w:pPr>
    </w:p>
    <w:p>
      <w:pPr>
        <w:ind w:left="480" w:right="580" w:hanging="186"/>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02" w:lineRule="exact"/>
        <w:rPr>
          <w:rFonts w:ascii="Arial" w:cs="Arial" w:eastAsia="Arial" w:hAnsi="Arial"/>
          <w:sz w:val="18"/>
          <w:szCs w:val="18"/>
          <w:color w:val="auto"/>
        </w:rPr>
      </w:pPr>
    </w:p>
    <w:p>
      <w:pPr>
        <w:ind w:left="480" w:right="40" w:hanging="186"/>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02" w:lineRule="exact"/>
        <w:rPr>
          <w:rFonts w:ascii="Arial" w:cs="Arial" w:eastAsia="Arial" w:hAnsi="Arial"/>
          <w:sz w:val="18"/>
          <w:szCs w:val="18"/>
          <w:color w:val="auto"/>
        </w:rPr>
      </w:pPr>
    </w:p>
    <w:p>
      <w:pPr>
        <w:ind w:left="480" w:right="660" w:hanging="186"/>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w:t>
      </w:r>
    </w:p>
    <w:p>
      <w:pPr>
        <w:spacing w:after="0" w:line="102" w:lineRule="exact"/>
        <w:rPr>
          <w:rFonts w:ascii="Arial" w:cs="Arial" w:eastAsia="Arial" w:hAnsi="Arial"/>
          <w:sz w:val="18"/>
          <w:szCs w:val="18"/>
          <w:color w:val="auto"/>
        </w:rPr>
      </w:pPr>
    </w:p>
    <w:p>
      <w:pPr>
        <w:ind w:left="480" w:hanging="186"/>
        <w:spacing w:after="0" w:line="27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currently, and may in the future be, subject to claims that we and our employees, consultants, or independent contractors have wrongfully used or disclosed confidential information or trade secrets of third parties.</w:t>
      </w:r>
    </w:p>
    <w:p>
      <w:pPr>
        <w:spacing w:after="0" w:line="102" w:lineRule="exact"/>
        <w:rPr>
          <w:rFonts w:ascii="Arial" w:cs="Arial" w:eastAsia="Arial" w:hAnsi="Arial"/>
          <w:sz w:val="18"/>
          <w:szCs w:val="18"/>
          <w:color w:val="auto"/>
        </w:rPr>
      </w:pPr>
    </w:p>
    <w:p>
      <w:pPr>
        <w:ind w:left="480" w:hanging="186"/>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advisors and to attract, retain and motivate qualified personnel.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52"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116" w:lineRule="exact"/>
        <w:rPr>
          <w:sz w:val="20"/>
          <w:szCs w:val="20"/>
          <w:color w:val="auto"/>
        </w:rPr>
      </w:pPr>
    </w:p>
    <w:p>
      <w:pPr>
        <w:ind w:left="480" w:right="80" w:hanging="186"/>
        <w:spacing w:after="0" w:line="263"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44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hanging="186"/>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exception from compliance with the auditor attestation requirements of Section 404 of the Sarbanes-Oxley Act of 2002, as amended;</w:t>
      </w:r>
    </w:p>
    <w:p>
      <w:pPr>
        <w:spacing w:after="0" w:line="169" w:lineRule="exact"/>
        <w:rPr>
          <w:rFonts w:ascii="Arial" w:cs="Arial" w:eastAsia="Arial" w:hAnsi="Arial"/>
          <w:sz w:val="17"/>
          <w:szCs w:val="17"/>
          <w:color w:val="auto"/>
        </w:rPr>
      </w:pPr>
    </w:p>
    <w:p>
      <w:pPr>
        <w:ind w:left="480" w:hanging="186"/>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w:t>
      </w:r>
    </w:p>
    <w:p>
      <w:pPr>
        <w:spacing w:after="0" w:line="169" w:lineRule="exact"/>
        <w:rPr>
          <w:rFonts w:ascii="Arial" w:cs="Arial" w:eastAsia="Arial" w:hAnsi="Arial"/>
          <w:sz w:val="17"/>
          <w:szCs w:val="17"/>
          <w:color w:val="auto"/>
        </w:rPr>
      </w:pPr>
    </w:p>
    <w:p>
      <w:pPr>
        <w:ind w:left="480" w:hanging="186"/>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80" w:lineRule="exact"/>
        <w:rPr>
          <w:rFonts w:ascii="Arial" w:cs="Arial" w:eastAsia="Arial" w:hAnsi="Arial"/>
          <w:sz w:val="16"/>
          <w:szCs w:val="16"/>
          <w:color w:val="auto"/>
        </w:rPr>
      </w:pPr>
    </w:p>
    <w:p>
      <w:pPr>
        <w:ind w:left="480" w:right="340" w:hanging="186"/>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89" w:lineRule="exact"/>
        <w:rPr>
          <w:sz w:val="20"/>
          <w:szCs w:val="20"/>
          <w:color w:val="auto"/>
        </w:rPr>
      </w:pPr>
    </w:p>
    <w:p>
      <w:pPr>
        <w:ind w:left="300" w:right="20"/>
        <w:spacing w:after="0" w:line="290" w:lineRule="auto"/>
        <w:rPr>
          <w:sz w:val="20"/>
          <w:szCs w:val="20"/>
          <w:color w:val="auto"/>
        </w:rPr>
      </w:pPr>
      <w:r>
        <w:rPr>
          <w:rFonts w:ascii="Arial" w:cs="Arial" w:eastAsia="Arial" w:hAnsi="Arial"/>
          <w:sz w:val="16"/>
          <w:szCs w:val="16"/>
          <w:color w:val="auto"/>
        </w:rPr>
        <w:t>We may take advantage of these provisions until we no longer qualify as an emerging growth company. We will cease to qualify as an emerging growth company on the date that is the earliest of: (i) the last day of our fiscal year following the fifth anniversary of the date of the completion of this offering, (ii) the last day of the fiscal year in which we have more than $1.235 billion in total annual gross revenues, (iii) the date on which we are deemed to be a “large accelerated filer” under the rules of the U.S. Securities and Exchange Commission, which means the market value of our common stock that is held by non-affiliates exceeds $700 million as of the prior June 30,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98"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29"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9" w:right="6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38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21386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Certain preliminary financial results</w:t>
      </w:r>
    </w:p>
    <w:p>
      <w:pPr>
        <w:spacing w:after="0" w:line="13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As of September 30, 2023, we had approximately $35.4 million of cash and cash equivalents. This amount is unaudited and preliminary, is subject to completion of customary quarterly financial closing procedures that could result in changes to these amounts, and does not present all information necessary for an understanding of our financial condition as of and for the nine months ended September 30, 2023. Our financial statements and related notes as of and for the nine months ended September 30, 2023 will not be filed with the Securities and Exchange Commission until after the effectiveness of the registration statement of which this prospectus forms a part.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8"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 xml:space="preserve">In February 2017, we were formed as a Delaware limited liability company under the name LEXEO Therapeutics, LLC. In November 2020, we converted into a Delaware corporation and were renamed Lexeo Therapeutics, Inc. Our principal executive offices are located at 345 Park Avenue South, Floor 6, New York, New York 10010, and our telephone number is (212) 547-9879. Our website address is </w:t>
      </w:r>
      <w:r>
        <w:rPr>
          <w:rFonts w:ascii="Arial" w:cs="Arial" w:eastAsia="Arial" w:hAnsi="Arial"/>
          <w:sz w:val="17"/>
          <w:szCs w:val="17"/>
          <w:i w:val="1"/>
          <w:iCs w:val="1"/>
          <w:color w:val="auto"/>
        </w:rPr>
        <w:t>www.lexeotx.com</w:t>
      </w:r>
      <w:r>
        <w:rPr>
          <w:rFonts w:ascii="Arial" w:cs="Arial" w:eastAsia="Arial" w:hAnsi="Arial"/>
          <w:sz w:val="17"/>
          <w:szCs w:val="17"/>
          <w:color w:val="auto"/>
        </w:rPr>
        <w:t>. The information contained on, or accessible through, our website is not incorporated by reference into this prospectus.</w:t>
      </w:r>
    </w:p>
    <w:p>
      <w:pPr>
        <w:spacing w:after="0" w:line="2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320" w:top="459" w:right="7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996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The offering</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Underwriters’ option to purchase additional shares</w:t>
      </w:r>
    </w:p>
    <w:p>
      <w:pPr>
        <w:spacing w:after="0" w:line="370"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9,000,000 shares</w:t>
      </w:r>
    </w:p>
    <w:p>
      <w:pPr>
        <w:spacing w:after="0" w:line="11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to purchase up to 1,350,000 additional shares of our common stock.</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24,668,641 shares (or 26,018,641 shares if the underwriters exercise in full their option to purchase additional shares).</w:t>
      </w:r>
    </w:p>
    <w:p>
      <w:pPr>
        <w:spacing w:after="0" w:line="7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estimate that the net proceeds from this offering will be approximately $112.9 million, (or approximately $130.5 million if the underwriters exercise in full their option to purchase up to 1,350,000 additional shares of common stock), assuming an initial public offering price of $14.00 per share, which is the midpoint of the price range set forth on the cover page of this prospectus, after deducting the estimated underwriting discounts and commissions and estimated offering expenses payable by us.</w:t>
      </w:r>
    </w:p>
    <w:p>
      <w:pPr>
        <w:spacing w:after="0" w:line="12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currently intend to use the net proceeds from this offering, together with our existing cash and cash equivalents to advance the clinical development of LX2006, LX2020 and LX1001, to fund the continued development of our other programs and cardiac discovery efforts, and for working capital and other general corporate purposes. See the section titled “Use of Proceeds” for additional information.</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should read the section titled “Risk Factors” for a discussion of factors you should consider carefully, together with all the other information included in this prospectus, before deciding to invest in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“LXEO”</w:t>
      </w:r>
    </w:p>
    <w:p>
      <w:pPr>
        <w:spacing w:after="0" w:line="144" w:lineRule="exact"/>
        <w:rPr>
          <w:sz w:val="20"/>
          <w:szCs w:val="20"/>
          <w:color w:val="auto"/>
        </w:rPr>
      </w:pPr>
    </w:p>
    <w:p>
      <w:pPr>
        <w:sectPr>
          <w:pgSz w:w="11900" w:h="16838" w:orient="portrait"/>
          <w:cols w:equalWidth="0" w:num="2">
            <w:col w:w="4000" w:space="680"/>
            <w:col w:w="6260"/>
          </w:cols>
          <w:pgMar w:left="320" w:top="459" w:right="639" w:bottom="1440" w:gutter="0" w:footer="0" w:header="0"/>
          <w:type w:val="continuous"/>
        </w:sectPr>
      </w:pPr>
    </w:p>
    <w:p>
      <w:pPr>
        <w:jc w:val="both"/>
        <w:ind w:left="300" w:right="60"/>
        <w:spacing w:after="0" w:line="311" w:lineRule="auto"/>
        <w:rPr>
          <w:sz w:val="20"/>
          <w:szCs w:val="20"/>
          <w:color w:val="auto"/>
        </w:rPr>
      </w:pPr>
      <w:r>
        <w:rPr>
          <w:rFonts w:ascii="Arial" w:cs="Arial" w:eastAsia="Arial" w:hAnsi="Arial"/>
          <w:sz w:val="16"/>
          <w:szCs w:val="16"/>
          <w:color w:val="auto"/>
        </w:rPr>
        <w:t>The number of shares of our common stock to be outstanding after this offering is based on 15,668,641 shares of our common stock outstanding as of June 30, 2023 giving effect to the conversion of all outstanding shares of our convertible preferred stock into an aggregate of 14,046,587 shares of common stock in connection with this offering. The number of shares of our common stock to be outstanding after this offering excludes:</w:t>
      </w:r>
    </w:p>
    <w:p>
      <w:pPr>
        <w:spacing w:after="0" w:line="81" w:lineRule="exact"/>
        <w:rPr>
          <w:sz w:val="20"/>
          <w:szCs w:val="20"/>
          <w:color w:val="auto"/>
        </w:rPr>
      </w:pPr>
    </w:p>
    <w:p>
      <w:pPr>
        <w:ind w:left="480" w:right="60" w:hanging="186"/>
        <w:spacing w:after="0" w:line="286"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323,571 shares of our common stock issuable upon the effectiveness of the registration statement of which this prospectus forms a part upon conversion of a $4.0 million SAFE instrument issued by us to Sarepta Therapeutics, Inc. on August 24, 2023, or the Sarepta SAFE, assuming an initial public offering price of $14.00 per share, the midpoint of the offering range set forth on the cover of this prospectus;</w:t>
      </w:r>
    </w:p>
    <w:p>
      <w:pPr>
        <w:spacing w:after="0" w:line="97" w:lineRule="exact"/>
        <w:rPr>
          <w:rFonts w:ascii="Arial" w:cs="Arial" w:eastAsia="Arial" w:hAnsi="Arial"/>
          <w:sz w:val="17"/>
          <w:szCs w:val="17"/>
          <w:color w:val="auto"/>
        </w:rPr>
      </w:pPr>
    </w:p>
    <w:p>
      <w:pPr>
        <w:ind w:left="480" w:right="20" w:hanging="186"/>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30,516 shares of common stock issued pursuant to the early exercise of unvested options that are subject to a right of repurchase by us as of June 30, 2023;</w:t>
      </w:r>
    </w:p>
    <w:p>
      <w:pPr>
        <w:spacing w:after="0" w:line="102" w:lineRule="exact"/>
        <w:rPr>
          <w:rFonts w:ascii="Arial" w:cs="Arial" w:eastAsia="Arial" w:hAnsi="Arial"/>
          <w:sz w:val="18"/>
          <w:szCs w:val="18"/>
          <w:color w:val="auto"/>
        </w:rPr>
      </w:pPr>
    </w:p>
    <w:p>
      <w:pPr>
        <w:ind w:left="480" w:right="660" w:hanging="186"/>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1,873,093 shares of our common stock issuable upon the exercise of options under our 2021 Equity Incentive Plan, or the Existing Plan, outstanding as of June 30, 2023, at a weighted average exercise price of $7.94 per share;</w:t>
      </w:r>
    </w:p>
    <w:p>
      <w:pPr>
        <w:spacing w:after="0" w:line="102" w:lineRule="exact"/>
        <w:rPr>
          <w:rFonts w:ascii="Arial" w:cs="Arial" w:eastAsia="Arial" w:hAnsi="Arial"/>
          <w:sz w:val="18"/>
          <w:szCs w:val="18"/>
          <w:color w:val="auto"/>
        </w:rPr>
      </w:pPr>
    </w:p>
    <w:p>
      <w:pPr>
        <w:ind w:left="480" w:right="320" w:hanging="186"/>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669,699 shares of our common stock issuable upon the exercise of options granted under the Existing Plan after June 30, 2023, at a weighted average exercise price of $11.02 per share, offset by 212,614 shares of our</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common stock that were previously issuable upon the exercise of options that were cancelled under the Existing Plan after June 30, 2023, at a weighted average exercise price of $15.62 share;</w:t>
      </w:r>
    </w:p>
    <w:p>
      <w:pPr>
        <w:spacing w:after="0" w:line="103" w:lineRule="exact"/>
        <w:rPr>
          <w:sz w:val="20"/>
          <w:szCs w:val="20"/>
          <w:color w:val="auto"/>
        </w:rPr>
      </w:pPr>
    </w:p>
    <w:p>
      <w:pPr>
        <w:ind w:left="480" w:right="200" w:hanging="186"/>
        <w:spacing w:after="0" w:line="263"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1,039,784 shares of our common stock reserved for future issuance under the Existing Plan as of June 30, 2023, which shares will cease to be available for issuance at the time our 2023 Equity Incentive Plan, or the 2023 Plan, becomes effective and will be added to, and become available for issuance under, the 2023 Plan;</w:t>
      </w:r>
    </w:p>
    <w:p>
      <w:pPr>
        <w:spacing w:after="0" w:line="116" w:lineRule="exact"/>
        <w:rPr>
          <w:rFonts w:ascii="Arial" w:cs="Arial" w:eastAsia="Arial" w:hAnsi="Arial"/>
          <w:sz w:val="18"/>
          <w:szCs w:val="18"/>
          <w:color w:val="auto"/>
        </w:rPr>
      </w:pPr>
    </w:p>
    <w:p>
      <w:pPr>
        <w:ind w:left="480" w:hanging="186"/>
        <w:spacing w:after="0" w:line="259"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1,803,980 shares of our common stock reserved for future issuance under our 2023 Plan (in addition to the shares of common stock reserved for issuance under our Existing Plan that will be added to the shares reserved under the 2023 Plan upon its effectiveness), which will become effective in connection with this offering, as well as any automatic increases in the number of shares of common stock reserved for future issuance under the 2023 Plan; and</w:t>
      </w:r>
    </w:p>
    <w:p>
      <w:pPr>
        <w:spacing w:after="0" w:line="119" w:lineRule="exact"/>
        <w:rPr>
          <w:rFonts w:ascii="Arial" w:cs="Arial" w:eastAsia="Arial" w:hAnsi="Arial"/>
          <w:sz w:val="18"/>
          <w:szCs w:val="18"/>
          <w:color w:val="auto"/>
        </w:rPr>
      </w:pPr>
    </w:p>
    <w:p>
      <w:pPr>
        <w:ind w:left="480" w:right="40" w:hanging="186"/>
        <w:spacing w:after="0" w:line="263"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238,600 shares of our common stock reserved for future issuance under our 2023 Employee Stock Purchase Plan, or the 2023 ESPP, which will become effective in connection with this offering, as well as any automatic increases in the number of shares of common stock reserved for future issuance under the 2023 ESPP.</w:t>
      </w:r>
    </w:p>
    <w:p>
      <w:pPr>
        <w:spacing w:after="0" w:line="103"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103" w:lineRule="exact"/>
        <w:rPr>
          <w:sz w:val="20"/>
          <w:szCs w:val="20"/>
          <w:color w:val="auto"/>
        </w:rPr>
      </w:pPr>
    </w:p>
    <w:p>
      <w:pPr>
        <w:ind w:left="480" w:right="620" w:hanging="186"/>
        <w:spacing w:after="0" w:line="342"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10.594230-for-1 reverse stock split of our common stock effected on October 13, 2023 and the resulting adjustments to the respective conversion ratios for our Series A convertible preferred stock and Series B convertible preferred stock, or the Stock Split;</w:t>
      </w:r>
    </w:p>
    <w:p>
      <w:pPr>
        <w:spacing w:after="0" w:line="56" w:lineRule="exact"/>
        <w:rPr>
          <w:rFonts w:ascii="Arial" w:cs="Arial" w:eastAsia="Arial" w:hAnsi="Arial"/>
          <w:sz w:val="16"/>
          <w:szCs w:val="16"/>
          <w:color w:val="auto"/>
        </w:rPr>
      </w:pPr>
    </w:p>
    <w:p>
      <w:pPr>
        <w:ind w:left="480" w:right="560" w:hanging="186"/>
        <w:spacing w:after="0" w:line="277"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automatic conversion of all 85,495,722 shares of our Series A convertible preferred stock outstanding prior to the Stock Split into an aggregate of 8,070,027 shares of common stock upon the closing of this offering;</w:t>
      </w:r>
    </w:p>
    <w:p>
      <w:pPr>
        <w:spacing w:after="0" w:line="102" w:lineRule="exact"/>
        <w:rPr>
          <w:rFonts w:ascii="Arial" w:cs="Arial" w:eastAsia="Arial" w:hAnsi="Arial"/>
          <w:sz w:val="18"/>
          <w:szCs w:val="18"/>
          <w:color w:val="auto"/>
        </w:rPr>
      </w:pPr>
    </w:p>
    <w:p>
      <w:pPr>
        <w:ind w:left="480" w:hanging="186"/>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automatic conversion of all 58,157,823 shares of our Series B convertible preferred stock outstanding prior to the Stock Split into</w:t>
      </w:r>
    </w:p>
    <w:p>
      <w:pPr>
        <w:spacing w:after="0" w:line="34" w:lineRule="exact"/>
        <w:rPr>
          <w:rFonts w:ascii="Arial" w:cs="Arial" w:eastAsia="Arial" w:hAnsi="Arial"/>
          <w:sz w:val="17"/>
          <w:szCs w:val="17"/>
          <w:color w:val="auto"/>
        </w:rPr>
      </w:pPr>
    </w:p>
    <w:p>
      <w:pPr>
        <w:ind w:left="480"/>
        <w:spacing w:after="0" w:line="268" w:lineRule="auto"/>
        <w:rPr>
          <w:rFonts w:ascii="Arial" w:cs="Arial" w:eastAsia="Arial" w:hAnsi="Arial"/>
          <w:sz w:val="17"/>
          <w:szCs w:val="17"/>
          <w:color w:val="auto"/>
        </w:rPr>
      </w:pPr>
      <w:r>
        <w:rPr>
          <w:rFonts w:ascii="Arial" w:cs="Arial" w:eastAsia="Arial" w:hAnsi="Arial"/>
          <w:sz w:val="17"/>
          <w:szCs w:val="17"/>
          <w:color w:val="auto"/>
        </w:rPr>
        <w:t>5,976,560 shares of our common stock, including 486,987 shares of common stock issuable in respect of anti-dilution adjustments, upon the closing of this offering, based upon an assumed initial public offering price of $14.00 per share, which is the midpoint of the estimated offering price range set forth on the cover page of this prospectus. A $1.00 decrease in the initial public offering price would increase the number of shares of our common stock issuable in respect of our Series B convertible preferred stock by 127,861 shares, and a $1.00 increase in the initial public offering price would decrease the number of shares of our common stock issuable in respect of our Series B convertible preferred stock by 121,884 shares; provided, however, that in no event would the shares of our Series B convertible preferred stock outstanding prior to the Stock Split convert into fewer than 5,489,573 shares of our common stock upon the closing of this offering. A 1.0 million share increase in the size of this offering would increase the number of shares of our common stock issuable in respect of our Series B convertible preferred stock by 35,380 shares, and a 1.0 million share decrease in the size of this offering would decrease the number of shares of our common stock issuable in respect of our Series B convertible preferred stock by 37,582 shares;</w:t>
      </w:r>
    </w:p>
    <w:p>
      <w:pPr>
        <w:spacing w:after="0" w:line="111" w:lineRule="exact"/>
        <w:rPr>
          <w:rFonts w:ascii="Arial" w:cs="Arial" w:eastAsia="Arial" w:hAnsi="Arial"/>
          <w:sz w:val="17"/>
          <w:szCs w:val="17"/>
          <w:color w:val="auto"/>
        </w:rPr>
      </w:pPr>
    </w:p>
    <w:p>
      <w:pPr>
        <w:ind w:left="480" w:hanging="186"/>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immediately prior to the closing of this offering;</w:t>
      </w:r>
    </w:p>
    <w:p>
      <w:pPr>
        <w:spacing w:after="0" w:line="157" w:lineRule="exact"/>
        <w:rPr>
          <w:rFonts w:ascii="Arial" w:cs="Arial" w:eastAsia="Arial" w:hAnsi="Arial"/>
          <w:sz w:val="18"/>
          <w:szCs w:val="18"/>
          <w:color w:val="auto"/>
        </w:rPr>
      </w:pPr>
    </w:p>
    <w:p>
      <w:pPr>
        <w:ind w:left="480" w:hanging="186"/>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June 30, 2023;</w:t>
      </w:r>
    </w:p>
    <w:p>
      <w:pPr>
        <w:spacing w:after="0" w:line="157" w:lineRule="exact"/>
        <w:rPr>
          <w:rFonts w:ascii="Arial" w:cs="Arial" w:eastAsia="Arial" w:hAnsi="Arial"/>
          <w:sz w:val="18"/>
          <w:szCs w:val="18"/>
          <w:color w:val="auto"/>
        </w:rPr>
      </w:pPr>
    </w:p>
    <w:p>
      <w:pPr>
        <w:ind w:left="480" w:right="480" w:hanging="186"/>
        <w:spacing w:after="0" w:line="277"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change in the number of shares of common stock issued pursuant to the early exercise of unvested options that are subject to a right of repurchase by us as of June 30, 2023; and</w:t>
      </w:r>
    </w:p>
    <w:p>
      <w:pPr>
        <w:spacing w:after="0" w:line="102" w:lineRule="exact"/>
        <w:rPr>
          <w:rFonts w:ascii="Arial" w:cs="Arial" w:eastAsia="Arial" w:hAnsi="Arial"/>
          <w:sz w:val="18"/>
          <w:szCs w:val="18"/>
          <w:color w:val="auto"/>
        </w:rPr>
      </w:pPr>
    </w:p>
    <w:p>
      <w:pPr>
        <w:ind w:left="480" w:right="500" w:hanging="186"/>
        <w:spacing w:after="0" w:line="263"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and no issuance of additional shares of common stock issuable in respect of anti-dilution adjustments to the Series B convertible preferred stock that may be made upon the underwriters’ exercise of such option.</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9" w:right="7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84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7849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Summary financial data</w:t>
      </w:r>
    </w:p>
    <w:p>
      <w:pPr>
        <w:spacing w:after="0" w:line="157" w:lineRule="exact"/>
        <w:rPr>
          <w:sz w:val="20"/>
          <w:szCs w:val="20"/>
          <w:color w:val="auto"/>
        </w:rPr>
      </w:pPr>
    </w:p>
    <w:p>
      <w:pPr>
        <w:ind w:left="300" w:right="140"/>
        <w:spacing w:after="0" w:line="293" w:lineRule="auto"/>
        <w:rPr>
          <w:sz w:val="20"/>
          <w:szCs w:val="20"/>
          <w:color w:val="auto"/>
        </w:rPr>
      </w:pPr>
      <w:r>
        <w:rPr>
          <w:rFonts w:ascii="Arial" w:cs="Arial" w:eastAsia="Arial" w:hAnsi="Arial"/>
          <w:sz w:val="16"/>
          <w:szCs w:val="16"/>
          <w:i w:val="1"/>
          <w:iCs w:val="1"/>
          <w:color w:val="auto"/>
        </w:rPr>
        <w:t>The following tables set forth our summary financial data for the six months ended June 30, 2023 and June 30, 2022 and the years ended December 31, 2022 and 2021. We have derived the statement of operations and comprehensive loss data for the years ended December 31, 2022 and 2021 from our audited financial statements included elsewhere in this prospectus. We have derived the statement of operations and comprehensive loss data for the six months ended June 30, 2023 and June 30, 2022 and the balance sheet as of June 30, 2023 from our unaudited financial statements included elsewhere in this prospectus. In the opinion of management, the unaudited data reflects all adjustments, consisting only of normal recurring adjustments, considered necessary for a fair presentation of the financial information in those statements.</w:t>
      </w:r>
    </w:p>
    <w:p>
      <w:pPr>
        <w:spacing w:after="0" w:line="97"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i w:val="1"/>
          <w:iCs w:val="1"/>
          <w:color w:val="auto"/>
        </w:rPr>
        <w:t>You should read the following summary financial data together with our financial statements and the related notes thereto included elsewhere in this prospectus and the section of this prospectus titled “Management’s Discussion and Analysis of Financial Condition and Results of Operations.”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c>
          <w:tcPr>
            <w:tcW w:w="21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57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r>
      <w:tr>
        <w:trPr>
          <w:trHeight w:val="199"/>
        </w:trPr>
        <w:tc>
          <w:tcPr>
            <w:tcW w:w="5720" w:type="dxa"/>
            <w:vAlign w:val="bottom"/>
          </w:tcPr>
          <w:p>
            <w:pPr>
              <w:spacing w:after="0"/>
              <w:rPr>
                <w:sz w:val="17"/>
                <w:szCs w:val="17"/>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w w:val="94"/>
              </w:rPr>
              <w:t>(Unaudited)</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57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1"/>
        </w:trPr>
        <w:tc>
          <w:tcPr>
            <w:tcW w:w="572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 xml:space="preserve">Results of Operations Data </w:t>
            </w:r>
            <w:r>
              <w:rPr>
                <w:rFonts w:ascii="Arial" w:cs="Arial" w:eastAsia="Arial" w:hAnsi="Arial"/>
                <w:sz w:val="17"/>
                <w:szCs w:val="17"/>
                <w:i w:val="1"/>
                <w:iCs w:val="1"/>
                <w:color w:val="auto"/>
              </w:rPr>
              <w:t>(In thousands, except share and per share</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amounts)</w:t>
            </w: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8"/>
        </w:trPr>
        <w:tc>
          <w:tcPr>
            <w:tcW w:w="5720" w:type="dxa"/>
            <w:vAlign w:val="bottom"/>
          </w:tcPr>
          <w:p>
            <w:pPr>
              <w:spacing w:after="0"/>
              <w:rPr>
                <w:sz w:val="20"/>
                <w:szCs w:val="20"/>
                <w:color w:val="auto"/>
              </w:rPr>
            </w:pPr>
            <w:r>
              <w:rPr>
                <w:rFonts w:ascii="Arial" w:cs="Arial" w:eastAsia="Arial" w:hAnsi="Arial"/>
                <w:sz w:val="17"/>
                <w:szCs w:val="17"/>
                <w:i w:val="1"/>
                <w:iCs w:val="1"/>
                <w:color w:val="auto"/>
              </w:rPr>
              <w:t>Revenue:</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—  </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1,657</w:t>
            </w:r>
          </w:p>
        </w:tc>
        <w:tc>
          <w:tcPr>
            <w:tcW w:w="100" w:type="dxa"/>
            <w:vAlign w:val="bottom"/>
            <w:shd w:val="clear" w:color="auto" w:fill="CCEEFF"/>
          </w:tcPr>
          <w:p>
            <w:pPr>
              <w:spacing w:after="0"/>
              <w:rPr>
                <w:sz w:val="17"/>
                <w:szCs w:val="17"/>
                <w:color w:val="auto"/>
              </w:rPr>
            </w:pPr>
          </w:p>
        </w:tc>
      </w:tr>
      <w:tr>
        <w:trPr>
          <w:trHeight w:val="221"/>
        </w:trPr>
        <w:tc>
          <w:tcPr>
            <w:tcW w:w="572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—  </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123</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654</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1,657</w:t>
            </w:r>
          </w:p>
        </w:tc>
        <w:tc>
          <w:tcPr>
            <w:tcW w:w="100" w:type="dxa"/>
            <w:vAlign w:val="bottom"/>
          </w:tcPr>
          <w:p>
            <w:pPr>
              <w:spacing w:after="0"/>
              <w:rPr>
                <w:sz w:val="19"/>
                <w:szCs w:val="19"/>
                <w:color w:val="auto"/>
              </w:rPr>
            </w:pPr>
          </w:p>
        </w:tc>
      </w:tr>
      <w:tr>
        <w:trPr>
          <w:trHeight w:val="77"/>
        </w:trPr>
        <w:tc>
          <w:tcPr>
            <w:tcW w:w="5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7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Operating expenses: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2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27,674</w:t>
            </w: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22,413</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49,162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45,121</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5,592</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5,540</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12,001</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7,173</w:t>
            </w:r>
          </w:p>
        </w:tc>
        <w:tc>
          <w:tcPr>
            <w:tcW w:w="100" w:type="dxa"/>
            <w:vAlign w:val="bottom"/>
            <w:shd w:val="clear" w:color="auto" w:fill="CCEEFF"/>
          </w:tcPr>
          <w:p>
            <w:pPr>
              <w:spacing w:after="0"/>
              <w:rPr>
                <w:sz w:val="18"/>
                <w:szCs w:val="18"/>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33,266</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27,953</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61,163</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52,294</w:t>
            </w:r>
          </w:p>
        </w:tc>
        <w:tc>
          <w:tcPr>
            <w:tcW w:w="100" w:type="dxa"/>
            <w:vAlign w:val="bottom"/>
          </w:tcPr>
          <w:p>
            <w:pPr>
              <w:spacing w:after="0"/>
              <w:rPr>
                <w:sz w:val="24"/>
                <w:szCs w:val="24"/>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(33,266)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(27,830)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(60,509)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(50,637)</w:t>
            </w:r>
          </w:p>
        </w:tc>
      </w:tr>
      <w:tr>
        <w:trPr>
          <w:trHeight w:val="268"/>
        </w:trPr>
        <w:tc>
          <w:tcPr>
            <w:tcW w:w="5720" w:type="dxa"/>
            <w:vAlign w:val="bottom"/>
          </w:tcPr>
          <w:p>
            <w:pPr>
              <w:spacing w:after="0"/>
              <w:rPr>
                <w:sz w:val="20"/>
                <w:szCs w:val="20"/>
                <w:color w:val="auto"/>
              </w:rPr>
            </w:pPr>
            <w:r>
              <w:rPr>
                <w:rFonts w:ascii="Arial" w:cs="Arial" w:eastAsia="Arial" w:hAnsi="Arial"/>
                <w:sz w:val="17"/>
                <w:szCs w:val="17"/>
                <w:color w:val="auto"/>
              </w:rPr>
              <w:t>Other income and expense:</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expense, net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r>
      <w:tr>
        <w:trPr>
          <w:trHeight w:val="203"/>
        </w:trPr>
        <w:tc>
          <w:tcPr>
            <w:tcW w:w="572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r>
      <w:tr>
        <w:trPr>
          <w:trHeight w:val="203"/>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1,277</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1,325</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7"/>
                <w:szCs w:val="17"/>
                <w:b w:val="1"/>
                <w:bCs w:val="1"/>
                <w:color w:val="auto"/>
              </w:rPr>
              <w:t>Total other income and expense</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1,167</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185</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1,232</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24"/>
                <w:szCs w:val="24"/>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 before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(32,099)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(27,645)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(59,277)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(50,622)</w:t>
            </w:r>
          </w:p>
        </w:tc>
      </w:tr>
      <w:tr>
        <w:trPr>
          <w:trHeight w:val="268"/>
        </w:trPr>
        <w:tc>
          <w:tcPr>
            <w:tcW w:w="5720" w:type="dxa"/>
            <w:vAlign w:val="bottom"/>
          </w:tcPr>
          <w:p>
            <w:pPr>
              <w:spacing w:after="0"/>
              <w:rPr>
                <w:sz w:val="20"/>
                <w:szCs w:val="20"/>
                <w:color w:val="auto"/>
              </w:rPr>
            </w:pPr>
            <w:r>
              <w:rPr>
                <w:rFonts w:ascii="Arial" w:cs="Arial" w:eastAsia="Arial" w:hAnsi="Arial"/>
                <w:sz w:val="17"/>
                <w:szCs w:val="17"/>
                <w:color w:val="auto"/>
              </w:rPr>
              <w:t>Income taxes</w:t>
            </w:r>
          </w:p>
        </w:tc>
        <w:tc>
          <w:tcPr>
            <w:tcW w:w="100" w:type="dxa"/>
            <w:vAlign w:val="bottom"/>
          </w:tcPr>
          <w:p>
            <w:pPr>
              <w:spacing w:after="0"/>
              <w:rPr>
                <w:sz w:val="23"/>
                <w:szCs w:val="23"/>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3"/>
                <w:szCs w:val="2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23"/>
                <w:szCs w:val="23"/>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r>
      <w:tr>
        <w:trPr>
          <w:trHeight w:val="76"/>
        </w:trPr>
        <w:tc>
          <w:tcPr>
            <w:tcW w:w="5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(32,099)</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(27,645)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(59,277)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(50,622)</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2"/>
        </w:trPr>
        <w:tc>
          <w:tcPr>
            <w:tcW w:w="5720" w:type="dxa"/>
            <w:vAlign w:val="bottom"/>
          </w:tcPr>
          <w:p>
            <w:pPr>
              <w:spacing w:after="0"/>
              <w:rPr>
                <w:sz w:val="20"/>
                <w:szCs w:val="20"/>
                <w:color w:val="auto"/>
              </w:rPr>
            </w:pPr>
            <w:r>
              <w:rPr>
                <w:rFonts w:ascii="Arial" w:cs="Arial" w:eastAsia="Arial" w:hAnsi="Arial"/>
                <w:sz w:val="17"/>
                <w:szCs w:val="17"/>
                <w:color w:val="auto"/>
              </w:rPr>
              <w:t>Net loss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(19.87)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(17.10)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(36.36)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(32.60)</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
        </w:trPr>
        <w:tc>
          <w:tcPr>
            <w:tcW w:w="5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5"/>
        </w:trPr>
        <w:tc>
          <w:tcPr>
            <w:tcW w:w="57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Weighted average number of shares outstanding used in computation of net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per common share, basic and diluted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7"/>
              </w:rPr>
              <w:t>1,615,194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2"/>
              </w:rPr>
              <w:t>1,616,711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1,630,348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1,552,708</w:t>
            </w:r>
          </w:p>
        </w:tc>
        <w:tc>
          <w:tcPr>
            <w:tcW w:w="100" w:type="dxa"/>
            <w:vAlign w:val="bottom"/>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720" w:type="dxa"/>
            <w:vAlign w:val="bottom"/>
          </w:tcPr>
          <w:p>
            <w:pPr>
              <w:spacing w:after="0" w:line="264" w:lineRule="exact"/>
              <w:rPr>
                <w:sz w:val="20"/>
                <w:szCs w:val="20"/>
                <w:color w:val="auto"/>
              </w:rPr>
            </w:pPr>
            <w:r>
              <w:rPr>
                <w:rFonts w:ascii="Arial" w:cs="Arial" w:eastAsia="Arial" w:hAnsi="Arial"/>
                <w:sz w:val="17"/>
                <w:szCs w:val="17"/>
                <w:color w:val="auto"/>
              </w:rPr>
              <w:t>Unaudited pro forma net loss per common share, basic and diluted</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22"/>
                <w:szCs w:val="2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
        </w:trPr>
        <w:tc>
          <w:tcPr>
            <w:tcW w:w="5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5"/>
        </w:trPr>
        <w:tc>
          <w:tcPr>
            <w:tcW w:w="57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7"/>
              </w:rPr>
              <w:t>Unaudited pro forma weighted average number of shares outstanding used in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5720" w:type="dxa"/>
            <w:vAlign w:val="bottom"/>
            <w:shd w:val="clear" w:color="auto" w:fill="CCEEFF"/>
          </w:tcPr>
          <w:p>
            <w:pPr>
              <w:ind w:left="160"/>
              <w:spacing w:after="0" w:line="220" w:lineRule="exact"/>
              <w:rPr>
                <w:sz w:val="20"/>
                <w:szCs w:val="20"/>
                <w:color w:val="auto"/>
              </w:rPr>
            </w:pPr>
            <w:r>
              <w:rPr>
                <w:rFonts w:ascii="Arial" w:cs="Arial" w:eastAsia="Arial" w:hAnsi="Arial"/>
                <w:sz w:val="17"/>
                <w:szCs w:val="17"/>
                <w:color w:val="auto"/>
              </w:rPr>
              <w:t>computation of net loss per common share, basic and diluted</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6"/>
              </w:rPr>
              <w:t>15,174,794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9"/>
              </w:rPr>
              <w:t>15,189,948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0" w:right="60" w:hanging="306"/>
        <w:spacing w:after="0" w:line="250"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Unaudited pro forma net loss per share does not include the shares expected to be sold and related proceeds to be received in this offering. Unaudited pro forma net loss per share, basic and diluted, for the six months ended June 30, 2023 and the year ended December 31, 2022 was calculated using the weighted average number of shares of common stock outstanding, giving effect to the automatic conversion of all outstanding shares of our convertible preferred stock into shares of our common stock, as if the initial public offering had occurred at the beginning of the period or their issuance dates, if later.</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6"/>
              </w:rPr>
              <w:t>As of June 30, 2023</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1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Pro</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6"/>
                <w:szCs w:val="16"/>
                <w:color w:val="auto"/>
              </w:rPr>
            </w:pPr>
          </w:p>
        </w:tc>
      </w:tr>
      <w:tr>
        <w:trPr>
          <w:trHeight w:val="217"/>
        </w:trPr>
        <w:tc>
          <w:tcPr>
            <w:tcW w:w="116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Actual</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80"/>
              <w:spacing w:after="0" w:line="217" w:lineRule="exact"/>
              <w:rPr>
                <w:sz w:val="20"/>
                <w:szCs w:val="20"/>
                <w:color w:val="auto"/>
              </w:rPr>
            </w:pPr>
            <w:r>
              <w:rPr>
                <w:rFonts w:ascii="Arial" w:cs="Arial" w:eastAsia="Arial" w:hAnsi="Arial"/>
                <w:sz w:val="16"/>
                <w:szCs w:val="16"/>
                <w:b w:val="1"/>
                <w:bCs w:val="1"/>
                <w:color w:val="auto"/>
              </w:rPr>
              <w:t>forma</w:t>
            </w:r>
            <w:r>
              <w:rPr>
                <w:rFonts w:ascii="Arial" w:cs="Arial" w:eastAsia="Arial" w:hAnsi="Arial"/>
                <w:sz w:val="24"/>
                <w:szCs w:val="24"/>
                <w:b w:val="1"/>
                <w:bCs w:val="1"/>
                <w:color w:val="auto"/>
                <w:vertAlign w:val="superscript"/>
              </w:rPr>
              <w:t>(1)</w:t>
            </w:r>
          </w:p>
        </w:tc>
        <w:tc>
          <w:tcPr>
            <w:tcW w:w="1040" w:type="dxa"/>
            <w:vAlign w:val="bottom"/>
            <w:tcBorders>
              <w:bottom w:val="single" w:sz="8" w:color="auto"/>
            </w:tcBorders>
            <w:gridSpan w:val="2"/>
          </w:tcPr>
          <w:p>
            <w:pPr>
              <w:jc w:val="right"/>
              <w:ind w:right="100"/>
              <w:spacing w:after="0" w:line="217" w:lineRule="exact"/>
              <w:rPr>
                <w:sz w:val="20"/>
                <w:szCs w:val="20"/>
                <w:color w:val="auto"/>
              </w:rPr>
            </w:pPr>
            <w:r>
              <w:rPr>
                <w:rFonts w:ascii="Arial" w:cs="Arial" w:eastAsia="Arial" w:hAnsi="Arial"/>
                <w:sz w:val="16"/>
                <w:szCs w:val="16"/>
                <w:b w:val="1"/>
                <w:bCs w:val="1"/>
                <w:color w:val="auto"/>
                <w:w w:val="85"/>
              </w:rPr>
              <w:t>as adjusted</w:t>
            </w:r>
            <w:r>
              <w:rPr>
                <w:rFonts w:ascii="Arial" w:cs="Arial" w:eastAsia="Arial" w:hAnsi="Arial"/>
                <w:sz w:val="24"/>
                <w:szCs w:val="24"/>
                <w:b w:val="1"/>
                <w:bCs w:val="1"/>
                <w:color w:val="auto"/>
                <w:w w:val="85"/>
                <w:vertAlign w:val="superscript"/>
              </w:rPr>
              <w:t>(2)</w:t>
            </w:r>
          </w:p>
        </w:tc>
      </w:tr>
      <w:tr>
        <w:trPr>
          <w:trHeight w:val="48"/>
        </w:trPr>
        <w:tc>
          <w:tcPr>
            <w:tcW w:w="116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i w:val="1"/>
                <w:iCs w:val="1"/>
                <w:color w:val="auto"/>
              </w:rPr>
              <w:t>(Unaudited, in thousands)</w:t>
            </w: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  45,539</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  45,539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158,419</w:t>
            </w:r>
          </w:p>
        </w:tc>
      </w:tr>
      <w:tr>
        <w:trPr>
          <w:trHeight w:val="216"/>
        </w:trPr>
        <w:tc>
          <w:tcPr>
            <w:tcW w:w="6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(3)</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35,052</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35,052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147,932</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64,939</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64,939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177,819</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185,033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(147,545)</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(147,545)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(147,545)</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(143,619)</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41,414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154,294</w:t>
            </w:r>
          </w:p>
        </w:tc>
      </w:tr>
      <w:tr>
        <w:trPr>
          <w:trHeight w:val="216"/>
        </w:trPr>
        <w:tc>
          <w:tcPr>
            <w:tcW w:w="116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2"/>
        </w:trPr>
        <w:tc>
          <w:tcPr>
            <w:tcW w:w="1160" w:type="dxa"/>
            <w:vAlign w:val="bottom"/>
            <w:tcBorders>
              <w:bottom w:val="single" w:sz="8" w:color="auto"/>
            </w:tcBorders>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6" w:lineRule="exact"/>
        <w:rPr>
          <w:sz w:val="20"/>
          <w:szCs w:val="20"/>
          <w:color w:val="auto"/>
        </w:rPr>
      </w:pPr>
    </w:p>
    <w:p>
      <w:pPr>
        <w:ind w:left="600" w:hanging="306"/>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column gives effect to the automatic conversion of all shares of our convertible preferred stock into shares of common stock upon the consummation of this offering.</w:t>
      </w:r>
    </w:p>
    <w:p>
      <w:pPr>
        <w:spacing w:after="0" w:line="80" w:lineRule="exact"/>
        <w:rPr>
          <w:rFonts w:ascii="Arial" w:cs="Arial" w:eastAsia="Arial" w:hAnsi="Arial"/>
          <w:sz w:val="13"/>
          <w:szCs w:val="13"/>
          <w:color w:val="auto"/>
        </w:rPr>
      </w:pPr>
    </w:p>
    <w:p>
      <w:pPr>
        <w:ind w:left="600" w:right="60" w:hanging="306"/>
        <w:spacing w:after="0" w:line="250"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as adjusted column reflects the pro forma adjustments set forth above as well as the sale of 9,000,000 shares of common stock in this offering, each based on an assumed initial public offering price of $14.00 per share, which is the midpoint of the price range set forth on the cover page of this prospectus, after deducting estimated underwriting fees and commissions and estimated offering expenses payable by us. This pro forma as adjusted information is illustrative only and will depend on the actual initial public offering price and other terms of this offering determined at pricing.</w:t>
      </w:r>
    </w:p>
    <w:p>
      <w:pPr>
        <w:spacing w:after="0" w:line="52" w:lineRule="exact"/>
        <w:rPr>
          <w:sz w:val="20"/>
          <w:szCs w:val="20"/>
          <w:color w:val="auto"/>
        </w:rPr>
      </w:pPr>
    </w:p>
    <w:p>
      <w:pPr>
        <w:ind w:left="600" w:hanging="306"/>
        <w:spacing w:after="0" w:line="245" w:lineRule="auto"/>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$14.00 per share, which is the midpoint of the price range set forth on the cover page of this prospectus, would increase or decrease the pro forma as adjusted amount of each of cash and cash equivalents, working capital, total assets and total stockholders’ equity by $8.4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 cash and cash equivalents, working capital, total assets and total stockholders’ equity by $13.0 million, assuming no change in the assumed initial public offering price per share and after deducting the estimated underwriting discounts and commissions.</w:t>
      </w:r>
    </w:p>
    <w:p>
      <w:pPr>
        <w:spacing w:after="0" w:line="56" w:lineRule="exact"/>
        <w:rPr>
          <w:sz w:val="20"/>
          <w:szCs w:val="20"/>
          <w:color w:val="auto"/>
        </w:rPr>
      </w:pPr>
    </w:p>
    <w:p>
      <w:pPr>
        <w:ind w:left="600" w:hanging="306"/>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financial statements appearing elsewhere in this prospectus.</w:t>
      </w: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7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financial position and capital needs</w:t>
      </w:r>
    </w:p>
    <w:p>
      <w:pPr>
        <w:spacing w:after="0" w:line="1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0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Since our inception, we have incurred significant net losses, and we expect to continue to incur significant expenses and operating losses for the foreseeable future. For the fiscal years ended December 31, 2021 and 2022 and the six months ended June 30, 2023, we incurred net losses of $50.6 million, $59.3 million and $32.1 million, respectively, and we had an accumulated deficit of $147.5 million as of June 30, 2023. We have primarily financed our operations with approximately $183.7 million in gross proceeds raised in our private placements of convertible preferred stock in 2020 and 2021. We have no products approved for commercialization and have never generated any revenue from product sales.</w:t>
      </w:r>
    </w:p>
    <w:p>
      <w:pPr>
        <w:spacing w:after="0" w:line="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are still in the early clinical stages of development of our lead product candidates. We expect to continue to incur significant expenses and operating losses over the next several years. Our operating expenses and net losses may fluctuate significantly from quarter to quarter and year to year. We anticipate that our expenses will increase substantially as we:</w:t>
      </w:r>
    </w:p>
    <w:p>
      <w:pPr>
        <w:spacing w:after="0" w:line="116"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discovery programs;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and complete additional clinical trials of our current and future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57" w:lineRule="exact"/>
        <w:rPr>
          <w:rFonts w:ascii="Arial" w:cs="Arial" w:eastAsia="Arial" w:hAnsi="Arial"/>
          <w:sz w:val="18"/>
          <w:szCs w:val="18"/>
          <w:color w:val="auto"/>
        </w:rPr>
      </w:pPr>
    </w:p>
    <w:p>
      <w:pPr>
        <w:ind w:left="340" w:right="20" w:hanging="224"/>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with our third party manufacturing partners to produce material in accordance with current good manufacturing practices, or cGMP, for clinical trials or potential commercial sales;</w:t>
      </w:r>
    </w:p>
    <w:p>
      <w:pPr>
        <w:spacing w:after="0" w:line="102" w:lineRule="exact"/>
        <w:rPr>
          <w:rFonts w:ascii="Arial" w:cs="Arial" w:eastAsia="Arial" w:hAnsi="Arial"/>
          <w:sz w:val="18"/>
          <w:szCs w:val="18"/>
          <w:color w:val="auto"/>
        </w:rPr>
      </w:pPr>
    </w:p>
    <w:p>
      <w:pPr>
        <w:ind w:left="340" w:right="880" w:hanging="224"/>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either alone or with a third party, a commercialization infrastructure and scale up manufacturing and distribution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 patent claims;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manufacturing, scientific and administrative personnel;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60" w:hanging="224"/>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58"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To date, we have not generated any revenue from the commercialization of our product candidates.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early clinical trials or preclinical development. We may never succeed in these activities and, even if we do, may never generate any revenue or revenue that is significant enough to achieve profitability.</w:t>
      </w:r>
    </w:p>
    <w:p>
      <w:pPr>
        <w:spacing w:after="0" w:line="12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5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103"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are a clinical stage genetic medicine company with a limited operating history. We commenced substantive business operations in 2020, and our operations to date have been largely focused on organizing and staffing our company, business planning, raising capital and entering into collaboration and license agreements for conducting preclinical and clinical research and development activities for our product candidates and gene therapy pipeline. To date, we have not yet demonstrated our ability to successfully complete internally sponsored clinical trials, complete pivotal clinical trials, manufacture a product on a commercial scale,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234"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1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will require substantial future capital in order to complete planned and future clinical development for our lead product candidates, preclinical development for our other product candidates, and potential commercialization of these product candidates, if any are approved. We expect our spending levels to significantly increase in connection with our planned clinical trials of our lead product candidates.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certain of our clinical trials, our research and development programs or other operations.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As of June 30, 2023, we had cash and cash equivalents of $45.5 million. We believe that the anticipated net proceeds from this offering, together with our existing cash and cash equivalents, will be sufficient to fund our operating expenses and capital requirements into the second quarter of 2026.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125"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and investment in ongoing and future development of our gene therapy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of discovery, preclinical development, laboratory testing and clinical trials for our product candidates;</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product candidate pipeline;</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and development requirements for, product candidates that we may pursue;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capabilities and establish a commercial infrastructure;</w:t>
      </w:r>
    </w:p>
    <w:p>
      <w:pPr>
        <w:spacing w:after="0" w:line="180" w:lineRule="exact"/>
        <w:rPr>
          <w:rFonts w:ascii="Arial" w:cs="Arial" w:eastAsia="Arial" w:hAnsi="Arial"/>
          <w:sz w:val="16"/>
          <w:szCs w:val="16"/>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and maintaining commercial-scale cGMP manufacturing capabilities, either internally or with third parties;</w:t>
      </w:r>
    </w:p>
    <w:p>
      <w:pPr>
        <w:spacing w:after="0" w:line="157" w:lineRule="exact"/>
        <w:rPr>
          <w:rFonts w:ascii="Arial" w:cs="Arial" w:eastAsia="Arial" w:hAnsi="Arial"/>
          <w:sz w:val="18"/>
          <w:szCs w:val="18"/>
          <w:color w:val="auto"/>
        </w:rPr>
      </w:pPr>
    </w:p>
    <w:p>
      <w:pPr>
        <w:ind w:left="340" w:hanging="224"/>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340" w:right="20" w:hanging="224"/>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any collaborations that we may establish and our license agreements;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legal proceedings involving us;</w:t>
      </w:r>
    </w:p>
    <w:p>
      <w:pPr>
        <w:spacing w:after="0" w:line="157" w:lineRule="exact"/>
        <w:rPr>
          <w:rFonts w:ascii="Arial" w:cs="Arial" w:eastAsia="Arial" w:hAnsi="Arial"/>
          <w:sz w:val="18"/>
          <w:szCs w:val="18"/>
          <w:color w:val="auto"/>
        </w:rPr>
      </w:pPr>
    </w:p>
    <w:p>
      <w:pPr>
        <w:ind w:left="340" w:right="540" w:hanging="224"/>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 or any additional collaboration agreements we may enter into;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5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will require additional capital to achieve our business objectives.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inflation rates, particularly in the United States, have increased recently to levels not seen in decades. Increased inflation may result in increased operating costs and may affect our operating budgets, specifically with respect to increased labor costs and associated difficulties in recruiting qualified personnel. In addition, the U.S. Federal Reserve has raised, and may further raise, interest rates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we could be forced to curtail our planned operations and the pursuit of our growth strategy.</w:t>
      </w:r>
    </w:p>
    <w:p>
      <w:pPr>
        <w:spacing w:after="0" w:line="26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89" w:lineRule="exact"/>
        <w:rPr>
          <w:sz w:val="20"/>
          <w:szCs w:val="20"/>
          <w:color w:val="auto"/>
        </w:rPr>
      </w:pPr>
    </w:p>
    <w:p>
      <w:pPr>
        <w:jc w:val="both"/>
        <w:ind w:left="120" w:right="60"/>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1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development of our product candidates</w:t>
      </w:r>
    </w:p>
    <w:p>
      <w:pPr>
        <w:spacing w:after="0" w:line="15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preclinical studies and clinical trials, obtain marketing approval and ultimately commercialize them. If we are unable to or experience significant delays in doing so, our business will be materially harmed.</w:t>
      </w:r>
    </w:p>
    <w:p>
      <w:pPr>
        <w:spacing w:after="0" w:line="116"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We have invested a significant portion of our time and financial resources in the development of our product candidates and technology platforms. Our business is dependent on our ability to successfully complete preclinical and clinical development of, obtain regulatory approval for, and, if approved, successfully commercialize LX2006, LX1001, LX2020 and any other product candidates in a timely manner.</w:t>
      </w:r>
    </w:p>
    <w:p>
      <w:pPr>
        <w:spacing w:after="0" w:line="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Each of our product candidates and programs will require additional preclinical and/or clinical development, regulatory approval and significant marketing efforts, and we will be required to obtain manufacturing supply and expertise and to build a commercial organization or successfully outsource commercialization before we generate any revenue from product sales. We do not have any products that are approved for commercial sale, and we may never be able to develop or commercialize marketable products.</w:t>
      </w:r>
    </w:p>
    <w:p>
      <w:pPr>
        <w:spacing w:after="0" w:line="11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Our ability to generate revenue from our product candidates, which we do not expect to occur for several years, if ever, will depend heavily on the successful development, regulatory approval and eventual commercialization of our product candidates. The success of our lead product candidates, or any other product candidates that we develop or otherwise may acquire will depend on several factors, including:</w:t>
      </w:r>
    </w:p>
    <w:p>
      <w:pPr>
        <w:spacing w:after="0" w:line="98" w:lineRule="exact"/>
        <w:rPr>
          <w:sz w:val="20"/>
          <w:szCs w:val="20"/>
          <w:color w:val="auto"/>
        </w:rPr>
      </w:pPr>
    </w:p>
    <w:p>
      <w:pPr>
        <w:ind w:left="340" w:hanging="224"/>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under FDA’s good laboratory practices, or GLPs;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4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or development of suitable animal disease models for nonclinical studies to enable us to proceed into clinical development or support the submission of a marketing application;</w:t>
      </w:r>
    </w:p>
    <w:p>
      <w:pPr>
        <w:spacing w:after="0" w:line="102" w:lineRule="exact"/>
        <w:rPr>
          <w:rFonts w:ascii="Arial" w:cs="Arial" w:eastAsia="Arial" w:hAnsi="Arial"/>
          <w:sz w:val="18"/>
          <w:szCs w:val="18"/>
          <w:color w:val="auto"/>
        </w:rPr>
      </w:pPr>
    </w:p>
    <w:p>
      <w:pPr>
        <w:ind w:left="340" w:right="20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investigational new drug, or IND, applications from the U.S. Food and Drug Administration, or FDA, or comparable foreign applications that allow commencement of our planned clinical trials or future clinical trials for our product candidates;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w:t>
      </w:r>
    </w:p>
    <w:p>
      <w:pPr>
        <w:spacing w:after="0" w:line="157" w:lineRule="exact"/>
        <w:rPr>
          <w:rFonts w:ascii="Arial" w:cs="Arial" w:eastAsia="Arial" w:hAnsi="Arial"/>
          <w:sz w:val="18"/>
          <w:szCs w:val="18"/>
          <w:color w:val="auto"/>
        </w:rPr>
      </w:pPr>
    </w:p>
    <w:p>
      <w:pPr>
        <w:ind w:left="340" w:right="66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our own manufacturing capabilities and/or arrangements with third-party manufacturers for our commercial manufacturing processes for any of our product candidates that receive regulatory approval;</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 of commercial sales of products, if approved, whether alone or in collaboration with others;</w:t>
      </w:r>
    </w:p>
    <w:p>
      <w:pPr>
        <w:spacing w:after="0" w:line="157" w:lineRule="exact"/>
        <w:rPr>
          <w:rFonts w:ascii="Arial" w:cs="Arial" w:eastAsia="Arial" w:hAnsi="Arial"/>
          <w:sz w:val="18"/>
          <w:szCs w:val="18"/>
          <w:color w:val="auto"/>
        </w:rPr>
      </w:pPr>
    </w:p>
    <w:p>
      <w:pPr>
        <w:ind w:left="340" w:right="20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and when approved, by patients, the medical community and third-party payors, for their approved indications;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any of our product candidates;</w:t>
      </w:r>
    </w:p>
    <w:p>
      <w:pPr>
        <w:spacing w:after="0" w:line="157" w:lineRule="exact"/>
        <w:rPr>
          <w:rFonts w:ascii="Arial" w:cs="Arial" w:eastAsia="Arial" w:hAnsi="Arial"/>
          <w:sz w:val="18"/>
          <w:szCs w:val="18"/>
          <w:color w:val="auto"/>
        </w:rPr>
      </w:pPr>
    </w:p>
    <w:p>
      <w:pPr>
        <w:ind w:left="340" w:right="36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diseases for which we are developing our product candidates;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produce our product candidates on a commercial scale;</w:t>
      </w:r>
    </w:p>
    <w:p>
      <w:pPr>
        <w:spacing w:after="0" w:line="157" w:lineRule="exact"/>
        <w:rPr>
          <w:rFonts w:ascii="Arial" w:cs="Arial" w:eastAsia="Arial" w:hAnsi="Arial"/>
          <w:sz w:val="18"/>
          <w:szCs w:val="18"/>
          <w:color w:val="auto"/>
        </w:rPr>
      </w:pPr>
    </w:p>
    <w:p>
      <w:pPr>
        <w:ind w:left="340" w:right="38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attainment and maintenance of patent, trademark and trade secret protection and regulatory exclusivity for our product candidates and otherwise protecting our rights in our intellectual property portfolio;</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maintenance of compliance with regulatory requirements such as cGMPs;</w:t>
      </w:r>
    </w:p>
    <w:p>
      <w:pPr>
        <w:spacing w:after="0" w:line="157" w:lineRule="exact"/>
        <w:rPr>
          <w:rFonts w:ascii="Arial" w:cs="Arial" w:eastAsia="Arial" w:hAnsi="Arial"/>
          <w:sz w:val="18"/>
          <w:szCs w:val="18"/>
          <w:color w:val="auto"/>
        </w:rPr>
      </w:pPr>
    </w:p>
    <w:p>
      <w:pPr>
        <w:ind w:left="340" w:right="660" w:hanging="224"/>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attainment and maintenance of third-party coverage and adequate reimbursement for our product candidates and patients’ willingness to pay out-of-pocket in the absence of such coverage and adequate reimbursement;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products following approval.</w:t>
      </w:r>
    </w:p>
    <w:p>
      <w:pPr>
        <w:spacing w:after="0" w:line="15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5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are developing novel gene therapy product candidates, which makes it difficult to predict the time, cost and potential success of product candidate development.</w:t>
      </w:r>
    </w:p>
    <w:p>
      <w:pPr>
        <w:spacing w:after="0" w:line="103"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Our future success depends on the successful development of a novel therapeutic approach. To date, very few products that utilize gene transfer have been approved in the United States or Europe. There have been a limited number of clinical trials using AAVrh10. Although gene therapies have been studied in human clinical trials for over 30 years, only six AAV-based gene therapy products have been approved by the FDA.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cannot be certain that our AAVrh10-based gene therapy product candidates will successfully complete clinical trials or that any future product candidates utilizing this or other vector constructs will successfully complete preclinical studies or clinical trials. We may not be successful in developing product candidates that avoid triggering toxicities or other side effects in preclinical studies or clinical trials. Our intravenous, intracisternal, intrathecal and intraparenchymal routes of administration may cause unforeseen side effects or present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 or that other gene therapy programs will not be considered better or more favorable.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6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Because gene therapy is novel and the regulatory landscape that governs any product candidates we may develop is rigorous, complex, uncertain and subject to change, we can predict neither the geographic areas in which we could obtain regulatory approval nor the time and cost of obtaining regulatory approval, if we receive it at all, for any product candidates we may develop.</w:t>
      </w:r>
    </w:p>
    <w:p>
      <w:pPr>
        <w:spacing w:after="0" w:line="84"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regulatory requirements that will govern any novel gene therapy product candidates we develop are not entirely clear and are subject to change. The novel nature of our capsids makes it difficult to further determine how long it will take or how much it will cost to obtain regulatory approvals for our product candidates in the United States, the European Union or other jurisdictions. Within the broader genetic medicine field, very few gene therapy products have received marketing authorization from the FDA or the European Medicines Agency, or EMA. Even with respect to gene therapies, the regulatory landscape is still developing. Regulatory requirements governing gene therapy products have changed frequently and will likely continue to change in the future. Moreover, there is substantial overlap in those responsible for regulation of existing gene therapy products. For example, in 2016, the FDA established the Office of Tissues and Advanced Therapies, or OTAT, within the Center for Biologics Evaluation and Research, or CBER, to consolidate the review of gene therapy and related products, and to advise the CBER on its review. In September 2022, the FDA announced retitling of OTAT to the Office of Therapeutic Products, or OTP, and elevation of OTP to a “Super Office” to meet its growing cell and gene therapy workload.</w:t>
      </w:r>
    </w:p>
    <w:p>
      <w:pPr>
        <w:spacing w:after="0" w:line="9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Our product candidates will need to meet safety and efficacy standards applicable to any new biologic being pursued for a given disease under the regulatory framework administered by the FDA. Although the FDA decides whether individual gene therapy protocols may proceed, the review process and determinations of other reviewing bodies, including Institutional Review Boards, or IRBs, can impede or delay the initiation of a clinical trial.</w:t>
      </w:r>
    </w:p>
    <w:p>
      <w:pPr>
        <w:spacing w:after="0" w:line="8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same applies in the EU. The EMA’s Committee for Advanced Therapies, or CAT, is responsible for assessing the quality, safety and efficacy of advanced-therapy medicinal products. Advanced-therapy medicinal products include gene therapy medicines, somatic-cell therapy medicines and tissue-engineered medicines.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This could mean that any gene therapy product candidate we may develop in the future could be required to comply with additional and/or more stringent gene therapy guidelines in the EU.</w:t>
      </w:r>
    </w:p>
    <w:p>
      <w:pPr>
        <w:spacing w:after="0" w:line="12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1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regulatory review committees and advisory groups described above and any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4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03"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All of our product candidates are in preclinical or early clinical development, and the risk of failure is high. The preclinical studies,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may test and market our product candidates. Before obtaining regulatory approvals for the commercial sale of any of our product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candidates, we must demonstrate through lengthy, complex and expensive preclinical testing and clinical trials that our product candidates are both safe and effective for use in each target disease. In particular, because our product candidates are subject to regulation as biologics, we will need to demonstrate that they are safe and of sufficient purity and potency for use in their target diseases. Each product candidate must demonstrate an adequate risk-versus-benefit profile in its intended patient population and for its intended use.</w:t>
      </w:r>
    </w:p>
    <w:p>
      <w:pPr>
        <w:spacing w:after="0" w:line="10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Clinical testing is expensive, can take many years to complete and is subject to uncertainty. We cannot guarantee that any clinical trials will be initiated on schedule, conducted as planned or completed on schedule, if at all. To date, we are sponsoring clinical trials of LX1001 and LX2006, but we have not successfully completed any clinical trial that we have internally sponsored. Failure can occur at any time during the clinical trial process. Even if our ongoing and future clinical trials are completed as planned, we cannot be certain that their results will support the safety and effectiveness of our product candidates for their targeted diseases or support continued clinical development of such product candidates. Our future clinical trial results may not be successful.</w:t>
      </w:r>
    </w:p>
    <w:p>
      <w:pPr>
        <w:spacing w:after="0" w:line="1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rare diseases, where the small patient populations make it difficult or impossible to conduct two traditional, adequate and well-controlled trials,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1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may experience delays in initiating and conducting clinical trials of our lead product candidates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116"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sourcing or qualifying ancillaries required for administration of our clinical drug product (such as vials, stoppers, or tubing);</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with the FDA, EMA or other regulatory authorities as to the design or implementation of our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obtain regulatory approval to commence a clinical trial;</w:t>
      </w:r>
    </w:p>
    <w:p>
      <w:pPr>
        <w:spacing w:after="0" w:line="157" w:lineRule="exact"/>
        <w:rPr>
          <w:rFonts w:ascii="Arial" w:cs="Arial" w:eastAsia="Arial" w:hAnsi="Arial"/>
          <w:sz w:val="18"/>
          <w:szCs w:val="18"/>
          <w:color w:val="auto"/>
        </w:rPr>
      </w:pPr>
    </w:p>
    <w:p>
      <w:pPr>
        <w:ind w:left="340" w:right="60" w:hanging="224"/>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reach an agreement on acceptable terms with clinical trial sites or prospective contract research organizations, or CROs, the terms of which can be subject to extensive negotiation and may vary significantly among different clinical trial sites;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IRB approval for each clinical trial site;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recruit suitable patients to participate in a clinical trial in a timely manner;</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have patients complete a clinical trial or return for post-treatment follow-up;</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deviations by clinical trial sites, CROs or other third parties from trial protocol;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perform our planned clinical trials in accordance with the FDA’s cGCP requirements, or applicable regulatory guidelines in other countries;</w:t>
      </w:r>
    </w:p>
    <w:p>
      <w:pPr>
        <w:spacing w:after="0" w:line="180" w:lineRule="exact"/>
        <w:rPr>
          <w:rFonts w:ascii="Arial" w:cs="Arial" w:eastAsia="Arial" w:hAnsi="Arial"/>
          <w:sz w:val="16"/>
          <w:szCs w:val="16"/>
          <w:color w:val="auto"/>
        </w:rPr>
      </w:pPr>
    </w:p>
    <w:p>
      <w:pPr>
        <w:ind w:left="340" w:right="140" w:hanging="224"/>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address patient-safety concerns that arise during the course of a trial, including occurrence of adverse events associated with the product candidate that are viewed to outweigh its potential benefits;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add a sufficient number of clinical trial sites; or</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manufacturing sufficient quantities of a product candidate for use in clinical trials.</w:t>
      </w:r>
    </w:p>
    <w:p>
      <w:pPr>
        <w:spacing w:after="0" w:line="15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103" w:lineRule="exact"/>
        <w:rPr>
          <w:sz w:val="20"/>
          <w:szCs w:val="20"/>
          <w:color w:val="auto"/>
        </w:rPr>
      </w:pPr>
    </w:p>
    <w:p>
      <w:pPr>
        <w:ind w:left="340" w:right="280" w:hanging="224"/>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changes in regulatory requirements or guidance, or receive feedback from regulatory authorities that requires us to modify the design of our clinical trials;</w:t>
      </w:r>
    </w:p>
    <w:p>
      <w:pPr>
        <w:spacing w:after="0" w:line="102" w:lineRule="exact"/>
        <w:rPr>
          <w:rFonts w:ascii="Arial" w:cs="Arial" w:eastAsia="Arial" w:hAnsi="Arial"/>
          <w:sz w:val="18"/>
          <w:szCs w:val="18"/>
          <w:color w:val="auto"/>
        </w:rPr>
      </w:pPr>
    </w:p>
    <w:p>
      <w:pPr>
        <w:ind w:left="340" w:right="220" w:hanging="224"/>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halt development programs;</w:t>
      </w:r>
    </w:p>
    <w:p>
      <w:pPr>
        <w:spacing w:after="0" w:line="102" w:lineRule="exact"/>
        <w:rPr>
          <w:rFonts w:ascii="Arial" w:cs="Arial" w:eastAsia="Arial" w:hAnsi="Arial"/>
          <w:sz w:val="18"/>
          <w:szCs w:val="18"/>
          <w:color w:val="auto"/>
        </w:rPr>
      </w:pPr>
    </w:p>
    <w:p>
      <w:pPr>
        <w:ind w:left="340" w:hanging="224"/>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80" w:lineRule="exact"/>
        <w:rPr>
          <w:rFonts w:ascii="Arial" w:cs="Arial" w:eastAsia="Arial" w:hAnsi="Arial"/>
          <w:sz w:val="16"/>
          <w:szCs w:val="16"/>
          <w:color w:val="auto"/>
        </w:rPr>
      </w:pPr>
    </w:p>
    <w:p>
      <w:pPr>
        <w:ind w:left="340" w:right="40" w:hanging="224"/>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our investigators or regulators may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not have funds to cover the costs;</w:t>
      </w:r>
    </w:p>
    <w:p>
      <w:pPr>
        <w:spacing w:after="0" w:line="157" w:lineRule="exact"/>
        <w:rPr>
          <w:rFonts w:ascii="Arial" w:cs="Arial" w:eastAsia="Arial" w:hAnsi="Arial"/>
          <w:sz w:val="18"/>
          <w:szCs w:val="18"/>
          <w:color w:val="auto"/>
        </w:rPr>
      </w:pPr>
    </w:p>
    <w:p>
      <w:pPr>
        <w:ind w:left="340" w:right="60" w:hanging="224"/>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157" w:lineRule="exact"/>
        <w:rPr>
          <w:rFonts w:ascii="Arial" w:cs="Arial" w:eastAsia="Arial" w:hAnsi="Arial"/>
          <w:sz w:val="18"/>
          <w:szCs w:val="18"/>
          <w:color w:val="auto"/>
        </w:rPr>
      </w:pPr>
    </w:p>
    <w:p>
      <w:pPr>
        <w:ind w:left="340" w:right="940" w:hanging="224"/>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initiate or complete clinical trials of our product candidates or other testing, if the results of these trials or tests are not positive or are only modestly positive or if there are safety concerns, we may:</w:t>
      </w:r>
    </w:p>
    <w:p>
      <w:pPr>
        <w:spacing w:after="0" w:line="11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incur unplanned costs;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marketing approval for diseases or patient populations that are not as broad as intended or desired;</w:t>
      </w:r>
    </w:p>
    <w:p>
      <w:pPr>
        <w:spacing w:after="0" w:line="157" w:lineRule="exact"/>
        <w:rPr>
          <w:rFonts w:ascii="Arial" w:cs="Arial" w:eastAsia="Arial" w:hAnsi="Arial"/>
          <w:sz w:val="18"/>
          <w:szCs w:val="18"/>
          <w:color w:val="auto"/>
        </w:rPr>
      </w:pPr>
    </w:p>
    <w:p>
      <w:pPr>
        <w:ind w:left="340" w:right="40" w:hanging="224"/>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2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biologics license application, or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1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regulatory approval processes of the FDA, EMA and comparable foreign authorities are lengthy, time-consuming and inherently unpredictable.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not able to obtain required regulatory approval for our product candidates, our business will be substantially harmed.</w:t>
      </w:r>
    </w:p>
    <w:p>
      <w:pPr>
        <w:spacing w:after="0" w:line="13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collaborator is permitted to market any of our biologic product candidates in the United States until we receive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regulatory approval of a BLA from the FDA, and we cannot market any of our product candidates in the European Union until we receive approval for an MAA from the EMA, or other required regulatory approval in other countries.</w:t>
      </w:r>
    </w:p>
    <w:p>
      <w:pPr>
        <w:spacing w:after="0" w:line="103"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Prior to obtaining approval to commercialize any product candidate in the United States or abroad, we must demonstrate with substantial evidence from well-controlled clinical trials, and to the satisfaction of the FDA or foreign regulatory agencies, that such product candidates are safe, effective and of sufficient purity for their intended uses. Results from preclinical studies and clinical trials can be interpreted in different ways. Even if we believe the preclinical or clinical data for our product candidates meet regulatory standards,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 or require changes to our manufacturing approaches.</w:t>
      </w:r>
    </w:p>
    <w:p>
      <w:pPr>
        <w:spacing w:after="0" w:line="9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06"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We have invested a significant portion of our time and financial resources in the development of our product candidates and technology platforms. Our business is dependent on our ability to successfully complete preclinical and clinical development of, obtain regulatory approval for, and, if approved, successfully commercialize LX2006, LX2020, LX1001 and our other product candidates in a timely manner.</w:t>
      </w:r>
    </w:p>
    <w:p>
      <w:pPr>
        <w:spacing w:after="0" w:line="9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Even if we eventually complete clinical testing and receive approval of a BLA or foreign marketing application for any of our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disease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9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w:t>
      </w:r>
    </w:p>
    <w:p>
      <w:pPr>
        <w:spacing w:after="0" w:line="15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and safety trials will be successful, nor does it predict final results. For example, we may be unable to identify suitable animal disease models for our product candidates, which could delay or frustrate our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ability to proceed into clinical trials or obtain marketing approval. In addition, the preclinical studies conducted by Stelios Therapeutics, Inc., or Stelios (an entity that we acquired in 2021), and UCSD for our product candidates LX2021 and LX2022 employed an AAV9-based formulation and studies using this vector may not be predictive of future testing we intend to conduct using an AAVrh10-based formulation.</w:t>
      </w:r>
    </w:p>
    <w:p>
      <w:pPr>
        <w:spacing w:after="0" w:line="9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Our product candidates may fail to show the desired safety and efficacy in clinical development despite positive results in preclinical studies or having successfully advanced through initial clinical trials. Furthermore, our currently ongoing and most future clinical trials involve or will involve a small patient population. Because of the small sample sizes studied in our trials thus far, the results of these trials may not be indicative of results of future clinical trials.</w:t>
      </w:r>
    </w:p>
    <w:p>
      <w:pPr>
        <w:spacing w:after="0" w:line="11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Additionally, some of our ongoing and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0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69" w:lineRule="exact"/>
        <w:rPr>
          <w:sz w:val="20"/>
          <w:szCs w:val="20"/>
          <w:color w:val="auto"/>
        </w:rPr>
      </w:pPr>
    </w:p>
    <w:p>
      <w:pPr>
        <w:ind w:left="120" w:right="460"/>
        <w:spacing w:after="0" w:line="381" w:lineRule="auto"/>
        <w:rPr>
          <w:sz w:val="20"/>
          <w:szCs w:val="20"/>
          <w:color w:val="auto"/>
        </w:rPr>
      </w:pPr>
      <w:r>
        <w:rPr>
          <w:rFonts w:ascii="Arial" w:cs="Arial" w:eastAsia="Arial" w:hAnsi="Arial"/>
          <w:sz w:val="15"/>
          <w:szCs w:val="15"/>
          <w:b w:val="1"/>
          <w:bCs w:val="1"/>
          <w:i w:val="1"/>
          <w:iCs w:val="1"/>
          <w:color w:val="auto"/>
        </w:rPr>
        <w:t>Interim “top-line” and preliminary results from our clinical trials that we announce, publish or present from time to time may change as more patient data become available and are subject to audit and verification procedures that could result in material changes in the final data.</w:t>
      </w:r>
    </w:p>
    <w:p>
      <w:pPr>
        <w:spacing w:after="0" w:line="1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From time to time, we may publish or present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73"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 We</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may also identify safety and efficacy concerns after the approval of a product candidate which can result in negative consequences to our business and results of operations.</w:t>
      </w:r>
    </w:p>
    <w:p>
      <w:pPr>
        <w:spacing w:after="0" w:line="103"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effective and of sufficient purity for use in each target disease, and failures can occur at any stage of testing. Preclinical studies and clinical trials often fail to demonstrate safety or efficacy of the product candidate studied for the target disease. While we have developed our AAVrh10-mediated gene therapy product candidates to leverage the low seropositivity of AAVrh10, any gene therapy product based on viral vectors carries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 In one of our preclinical studies of LX2006, we observed four cases of hepatocellular carcinoma, or HCC, in wild-type mice at 10 months post-treatment. Although data reported by the FDA Cellular, Tissue, and Gene Therapies Advisory Committee in September 2021 suggests that HCC observed in mice after AAV treatment is unlikely to translate to risks for humans, any future instances of HCC in our clinical trials could result in delays or the abandonment of our trials. Health authorities also ask that sponsors closely monitor the risk of elevated liver enzymes and abnormal liver ultrasound on a routine basis in patients participating in gene therapy clinical trials. Patients in our trial of LX1004, our AAVrh10-based gene therapy candidate designed to restore TPP1, the secreted protein that is deficient in neuronal ceroid lipofuscinosis type 2, or CLN2, Batten disease, reported six acute serious adverse events within two weeks of dosing and 15 chronic serious adverse events after two weeks of dosing that were deemed to be related to the study drug or its administration. The six acute serious adverse events consisted of one patient with seizures, two patients with abnormal movements, one patient with emesis, one patient with hematoma, and one patient with pneumocephalus. The 15 chronic serious adverse events consisted of six patients with seizures, one patient with dystonia, one patient with emesis, one patient with hematoma, one patient with hygroma, one patient with bronchospasm, one patient with aspiration, one patient with pneumonia, and two patients with elevated hepatic enzymes.</w:t>
      </w:r>
    </w:p>
    <w:p>
      <w:pPr>
        <w:spacing w:after="0" w:line="12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AAV capsids for gene therapy, some subjects experienced the development of a T-cell antibody response, whereby after the vector is within the target cell types, the cellular immune response system triggers the removal of transduced cell types by activated T-cells. If any of our product candidates demonstrate a similar effect, we may decide or be required to perform additional preclinical studies or to halt or delay further clinical development of our product candidates.</w:t>
      </w:r>
    </w:p>
    <w:p>
      <w:pPr>
        <w:spacing w:after="0" w:line="11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Our APOE-associated Alzheimer’s disease product candidates are designed to be delivered via intracisternal administration. While the intracisternal method of administration has been available for some years, its use for gene therapies is new and no gene therapy is currently approved for this method of administration. Intracisternal administration may have greater risk and/or be perceived as having greater risk than more common methods of administration, such as intravenous injection, while parenchymal administration involves neurosurgery and carries all risks attendant with such a procedure. These risks include allergic reaction to anesthesia, bleeding or swelling in the brain, seizures, stroke, coma and infection. Other gene therapy product candidates in clinical development utilizing intracisternal or parenchymal delivery could also generate data that could adversely affect the clinical, regulatory or commercial perception of our product candidates.</w:t>
      </w:r>
    </w:p>
    <w:p>
      <w:pPr>
        <w:spacing w:after="0" w:line="11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If adverse events occur, either as a result of the product candidate or administration process,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diseases. Even if we are able to demonstrate that all future serious adverse events are not product-related, such occurrences could affect patient recruitment or the ability of enrolled patients to complete the trial. Moreover, if we elect, 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 Furthermore, negative results in our development of LX2006, LX1001, or LX2020 could be interpreted as a failure to achieve proof of concept for our technology and result in the abandonment of other development programs.</w:t>
      </w:r>
    </w:p>
    <w:p>
      <w:pPr>
        <w:spacing w:after="0" w:line="120"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In addition,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9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identify undesirable side effects caused by such products or the administration procedure, a number of potentially significant negative consequences could result, including:</w:t>
      </w:r>
    </w:p>
    <w:p>
      <w:pPr>
        <w:spacing w:after="0" w:line="79"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57" w:lineRule="exact"/>
        <w:rPr>
          <w:rFonts w:ascii="Arial" w:cs="Arial" w:eastAsia="Arial" w:hAnsi="Arial"/>
          <w:sz w:val="18"/>
          <w:szCs w:val="18"/>
          <w:color w:val="auto"/>
        </w:rPr>
      </w:pPr>
    </w:p>
    <w:p>
      <w:pPr>
        <w:ind w:left="340" w:right="140" w:hanging="224"/>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obtain or maintain third-party payor coverage and adequate reimbursement;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44"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4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Some of the diseases we initially seek to treat have low prevalence and it may be difficult to identify and enroll patients with these diseases. If we experience delays or difficulties in the enrollment and/or maintenance of patients in clinical trials, our receipt of necessary regulatory approvals could be delayed or prevented.</w:t>
      </w:r>
    </w:p>
    <w:p>
      <w:pPr>
        <w:spacing w:after="0" w:line="10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The rare genetic diseases which some of our product candidates are designed to target have low incidence and prevalence. In particular, because we are focused on patients with specific genetic mutations, our ability to enroll eligible patients may be limited or enrollment may be slower than we anticipate. For example, we estimate that approximately 6,600 people in the United States have Friedreich’s ataxia, or FA, and that approximately 80% of these patients will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develop the cardiac manifestation of FA, or FA cardiomyopathy, and accordingly it may be difficult for us to identify and timely recruit a sufficient number of eligible patients to conduct our clinical trials. Even for more prevalent conditions such as Alzheimer’s disease, it may be difficult to recruit patients to clinical trials due to the number of approved products, difficulty identifying patients with the specific genotype we are studying, and the number of clinical trials being conducted in this indication.</w:t>
      </w:r>
    </w:p>
    <w:p>
      <w:pPr>
        <w:spacing w:after="0" w:line="11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Our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other foreign regulatory authorities. We cannot predict how successful we will be at enrolling subjects in future clinical trials. Subject enrollment is affected by other factors including:</w:t>
      </w:r>
    </w:p>
    <w:p>
      <w:pPr>
        <w:spacing w:after="0" w:line="119"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57" w:lineRule="exact"/>
        <w:rPr>
          <w:rFonts w:ascii="Arial" w:cs="Arial" w:eastAsia="Arial" w:hAnsi="Arial"/>
          <w:sz w:val="18"/>
          <w:szCs w:val="18"/>
          <w:color w:val="auto"/>
        </w:rPr>
      </w:pPr>
    </w:p>
    <w:p>
      <w:pPr>
        <w:ind w:left="340" w:right="400" w:hanging="224"/>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diseases we are investigating;</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completion of their treatment;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5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CROs and clinical trial sites to help ensure the proper and timely conduct of our clinical trials and we may have limited influence over their performance. For additional information, see the risk factor in this section under the heading “</w:t>
      </w:r>
      <w:r>
        <w:rPr>
          <w:rFonts w:ascii="Arial" w:cs="Arial" w:eastAsia="Arial" w:hAnsi="Arial"/>
          <w:sz w:val="18"/>
          <w:szCs w:val="18"/>
          <w:i w:val="1"/>
          <w:iCs w:val="1"/>
          <w:color w:val="auto"/>
        </w:rPr>
        <w:t>We intend to continue to rely on third parties to conduct a significant portion of our existing 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trials and potential future clinical trials for product candidates, and those third parties may not perform satisfactorily, including failing to meet deadlines for the completion of such trials</w:t>
      </w:r>
      <w:r>
        <w:rPr>
          <w:rFonts w:ascii="Arial" w:cs="Arial" w:eastAsia="Arial" w:hAnsi="Arial"/>
          <w:sz w:val="18"/>
          <w:szCs w:val="18"/>
          <w:color w:val="auto"/>
        </w:rPr>
        <w:t>.”</w:t>
      </w:r>
    </w:p>
    <w:p>
      <w:pPr>
        <w:spacing w:after="0" w:line="11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25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or Rare Pediatric Disease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10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9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the United States, Orphan Drug designation entitles a party to potential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disease for which it has such designation, the product is entitled to a seven-year period of marketing exclusivity, which precludes the FDA from approving another marketing application for the same drug and disease for that time period, except in limited circumstances. If our competitors are able to obtain orphan drug exclusivity prior to us, for products that constitute the “same drug” and treat the same diseases as our product candidates, we may not be able to have competing products approved by the applicable regulatory authority for a significant period of time.</w:t>
      </w:r>
    </w:p>
    <w:p>
      <w:pPr>
        <w:spacing w:after="0" w:line="124"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Similarly, in the European Union,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and either the prevalence of the condition is not more than 5 in 10,000 persons in the European Union, or, without incentives, it is unlikely that sales of the drug in the European Union would be sufficient to justify the necessary investment in developing the drug. In each case, there must be no satisfactory method of diagnosis, prevention or treatment of the condition that has been authorized, or, if such a method exists, the product in question must be of significant benefit to those affected by such condition. In the European Union, Orphan Drug designation entitles a party to financial incentives such as reduction of fees or fee waivers.</w:t>
      </w:r>
    </w:p>
    <w:p>
      <w:pPr>
        <w:spacing w:after="0" w:line="9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We have obtained from the FDA Orphan Drug designation for LX2006 for treatment of FA. We may seek orphan designation for some or all of our product candidates in orphan indications in which there is a medically plausible basis for the use of these product candidates. However, we may be unsuccessful in obtaining Orphan Drug designation and may be unable to maintain the benefits associated with such designations.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statute supplants prior precedent holding that the Orphan Drug Act unambiguously requires that the FDA recognize the orphan exclusivity period regardless of a showing of clinical superiority. Moreover, in the Consolidated Appropriations Act of 2021, Congress clarified that the interpretation of orphan drug exclusivity codified in FDARA would apply in cases where the FDA issued an orphan designation before the enactment of FDARA but where product approval came after the enactment of FDARA.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Arial" w:cs="Arial" w:eastAsia="Arial" w:hAnsi="Arial"/>
          <w:sz w:val="17"/>
          <w:szCs w:val="17"/>
          <w:i w:val="1"/>
          <w:iCs w:val="1"/>
          <w:color w:val="auto"/>
        </w:rPr>
        <w:t>Catalyst Pharms., Inc. v. Becerra</w:t>
      </w:r>
      <w:r>
        <w:rPr>
          <w:rFonts w:ascii="Arial" w:cs="Arial" w:eastAsia="Arial" w:hAnsi="Arial"/>
          <w:sz w:val="17"/>
          <w:szCs w:val="17"/>
          <w:color w:val="auto"/>
        </w:rPr>
        <w:t>. The FDA may further reevaluate its regulations and policies under the Orphan Drug Act. We do not know if, when, or how the FDA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may change the orphan drug regulations and policies in the future, and it is uncertain how any changes might affect our business. Depending on what changes the FDA may make to its orphan drug regulations and policies, our business could be adversely impacted. Moreover, orphan 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42"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Fast Track, Breakthrough Therapy, or Regenerative Medicine Advanced Therapy designation by the FDA may not actually lead to a faster development or regulatory review or approval process, and does not assure FDA approval of our product candidates.</w:t>
      </w:r>
    </w:p>
    <w:p>
      <w:pPr>
        <w:spacing w:after="0" w:line="4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seek Fast Track, Breakthrough Therapy or Regenerative Medicine Advanced Therapy, or RMAT, designation from the FDA for some or all of our product candidates, but we may be unable to obtain such designations or to maintain the benefits associated with such designations. The FDA’s Fast Track, Breakthrough Therapy, and RMAT designation programs are intended to expedite the development of certain qualifying product candidates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w:t>
      </w:r>
    </w:p>
    <w:p>
      <w:pPr>
        <w:spacing w:after="0" w:line="1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 product candidate may be designated as a breakthrough therapy if it is intended, alone or in combination with one or more other drugs or biologics to treat a serious or life-threatening condition and preliminary clinical evidence indicates that the product candidate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accelerated approval.</w:t>
      </w:r>
    </w:p>
    <w:p>
      <w:pPr>
        <w:spacing w:after="0" w:line="1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 product candidate may receive RMAT designation if it is a regenerative medicine therapy that is intended to treat, modify, reverse or cure a serious or life-threatening disease or condition, and preliminary clinical evidence indicates that the product candidate has the potential to address an unmet medical need for such condition. RMAT designation allows companies developing regenerative medicine therapies to work more closely and frequently with the FDA, and RMAT-designated product candidates may be eligible for priority review and accelerated approval. FDA has confirmed that gene therapies, including genetically modified cells, that lead to a sustained effect on cells or tissues may meet the definition of a regenerative medicine therapy. For product candidates that have received an RMAT designation, interaction and communication between the FDA and the sponsor of the trial can help to identify the most efficient path for clinical development while minimizing the number of patients placed in ineffective control regimens.</w:t>
      </w:r>
    </w:p>
    <w:p>
      <w:pPr>
        <w:spacing w:after="0" w:line="8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 xml:space="preserve">We have received Fast Track designation for LX1001 for the treatment of patients with early Alzheimer’s disease who are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to slow disease progression. While we may seek Fast Track, Breakthrough Therapy and/or RMAT designation for some or all of our product candidates, there is no guarantee that we will be successful in obtaining any such designation. Even if we do obtain such designation, we may not experience a faster development process, review or approval compared to conventional FDA procedures. A Fast Track, Breakthrough Therapy, or RMAT designation does not ensure that the product candidate will receive marketing approval or that approval will be granted within any particular time frame. In addition, the FDA may withdraw Fast Track, Breakthrough Therapy, or RMAT designation if it believes that the designation is no longer supported by data from our clinical development program. Fast Track, Breakthrough Therapy and/or RMAT designation alone does not guarantee qualification for the FDA’s priority review procedures.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have received Rare Pediatric Disease designation from the FDA for LX2006 for the treatment of FA and we may seek such designation for future product candidates. However, a marketing application for these product candidates, if approved, may not meet the eligibility criteria for a rare pediatric disease priority review voucher.</w:t>
      </w:r>
    </w:p>
    <w:p>
      <w:pPr>
        <w:spacing w:after="0" w:line="116"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We have received Rare Pediatric Disease designation from the FDA for LX2006 for the treatment of FA and LX1004 for the treatment of CLN2 disease and we may seek Rare Pediatric Disease designation for future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U.S. Federal Food, Drug, and Cosmetic Act, or FDCA, we will need to request a rare pediatric disease priority review voucher in our original marketing application for our product candidates for which we have received Rare Pediatric Disease designation. The FDA may determine that a marketing application for any such product candidates, if approved, does not meet the eligibility criteria for a priority review voucher, including for the following reasons:</w:t>
      </w:r>
    </w:p>
    <w:p>
      <w:pPr>
        <w:spacing w:after="0" w:line="99"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rare pediatric disease that received such designation no longer meets the definition of a “rare pediatric disease”;</w:t>
      </w:r>
    </w:p>
    <w:p>
      <w:pPr>
        <w:spacing w:after="0" w:line="157" w:lineRule="exact"/>
        <w:rPr>
          <w:rFonts w:ascii="Arial" w:cs="Arial" w:eastAsia="Arial" w:hAnsi="Arial"/>
          <w:sz w:val="18"/>
          <w:szCs w:val="18"/>
          <w:color w:val="auto"/>
        </w:rPr>
      </w:pPr>
    </w:p>
    <w:p>
      <w:pPr>
        <w:ind w:left="340" w:right="300" w:hanging="224"/>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application contains an active ingredient (including any ester or salt of the active ingredient) that has been previously approved in a marketing application;</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application is not deemed eligible for priority review;</w:t>
      </w:r>
    </w:p>
    <w:p>
      <w:pPr>
        <w:spacing w:after="0" w:line="157" w:lineRule="exact"/>
        <w:rPr>
          <w:rFonts w:ascii="Arial" w:cs="Arial" w:eastAsia="Arial" w:hAnsi="Arial"/>
          <w:sz w:val="18"/>
          <w:szCs w:val="18"/>
          <w:color w:val="auto"/>
        </w:rPr>
      </w:pPr>
    </w:p>
    <w:p>
      <w:pPr>
        <w:ind w:left="340" w:hanging="224"/>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application does not rely on clinical data derived from studies examining a pediatric population and dosages of the product intended for that population (that is, if the marketing application does not contain sufficient clinical data to allow for adequate labeling for use by the full range of affected pediatric patients); or</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marketing application is approved for a different adult indication than the rare pediatric disease for which our product candidates are designated.</w:t>
      </w:r>
    </w:p>
    <w:p>
      <w:pPr>
        <w:spacing w:after="0" w:line="18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Under the current statutory sunset provisions, after September 30, 2024, the FDA may only award a priority review voucher, or PRV,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LX2006 in patients with FA on or before September 30, 2026, and if the priority review voucher program is not extended by Congressional action, we may not receive a priority review voucher.</w:t>
      </w:r>
    </w:p>
    <w:p>
      <w:pPr>
        <w:spacing w:after="0" w:line="23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Where appropriate, we may seek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Where possible, we may pursue accelerated development strategies in areas of high medical need. We may seek an accelerated approval pathway for one or more of our therapeutic candidates from the FDA, EMA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comparable foreign regulatory authorities. Under the accelerated approval provisions in the FDCA and the FDA’s implementing regulations, the FDA may grant accelerated approval to a therapeutic candidate that is designed to treat a serious or life-threatening condition, generally provides a meaningful therapeutic benefit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product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product’s clinical benefit. If such post-approval studies fail to confirm the product’s clinical benefit, the FDA may withdraw its approval of the product. In addition, the FDA currently requires, unless otherwise informed by the agency, pre-approval of promotional materials for products receiving accelerated approval, which could adversely impact the timing of the commercial launch of the product.</w:t>
      </w:r>
    </w:p>
    <w:p>
      <w:pPr>
        <w:spacing w:after="0" w:line="11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Prior to seeking accelerated approval, we would seek feedback from the FDA, EMA or comparable foreign regulatory authorities and would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23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our product candidates.</w:t>
      </w:r>
    </w:p>
    <w:p>
      <w:pPr>
        <w:spacing w:after="0" w:line="103"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approval compared to conventional FDA procedures. Receiving priority review from the FDA does not guarantee approval within the six-month review cycle or thereafter.</w:t>
      </w:r>
    </w:p>
    <w:p>
      <w:pPr>
        <w:spacing w:after="0" w:line="25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8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diseases. As such, currently we are primarily focused on the development of our current pipeline of candidates. As a result, we may forego or delay pursuit of opportunities with other product candidates. For example, we are evaluating strategic alternatives to find the appropriate partner to advance our LX1004 program. Our resource allocation decisions may cause us to fail to capitalize on viable commercial products or profitable market opportunities. Our spending on current and future development programs and product candidates for specific diseases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4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business model is centered on developing therapies for patients with both larger-rare and prevalent cardiac and central nervous system diseases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Even if we are successful in continuing to build our pipeline, the potential product candidates that we identify may not be suitable for clinical development. For example, they may be shown to have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03"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intend to work with collaborators to develop or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 disease category who may derive selective and meaningful benefit from our product candidates.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 The FDA generally will require approval or clearance of the diagnostic at the same time that the FDA approves the therapeutic product if the FDA determines that safe and effective use of a therapeutic product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The clearance or approval of a companion diagnostic as part of the product label will also limit the use of the product candidate to patients who have met the screening criteria tested for by the companion diagnostic.</w:t>
      </w:r>
    </w:p>
    <w:p>
      <w:pPr>
        <w:spacing w:after="0" w:line="9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intend to rely on third parties for the design, development and manufacture of companion diagnostic tests for our therapeutic product candidates that may require such tests. If we enter into such collaborative agreements, we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product candidates, or experience delays in doing so, the development of these product candidates may be adversely affected, these product candidates may not obtain marketing approval, and we may not realize the full commercial potential of any of these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manufacturing of our product candidates</w:t>
      </w:r>
    </w:p>
    <w:p>
      <w:pPr>
        <w:spacing w:after="0" w:line="13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11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currently have relationships with a limited number of suppliers for the manufacturing of all components of our product candidates. However, if we experience slowdowns or problems with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in the United States and European Union must be manufactured in accordance with cGMP.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an MAA on a timely basis. Our potential manufacturing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manufacturing organizations, or CMOs, do not pass such audit or inspections. If these facilities do not pass a pre-approval plant inspection, FDA approval of the products will not be granted.</w:t>
      </w:r>
    </w:p>
    <w:p>
      <w:pPr>
        <w:spacing w:after="0" w:line="9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w:t>
      </w:r>
    </w:p>
    <w:p>
      <w:pPr>
        <w:spacing w:after="0" w:line="125"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an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1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68"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8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10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rely on third-party manufacturers to manufacture our product candidates for preclinical studies and clinical trials. 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product candidate materials for clinical trials or enforcement action from the FDA, EMA or foreign regulatory authorities. If we or our manufacturers fail to comply with the requirements of the FDA, EMA or other regulatory authority, sanctions could be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There can be no assurances that our third-party manufacturers will be able to meet our timetable and requirements. If any third party with whom we contract fails to perform its obligations, we may be forced to either manufacture the materials ourselves, for which we may not have the capabilities or resources, or enter into an agreement with a different third-party manufacturer, which we may not be able to do on reasonable terms, if at all. In either scenario, our clinical trials and future commercial supply could be delayed significantly as we establish alternative supply sources. In some cases, the technical skills required to manufacture our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manufacturer could negatively affect our ability to develop product candidates or commercialize our products, if approved, in a timely manner or within budget.</w:t>
      </w:r>
    </w:p>
    <w:p>
      <w:pPr>
        <w:spacing w:after="0" w:line="10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we are unable to arrange for alternative third-party manufacturing sources on commercially reasonable terms or in a timely manner, we may be delayed in the development of our product candidates. Our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1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 modified virus generally cannot be fully characterized. As a result, assays of the finished product may not be sufficient to ensure that the product will perform in the intended manner.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 types and reagents, and other production constraints. Our production process also requires a number of highly specific raw materials, cell types and reagents with limited suppliers. Even though we aim to have backup supplies of raw materials, cell types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raw materials for our lead product candidates. Any changes in the manufacturing of components of the raw materials we use could result in unanticipated or unfavorable effects in our manufacturing processes, resulting in delays.</w:t>
      </w:r>
    </w:p>
    <w:p>
      <w:pPr>
        <w:spacing w:after="0" w:line="10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addition, if any of our product candidates obtain approval, the FDA, EMA and other regulatory authorities may require us to submit samples of any lot of any approved product together with the protocols showing the results of applicable tests at any time. Under some circumstances, the FDA,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03"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rely on third-party suppliers for the materials and components required for the production of our product candidates. Our dependence on these third-party suppliers and the challenges we may face in obtaining adequate supplies of materials involve several risks, including limited control over pricing, availability, and delivery schedules. There is substantial demand and limited supply for certain of the raw materials used to manufacture gene therapy products. As a small company, our negotiation leverage is limited, and we may get lower priority than our competitors that are larger than we are. We cannot be certain that our suppliers will continue to provide us with the quantities of these raw materials within the timelines that we require or satisfy our anticipated specifications and quality requirements. Any supply interruption in limited or sole-sourced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5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viruses to deliver necessary components could result in delays in our clinical development or marketing schedules.</w:t>
      </w:r>
    </w:p>
    <w:p>
      <w:pPr>
        <w:spacing w:after="0" w:line="10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Given the nature of gene therapy manufacturing, there is a risk of contamination occurring during the manufacturing process.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the initiation and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 Regulatory agencies, and in particular the FDA and EMA, have demonstrated increased caution in their regulation of gene therapies, including increased scrutiny related to chemistry, manufacturing and control, or CMC, issues. This increased regulatory scrutiny around gene therapy CMC may result in us being required to conduct additional preclinical studies or clinical trials with respect to any of our product candidates, which may result in delays and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increased costs in the development or commercialization of our product candidates and ultimately could lead to the failure to obtain approval for any gene therapy product.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commercialization of our product candidates</w:t>
      </w:r>
    </w:p>
    <w:p>
      <w:pPr>
        <w:spacing w:after="0" w:line="1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10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19"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their efficacy, safety and potential advantages compared to alternative treatments;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57" w:lineRule="exact"/>
        <w:rPr>
          <w:rFonts w:ascii="Arial" w:cs="Arial" w:eastAsia="Arial" w:hAnsi="Arial"/>
          <w:sz w:val="18"/>
          <w:szCs w:val="18"/>
          <w:color w:val="auto"/>
        </w:rPr>
      </w:pPr>
    </w:p>
    <w:p>
      <w:pPr>
        <w:ind w:left="340" w:right="360" w:hanging="224"/>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boxed warning or REMS;</w:t>
      </w:r>
    </w:p>
    <w:p>
      <w:pPr>
        <w:spacing w:after="0" w:line="102" w:lineRule="exact"/>
        <w:rPr>
          <w:rFonts w:ascii="Arial" w:cs="Arial" w:eastAsia="Arial" w:hAnsi="Arial"/>
          <w:sz w:val="18"/>
          <w:szCs w:val="18"/>
          <w:color w:val="auto"/>
        </w:rPr>
      </w:pPr>
    </w:p>
    <w:p>
      <w:pPr>
        <w:ind w:left="340" w:right="120" w:hanging="224"/>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such as gene therapy as a novel modality for treatment of our target indications and of physicians to prescribe these treatments;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57" w:lineRule="exact"/>
        <w:rPr>
          <w:rFonts w:ascii="Arial" w:cs="Arial" w:eastAsia="Arial" w:hAnsi="Arial"/>
          <w:sz w:val="18"/>
          <w:szCs w:val="18"/>
          <w:color w:val="auto"/>
        </w:rPr>
      </w:pPr>
    </w:p>
    <w:p>
      <w:pPr>
        <w:ind w:left="340" w:right="660" w:hanging="224"/>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for our product candidates, once approved, from third-party payors and government authorities;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93"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103"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product candidates involve introducing genetic material into a patient’s cells via intrathecal and intravenous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2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or demand for any products once approved. In recent years, sponsors of other clinical trials involving gene therapies have announced imposition of clinical holds by the FDA to evaluate safety issues arising during the trials.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which require that the expression of a therapeutic transgene be tightly regulated, such as LX1020, we may inadvertently cause overexpression, which could lead to numerous issues, including safety and toxicity concerns. Furthermore, these regulatory gene replacement therapy candidates require the insertion of microRNA, or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48"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8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currently focus our research and product development on several indications that are larger-rare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9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accurate, and the methodology is forward-looking and potentially speculative. The process we have used in developing an estimated incidence and prevalence range for the indications we are targeting has involved collating limited data from multiple sources. Accordingly, the incidence and prevalence estimates included in this prospectus should be viewed in that context. Further, the data and statistical information used in this prospectus, including estimates derived from them, may differ from information and estimates made by our competitors or from current or future studies conducted by independent sources.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0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Drug development, particularly in the gene therapy field, is highly competitive and subject to rapid and significant technological advancements. As a significant unmet medical need exists in the cardiovascular disease and Alzheimer’s disease areas, there are several large and small pharmaceutical companies focused on delivering therapeutics for the treatment of these diseases, including those that we are initially targeting. It is likely that additional drugs will become available in the future for the treatment of our target diseases.</w:t>
      </w:r>
    </w:p>
    <w:p>
      <w:pPr>
        <w:spacing w:after="0" w:line="11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aware that our competitors are developing product candidates for the treatment of diseases that our product candidates will target. With respect to LX2006, we are aware of preclinical gene therapy programs in development at Novartis, PTC Therapeutics, Inc., Aavanti Bio, Inc., Lacerta Therapeutics, Inc. and those being developed in collaborations between Voyager Therapeutics, Inc. and Neurocrine Biosciences, Inc. and between Takeda Pharmaceutical Company Limited and StrideBio, Inc. Among other treatment modalities for FA, we are aware that Larimar Therapeutics, Inc. is developing a clinical stage product candidate, CTI-1601, Design Therapeutics, Inc. is developing a clinical stage product candidate, DT-216, and that Reata Pharmaceuticals, Inc.’s Omaveloxolone (Skyclarys) was recently approved by the FDA.</w:t>
      </w:r>
    </w:p>
    <w:p>
      <w:pPr>
        <w:spacing w:after="0" w:line="9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With respect to LX2020, both Rocket Pharmaceuticals Inc. and Tenaya Therapeutics Inc. are developing an AAV-based gene therapy candidate designed to deliver a functional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to patients with PKP2-ACM.</w:t>
      </w:r>
    </w:p>
    <w:p>
      <w:pPr>
        <w:spacing w:after="0" w:line="10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With respect to our portfolio of gene therapy programs for the treatment of homozygous APOE4-associated Alzheimer’s disease, we are aware that uniQure, N.V. is pursuing AMT-240, a preclinical gene therapy candidate for autosomal dominant Alzheimer’s disease intended to silence the toxic variant while expressing the protective variant, and Novartis has a gene therapy candidate for Alzheimer’s disease that is in the early preclinical stages of development. Many large and small pharmaceutical companies and academic institutions are developing potential treatments for the condition given the significant unmet need and the large population suffering from Alzheimer’s disease. There are multiple FDA-approved treatments for Alzheimer’s disease, including donepezil (Aricept), memantine (Namenda), and aducanumab (Aduhelm), the latter of which was recently approved under accelerated approval and will require confirmatory data to verify clinical benefit. In January of 2023, lecanemab was granted accelerated approval by the FDA for the treatment of Alzheimer’s disease based on the observed reduction of amyloid beta plaque. In addition, Eli Lilly and Company’s product candidate for the treatment of Alzheimer’s disease, donanemab, is currently in Phase 3 development. Finally, we are aware that Voyager Therapeutics, Inc. and Taysha Gene Therapies, Inc. are pursuing Alzheimer’s disease treatments and have early-stage discovery efforts ongoing based on vectorized antibodies and tau-specific miRNA shuttles, respectively.</w:t>
      </w:r>
    </w:p>
    <w:p>
      <w:pPr>
        <w:spacing w:after="0" w:line="11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biologics, that have been approved for marketing. Mergers and acquisitions in the pharmaceutical and biotechnology industries could result in even more resources being concentrated among a small number of our competitors.</w:t>
      </w:r>
    </w:p>
    <w:p>
      <w:pPr>
        <w:spacing w:after="0" w:line="9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in the cardiac and neurology fields, including for the treatment of diseases and diseases in the therapeutic categories we intend to target. Therefore, our ability to compete successfully will depend largely on our ability to:</w:t>
      </w:r>
    </w:p>
    <w:p>
      <w:pPr>
        <w:spacing w:after="0" w:line="116" w:lineRule="exact"/>
        <w:rPr>
          <w:sz w:val="20"/>
          <w:szCs w:val="20"/>
          <w:color w:val="auto"/>
        </w:rPr>
      </w:pPr>
    </w:p>
    <w:p>
      <w:pPr>
        <w:ind w:left="5540" w:right="3500" w:hanging="5424"/>
        <w:spacing w:after="0" w:line="449" w:lineRule="auto"/>
        <w:tabs>
          <w:tab w:leader="none" w:pos="3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and commercialize drugs that are advantageous as compared to other products in the market; 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collaborate with other pharmaceutical companies in the discovery, development and commercialization of new medicines.</w:t>
      </w:r>
    </w:p>
    <w:p>
      <w:pPr>
        <w:spacing w:after="0" w:line="15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04" w:lineRule="exact"/>
        <w:rPr>
          <w:sz w:val="20"/>
          <w:szCs w:val="20"/>
          <w:color w:val="auto"/>
        </w:rPr>
      </w:pPr>
    </w:p>
    <w:p>
      <w:pPr>
        <w:ind w:left="120" w:right="38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Any product candidates for which we intend to seek approval as biologic products may face competition sooner than anticipated.</w:t>
      </w:r>
    </w:p>
    <w:p>
      <w:pPr>
        <w:spacing w:after="0" w:line="16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biologics.</w:t>
      </w:r>
    </w:p>
    <w:p>
      <w:pPr>
        <w:spacing w:after="0" w:line="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of recent litigation. Moreover, the extent to which a biosimilar, once approved, will be substituted for any one of our reference products in a way that is similar to traditional generic substitution for non-biologics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3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commercial and government payors to pay for these procedures.</w:t>
      </w:r>
    </w:p>
    <w:p>
      <w:pPr>
        <w:spacing w:after="0" w:line="8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LX2006, LX1001 and LX2020,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6"/>
          <w:szCs w:val="16"/>
          <w:i w:val="1"/>
          <w:iCs w:val="1"/>
          <w:color w:val="auto"/>
        </w:rPr>
        <w:t>e.g.</w:t>
      </w:r>
      <w:r>
        <w:rPr>
          <w:rFonts w:ascii="Arial" w:cs="Arial" w:eastAsia="Arial" w:hAnsi="Arial"/>
          <w:sz w:val="16"/>
          <w:szCs w:val="16"/>
          <w:color w:val="auto"/>
        </w:rPr>
        <w:t>,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For more information, see the section titled “</w:t>
      </w:r>
      <w:r>
        <w:rPr>
          <w:rFonts w:ascii="Arial" w:cs="Arial" w:eastAsia="Arial" w:hAnsi="Arial"/>
          <w:sz w:val="16"/>
          <w:szCs w:val="16"/>
          <w:i w:val="1"/>
          <w:iCs w:val="1"/>
          <w:color w:val="auto"/>
        </w:rPr>
        <w:t>Business –Government Regulation – Coverage and Reimbursement</w:t>
      </w:r>
      <w:r>
        <w:rPr>
          <w:rFonts w:ascii="Arial" w:cs="Arial" w:eastAsia="Arial" w:hAnsi="Arial"/>
          <w:sz w:val="16"/>
          <w:szCs w:val="16"/>
          <w:color w:val="auto"/>
        </w:rPr>
        <w:t>.”</w:t>
      </w:r>
    </w:p>
    <w:p>
      <w:pPr>
        <w:spacing w:after="0" w:line="10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1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diseases unless coverage is provided and reimbursement is adequate. In addition, for products administered under the supervision of a physician, obtaining coverage and adequate reimbursement may be particularly difficult because of the higher prices often associated with such drugs. Further, coverage policies and third-party reimbursement rates may change at any time. Therefore, even if favorable coverage and reimbursement status is attained,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9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a covered benefit under its health plan; safe, effective and medically necessary;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0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16"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There can be no assurance that LX2006, LX1001, LX2020 or any other product candidates,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3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03" w:lineRule="exact"/>
        <w:rPr>
          <w:sz w:val="20"/>
          <w:szCs w:val="20"/>
          <w:color w:val="auto"/>
        </w:rPr>
      </w:pPr>
    </w:p>
    <w:p>
      <w:pPr>
        <w:jc w:val="both"/>
        <w:ind w:left="120" w:right="48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81"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not be able to maintain insurance coverage at a reasonable cost or in an amount adequate to satisfy any liability that may arise.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3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Currently, we rely on our collaborations with Cornell University and University of California, San Diego, or UCSD, to conduct research and development for many of our pipeline programs, including conducting preclinical and IND-enabling studies for portions of our near-term future pipeline. Failure or delay of Cornell University or UCSD to fulfill all or part of their respective obligations to us under our agreements, a breakdown in collaboration between the parties or a complete or partial loss of either of these relationships could materially harm our business.</w:t>
      </w:r>
    </w:p>
    <w:p>
      <w:pPr>
        <w:spacing w:after="0" w:line="90"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Our company’s initial programs arose from a collaboration between us, Cornell University, and Ronald G. Crystal, M.D., Professor and Chairman of Weill Cornell Medicine’s Department of Genetic Medicine. Our collaboration with Cornell University is critical to our business and in May 2020, we entered into two separate license agreements with Cornell University for preclinical research and development collaborations and non-exclusive license rights to patents for certain products and technologies. As part of our first license agreement, as amended, we assumed oversight for the conduct of the Phase 1/2 clinical trial of LX1001 that was initiated by Cornell University at the end of 2019. Pursuant to these license agreements, we are obligated to diligently proceed with the development, manufacture, and sale of licensed products. In February 2021, we further expanded our collaboration and entered into a Research Collaboration Agreement with Cornell University, or the Cornell Collaboration Agreement, to conduct preclinical research to further develop the licensed technology. If Cornell University delays or fails to perform its obligations under this collaboration agreement, disagrees with our interpretation of the terms of the collaboration or our discovery plan or terminates any of our existing license and collaboration agreements, our pipeline of product candidates would be significantly adversely affected and our prospects may be materially harmed.</w:t>
      </w:r>
    </w:p>
    <w:p>
      <w:pPr>
        <w:spacing w:after="0" w:line="10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collaboration with UCSD is also highly important to our business, as we have licensed from UCSD intellectual property rights related to our LX 2020, LX 2021 and LX 2022 programs under three separate license agreements, and we have entered into sponsored research agreements with UCSD for preclinical research and development for these programs. Furthermore, our Chief Scientific Officer, Eric Adler, M.D., is the director of the UCSD-affiliated lab at which the preclinical work for the LX2022 program is conducted. If UCSD delays or fails to perform its obligations under either of the sponsored research agreements, disagrees with our interpretation of the terms of the sponsored research agreement or our discovery plan or terminates any of our existing license agreements, our pipeline of product candidates would be significantly adversely affected and our prospects may be materially harmed.</w:t>
      </w:r>
    </w:p>
    <w:p>
      <w:pPr>
        <w:spacing w:after="0" w:line="262" w:lineRule="exact"/>
        <w:rPr>
          <w:sz w:val="20"/>
          <w:szCs w:val="20"/>
          <w:color w:val="auto"/>
        </w:rPr>
      </w:pPr>
    </w:p>
    <w:p>
      <w:pPr>
        <w:ind w:left="120" w:right="360"/>
        <w:spacing w:after="0" w:line="381" w:lineRule="auto"/>
        <w:rPr>
          <w:sz w:val="20"/>
          <w:szCs w:val="20"/>
          <w:color w:val="auto"/>
        </w:rPr>
      </w:pPr>
      <w:r>
        <w:rPr>
          <w:rFonts w:ascii="Arial" w:cs="Arial" w:eastAsia="Arial" w:hAnsi="Arial"/>
          <w:sz w:val="15"/>
          <w:szCs w:val="15"/>
          <w:b w:val="1"/>
          <w:bCs w:val="1"/>
          <w:i w:val="1"/>
          <w:iCs w:val="1"/>
          <w:color w:val="auto"/>
        </w:rPr>
        <w:t>We intend to continue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33"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We engage CROs to help conduct our ongoing clinical trials. We expect to continue to rely on third parties, including clinical data management organizations, medical institutions and clinical investigators, to conduct those clinical trials and any future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a CRO involves substantial cost and requires management time and focus. In addition, there is a natural transition period when a new CRO commences work. As a result, delays occur, which can materially impact our ability to meet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16"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10"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cGCP regulations,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t>
      </w:r>
      <w:r>
        <w:rPr>
          <w:rFonts w:ascii="Arial" w:cs="Arial" w:eastAsia="Arial" w:hAnsi="Arial"/>
          <w:sz w:val="16"/>
          <w:szCs w:val="16"/>
          <w:i w:val="1"/>
          <w:iCs w:val="1"/>
          <w:color w:val="auto"/>
        </w:rPr>
        <w:t>www.clinicaltrials.gov</w:t>
      </w:r>
      <w:r>
        <w:rPr>
          <w:rFonts w:ascii="Arial" w:cs="Arial" w:eastAsia="Arial" w:hAnsi="Arial"/>
          <w:sz w:val="16"/>
          <w:szCs w:val="16"/>
          <w:color w:val="auto"/>
        </w:rPr>
        <w:t>, within specified time frames. Failure to do so can result in fines, adverse publicity and civil and criminal sanctions. If we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LX2006, LX1001, LX2020 or any other product candidates.</w:t>
      </w:r>
    </w:p>
    <w:p>
      <w:pPr>
        <w:spacing w:after="0" w:line="11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spacing w:after="0" w:line="342" w:lineRule="auto"/>
        <w:rPr>
          <w:sz w:val="20"/>
          <w:szCs w:val="20"/>
          <w:color w:val="auto"/>
        </w:rPr>
      </w:pPr>
      <w:r>
        <w:rPr>
          <w:rFonts w:ascii="Arial" w:cs="Arial" w:eastAsia="Arial" w:hAnsi="Arial"/>
          <w:sz w:val="16"/>
          <w:szCs w:val="16"/>
          <w:b w:val="1"/>
          <w:bCs w:val="1"/>
          <w:i w:val="1"/>
          <w:iCs w:val="1"/>
          <w:color w:val="auto"/>
        </w:rPr>
        <w:t>We may seek collaborations with non-academic third parties for the development or commercialization of our product candidates. If those collaborations are not successful, we may not be able to capitalize on the market potential of these product candidates.</w:t>
      </w:r>
    </w:p>
    <w:p>
      <w:pPr>
        <w:spacing w:after="0" w:line="5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Collaborations involving our product candidates pose the following risks to us:</w:t>
      </w:r>
    </w:p>
    <w:p>
      <w:pPr>
        <w:spacing w:after="0" w:line="97"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57" w:lineRule="exact"/>
        <w:rPr>
          <w:rFonts w:ascii="Arial" w:cs="Arial" w:eastAsia="Arial" w:hAnsi="Arial"/>
          <w:sz w:val="18"/>
          <w:szCs w:val="18"/>
          <w:color w:val="auto"/>
        </w:rPr>
      </w:pPr>
    </w:p>
    <w:p>
      <w:pPr>
        <w:ind w:left="340" w:right="360" w:hanging="224"/>
        <w:spacing w:after="0" w:line="28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97" w:lineRule="exact"/>
        <w:rPr>
          <w:rFonts w:ascii="Arial" w:cs="Arial" w:eastAsia="Arial" w:hAnsi="Arial"/>
          <w:sz w:val="17"/>
          <w:szCs w:val="17"/>
          <w:color w:val="auto"/>
        </w:rPr>
      </w:pPr>
    </w:p>
    <w:p>
      <w:pPr>
        <w:ind w:left="340" w:right="240" w:hanging="224"/>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2" w:lineRule="exact"/>
        <w:rPr>
          <w:rFonts w:ascii="Arial" w:cs="Arial" w:eastAsia="Arial" w:hAnsi="Arial"/>
          <w:sz w:val="18"/>
          <w:szCs w:val="18"/>
          <w:color w:val="auto"/>
        </w:rPr>
      </w:pPr>
    </w:p>
    <w:p>
      <w:pPr>
        <w:ind w:left="340" w:right="100" w:hanging="224"/>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7" w:lineRule="exact"/>
        <w:rPr>
          <w:rFonts w:ascii="Arial" w:cs="Arial" w:eastAsia="Arial" w:hAnsi="Arial"/>
          <w:sz w:val="18"/>
          <w:szCs w:val="18"/>
          <w:color w:val="auto"/>
        </w:rPr>
      </w:pPr>
    </w:p>
    <w:p>
      <w:pPr>
        <w:ind w:left="340" w:right="440" w:hanging="224"/>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78" w:lineRule="exact"/>
        <w:rPr>
          <w:rFonts w:ascii="Arial" w:cs="Arial" w:eastAsia="Arial" w:hAnsi="Arial"/>
          <w:sz w:val="17"/>
          <w:szCs w:val="17"/>
          <w:color w:val="auto"/>
        </w:rPr>
      </w:pPr>
    </w:p>
    <w:p>
      <w:pPr>
        <w:ind w:left="340" w:right="420" w:hanging="224"/>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02" w:lineRule="exact"/>
        <w:rPr>
          <w:rFonts w:ascii="Arial" w:cs="Arial" w:eastAsia="Arial" w:hAnsi="Arial"/>
          <w:sz w:val="18"/>
          <w:szCs w:val="18"/>
          <w:color w:val="auto"/>
        </w:rPr>
      </w:pPr>
    </w:p>
    <w:p>
      <w:pPr>
        <w:ind w:left="340" w:right="100" w:hanging="224"/>
        <w:spacing w:after="0" w:line="31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1" w:lineRule="exact"/>
        <w:rPr>
          <w:rFonts w:ascii="Arial" w:cs="Arial" w:eastAsia="Arial" w:hAnsi="Arial"/>
          <w:sz w:val="16"/>
          <w:szCs w:val="16"/>
          <w:color w:val="auto"/>
        </w:rPr>
      </w:pPr>
    </w:p>
    <w:p>
      <w:pPr>
        <w:ind w:left="340" w:right="80" w:hanging="224"/>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56" w:lineRule="exact"/>
        <w:rPr>
          <w:rFonts w:ascii="Arial" w:cs="Arial" w:eastAsia="Arial" w:hAnsi="Arial"/>
          <w:sz w:val="16"/>
          <w:szCs w:val="16"/>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80" w:hanging="224"/>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03"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1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diseases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0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10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including LX2006, LX2020, LX2021, LX2022, LX1001, LX1020, LX1021, and other programs, their respective components, formulations, therapies, methods used to manufacture them and methods treatment. Furthermore, we currently do not have any patents or patent applications covering our LX1004 product candidate.</w:t>
      </w:r>
    </w:p>
    <w:p>
      <w:pPr>
        <w:spacing w:after="0" w:line="11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in other countries with respect to our proprietary technology and product candidates.</w:t>
      </w:r>
    </w:p>
    <w:p>
      <w:pPr>
        <w:spacing w:after="0" w:line="8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1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 In some cases, the work of certain academic researchers in the gene therapy field has entered the public domain, which may preclude our ability to obtain patent protection for certain inventions relating to such work.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technology that is in the public domain to compete with our product candidates.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0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any patent rights are highly uncertain. Our owned and licensed pending and future patent applications may not result in issued patents which protect our technology or product candidates, effectively prevent others from commercializing competitive technologies and product candidates or otherwise provide any competitive advantage. In fact, patent applications may not issue as patents at all.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technologies and product candidates will be protectable or remain protected by valid and enforceable patents. In addition, our existing patents and any future patents we obtain may not be sufficiently broad to prevent others from using our technology or from developing competing technologies and products, and the coverage claimed in a patent application can be significantly reduced before the patent is issued, and its scope can be reinterpreted after issuance. Any failure to obtain, maintain or defend our patents and other intellectual property could have a material adverse effect on our business, financial conditions, results of operations and prospects.</w:t>
      </w:r>
    </w:p>
    <w:p>
      <w:pPr>
        <w:spacing w:after="0" w:line="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or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Since patent applications in the United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States and other countries are confidential for a period of time after filing, at any moment in time, we cannot be certain that we were in the past or will be in the future the first to file any patent application related to our product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in-licensed issued patents or our pending applications, or that we or, if applicable, a licensor, were the first to invent or first to file an application for the technology.</w:t>
      </w:r>
    </w:p>
    <w:p>
      <w:pPr>
        <w:spacing w:after="0" w:line="9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2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In addition, while we have undertaken reasonable efforts to ensure such agreements are enforceable and that employees and third parties comply with their obligations thereunder, these agreements may be found insufficient by a court of law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Enforcing a claim that a third-party entity illegally obtained and is using any of our trade secrets is expensive and time-consuming, and the outcome is unpredictable, and we may not be able to obtain adequate remedies for such breaches.</w:t>
      </w:r>
    </w:p>
    <w:p>
      <w:pPr>
        <w:spacing w:after="0" w:line="9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maintain a competitive advantage in our market, which could materially adversely affect our business, results of operations and financial condition.</w:t>
      </w:r>
    </w:p>
    <w:p>
      <w:pPr>
        <w:spacing w:after="0" w:line="31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10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4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We in-license key intellectual property necessary for the development of each of our current product candidates. If we fail to comply with our obligations in our current and future intellectual property licenses with third parties, resulting in the termination of such licenses, we could lose rights that are important to our business.</w:t>
      </w:r>
    </w:p>
    <w:p>
      <w:pPr>
        <w:spacing w:after="0" w:line="103"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heavily reliant upon licenses to certain patent rights and proprietary technology for the development of each of our current product candidates. In particular, we in-license key patents and patent applications from Adverum Biotechnologies, Inc., or Adverum, related to LX2006, we in-license patent applications and know-how from Cornell University related to our LX1001, LX1020 and LX1021 product candidates for the treatment of Alzheimer’s disease, and we in-license patent applications and know-how from the Regents of the University of California, San Diego, related to our LX2020, LX2021 and LX2022 product candidates for the treatment of cardiomyopathy. Our license agreements impose diligence and milestone and royalty payment obligations on us, and also contain certain development requirements. If we fail to comply with our obligations, our licensors may have the right to terminate our licenses, in which event we will not be able to develop, manufacture or market any product using the intellectual property under any such terminated agreement and may face other penalties. Such an occurrence would materially adversely affect our business prospects.</w:t>
      </w:r>
    </w:p>
    <w:p>
      <w:pPr>
        <w:spacing w:after="0" w:line="9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 candidates in the future. In addition, the intellectual property rights licensed to us by our licensors, including certain intellectual property licensed by Cornell University, The Regents of the University of California, San Diego, and Adverum, at least in some respects, may be used by such licensors or licensed to third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parties, and such third parties may have certain enforcement rights with respect to such intellectual property.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9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In such events,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 Even if we are able to obtain such additional licenses, they may be non-exclusive thereby giving our competitors and other third parties access to the same technology licensed to us.</w:t>
      </w:r>
    </w:p>
    <w:p>
      <w:pPr>
        <w:spacing w:after="0" w:line="9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If we or our licensors fail to adequately protect our licensed intellectual property, our ability to commercialize our product candidates and technology could suffer. Although we have oversight rights, Cornell University and The Regents of the University of California, San Diego, generally control the prosecution, maintenance and enforcement of our in-licensed patents and patent applications. Therefore, we cannot be certain that the prosecution, maintenance and enforcement of these patent rights will be in a manner consistent with the best interests of our business,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we or our licensors fail to maintain such patents or patent applications,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w:t>
      </w:r>
    </w:p>
    <w:p>
      <w:pPr>
        <w:spacing w:after="0" w:line="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Further, if we fail to comply with our development obligations under our license agreements, we may lose our patent rights with respect to such agreement on a territory-by-territory basis, which would affect our patent rights worldwide.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 Disputes may also arise between us and our licensors regarding intellectual property subject to a license agreement, including:</w:t>
      </w:r>
    </w:p>
    <w:p>
      <w:pPr>
        <w:spacing w:after="0" w:line="109"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financial and other obligations under the license agreement;</w:t>
      </w:r>
    </w:p>
    <w:p>
      <w:pPr>
        <w:spacing w:after="0" w:line="157" w:lineRule="exact"/>
        <w:rPr>
          <w:rFonts w:ascii="Arial" w:cs="Arial" w:eastAsia="Arial" w:hAnsi="Arial"/>
          <w:sz w:val="18"/>
          <w:szCs w:val="18"/>
          <w:color w:val="auto"/>
        </w:rPr>
      </w:pPr>
    </w:p>
    <w:p>
      <w:pPr>
        <w:ind w:left="340" w:right="400" w:hanging="224"/>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57" w:lineRule="exact"/>
        <w:rPr>
          <w:rFonts w:ascii="Arial" w:cs="Arial" w:eastAsia="Arial" w:hAnsi="Arial"/>
          <w:sz w:val="18"/>
          <w:szCs w:val="18"/>
          <w:color w:val="auto"/>
        </w:rPr>
      </w:pPr>
    </w:p>
    <w:p>
      <w:pPr>
        <w:ind w:left="340" w:right="380" w:hanging="224"/>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technology or product candidates. In addition, if any such disputes result in the termination of our intellectual property licenses, this could result in the loss of our ability to develop and commercialize our lead product candidates, or we could lose other significant rights, experience significant delays in the development and commercialization of our other product candidates,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13"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Some of our future agreements with certain of our third-party research partners may provide that improvements developed in the course of our relationship may be owned solely by either us or our third-party research partner. If we determine that rights to such improvements owned solely by a third-party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11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19"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our product candidates as clinical candidates or subject us to liability for monetary damages, any of which would have an adverse effect on our business, financial condition, results of operations and prospects.</w:t>
      </w:r>
    </w:p>
    <w:p>
      <w:pPr>
        <w:spacing w:after="0" w:line="25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We are generally also subject to all of the same risks with respect to protection of intellectual property that we license as we are for intellectual property that we own, which are described above and below. If we or our licensors fail to adequately protect this intellectual property, our ability to commercialize products could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suffer. We may not be successful in obtaining or maintaining necessary rights to product components and processes for our development pipeline through acquisitions and in-licenses.</w:t>
      </w:r>
    </w:p>
    <w:p>
      <w:pPr>
        <w:spacing w:after="0" w:line="10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Presently, we have obtained rights to certain intellectual property rights through licenses from third parties to develop, manufacture and commercialize our lead product candidates and other potential product candidates in our pipeline. Because the commercialization of our product candidates may require the use of additional intellectual property rights held by third parties, the growth of our business likely will depend, in part, on our ability to acquire or license these intellectual property rights. Our product candidates also require specific formulations and manufacturing processes to work effectively and efficiently, and some of these rights are held by others.</w:t>
      </w:r>
    </w:p>
    <w:p>
      <w:pPr>
        <w:spacing w:after="0" w:line="12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may be unable to acquire or in-license any compositions, methods of use, processes or other third-party intellectual property rights from third parties that we identify as necessary, important or more expedient to further our business operations. In addition, even if we are able to obtain such licenses, we may fail to obtain any of these licenses at a reasonable cost or on reasonable terms, which would harm our business. Were that to happen, we may need to cease use of the product candidates and technologies covered by those third-party intellectual property rights and may need to seek to develop alternative approaches that do not infringe, misappropriate or violate those intellectual property rights, which may entail additional costs and development delays if we are able to develop such alternatives, or which may not be feasible. Even if we are able to obtain a license, it may be non-exclusive, which means that our competitors may also receive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the additional product candidates that we may seek to acquire. We also may be unable to license or acquire third-party intellectual property rights on terms that would allow us to make an appropriate return on our investment.</w:t>
      </w:r>
    </w:p>
    <w:p>
      <w:pPr>
        <w:spacing w:after="0" w:line="90"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If we are unable to successfully obtain rights to required third-party intellectual property or maintain the existing intellectual property rights we have licensed, we may be required to expend significant time and resources to redesign our product candidates, or to develop or license replacement technology, all of which may not be feasible on a technical or commercial basis, and we may have to abandon development of our product candidates, any of which could have a material adverse effect on our business, financial condition, results of operations and prospects.</w:t>
      </w:r>
    </w:p>
    <w:p>
      <w:pPr>
        <w:spacing w:after="0" w:line="25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43"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currently depend, and will continue to depend, on our license agreements, including the license agreements with Cornell University and Adverum related to LX2006, with Cornell University related to our LX1001, LX1020 and LX1021 product candidates for the treatment of Alzheimer’s disease, and with The Regents of the University of California, San Diego, related to LX2020, LX2021 and LX2022 product candidates for the treatment of cardiomyopathy.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any of our licenses or material relationships or any in-licenses upon which our licenses are based are terminated or breached, we may:</w:t>
      </w:r>
    </w:p>
    <w:p>
      <w:pPr>
        <w:spacing w:after="0" w:line="158"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lose our rights to develop and market our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lose patent protection for our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158"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These risks apply to any agreements that we may enter into in the future for our products or for any future product candidates. If we experience any of the foregoing, it could have a material adverse effect on our business, financial condition, results or operations and prospects.</w:t>
      </w:r>
    </w:p>
    <w:p>
      <w:pPr>
        <w:spacing w:after="0" w:line="21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cannot be certain that any of our or licensed pending patent applications or our future owned or licensed patent applications will result in issued patent claims covering such aspects of our product candidates.</w:t>
      </w:r>
    </w:p>
    <w:p>
      <w:pPr>
        <w:spacing w:after="0" w:line="103"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Composition-of-matter patents on the active pharmaceutical ingredient, or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Although we intend to file patent applications in the future that cover these product candidates, we cannot be certain that our future owned or licensed patent applications will cover our current or future product candidates.</w:t>
      </w:r>
    </w:p>
    <w:p>
      <w:pPr>
        <w:spacing w:after="0" w:line="9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Method-of-use patents protect the use of a product for the specified method and formulation patents cover formulations of the API. These types of patents do not prevent a competitor or other third 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 In addition, there are numerous publications and other prior art that may be relevant to our owned or in-licensed method-of-use patents and patent applications and may be used to challenge the validity of these owned or in-licensed patents and patent applications in litigation or other intellectual property-related proceedings. If these types of challenges are successful, our owned or in-licensed patents and patent applications may be narrowed or found to be invalid, and we may lose valuable intellectual property rights. Any of the foregoing could have a material adverse effect on our business, financial conditions, prospects and results of operations.</w:t>
      </w:r>
    </w:p>
    <w:p>
      <w:pPr>
        <w:spacing w:after="0" w:line="114"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countries. Even if patents do successfully issue, the issuance of a patent is not conclusive as to its inventorship, scope, validity or enforceability and third parties may challenge the validity, enforceability or scope of our owned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licensed patents in courts or patent offices in the United States and abroad, which may result in those patents being narrowed, invalidated or held unenforceable. Furthermore, even if they are unchallenged, 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 candidates is not sufficient to impede such competition or is otherwise threatened, it could dissuade companies from collaborating with us to develop, and threaten our ability to commercialize, our product candidates. Any of the foregoing could have a material adverse effect on our business, financial condition, results of operations and prospects.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time-consuming and unsuccessful.</w:t>
      </w:r>
    </w:p>
    <w:p>
      <w:pPr>
        <w:spacing w:after="0" w:line="14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1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1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damages. A reasonable royalty or other monetary damages may or may not be an adequate remedy. Loss of exclusivity and/or competition from a related product would have a material adverse impact on our business.</w:t>
      </w:r>
    </w:p>
    <w:p>
      <w:pPr>
        <w:spacing w:after="0" w:line="103"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For certain of our in-licensed patent rights, such as patent rights in-licensed from Cornell University and Adverum,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0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 addition, we or our licensors, as the case may be, may not be able to detect infringement against our owned or in-licensed patents,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our owned or in-licensed patents, as the case may be, against that third party.</w:t>
      </w:r>
    </w:p>
    <w:p>
      <w:pPr>
        <w:spacing w:after="0" w:line="97"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6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w:t>
      </w:r>
    </w:p>
    <w:p>
      <w:pPr>
        <w:spacing w:after="0" w:line="8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or oppositions and other proceedings in foreign jurisdictions. We may be exposed to, or threatened with, future litigation by third parties having patent or other intellectual property rights alleging that our product candidates, manufacturing methods, formulations, administration methods and/or proprietary technologies infringe, misappropriate or otherwise violate their intellectual property rights.</w:t>
      </w:r>
    </w:p>
    <w:p>
      <w:pPr>
        <w:spacing w:after="0" w:line="9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Numerous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the claim scope that may issue from pending patent applications owned by third parties or which patents cover various types of drugs, products or their methods of use or manufacture. Thus, because of the large number of patents issued and patent applications filed in our fields, there may be a risk that third parties, including our competitors, may allege they have patent rights encompassing our product candidates, technologies or methods and that we are employing their proprietary technology without authorization.</w:t>
      </w:r>
    </w:p>
    <w:p>
      <w:pPr>
        <w:spacing w:after="0" w:line="11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we were sued for patent infringement, we would need to demonstrate that the relevant product or methods of using the product either do not infringe the patent claims of the relevant patent or that the patent claims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invalid or unenforceable, and we may not be able to do this.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18"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If any third-party patents are held by a court of competent jurisdiction to be valid and enforceable and to cover any of our technology or product candidates, including the manufacturing process of our product candidates, constructs or molecules used in or formed during the manufacturing process, or any final product itself,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We cannot, however, assure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3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are currently, and may in the future be, subject to claims that we and our employees, consultants, or independent contractors have wrongfully used or disclosed confidential information or trade secrets of third parties.</w:t>
      </w:r>
    </w:p>
    <w:p>
      <w:pPr>
        <w:spacing w:after="0" w:line="8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can have an adverse impact on us due to defense and settlement costs, diversion of management resources, harm to our reputation and other factors. For example, on October 12, 2023, Rocket Pharmaceuticals, Inc., or Rocket, filed a lawsuit against us and two individuals claiming, among other things, misappropriation of confidential information and trade secrets. The individual defendants are a current employee and a former employee of our analytical development team, both of whom were employed at Rocket before joining us in 2021. The complaint alleges the individual defendants downloaded confidential Rocket company documents and other proprietary materials prior to leaving Rocket in 2021 and that we used this information to advance our programs. The complaint seeks unspecified damages and asks the court to enjoin us from competing and working in the market for gene therapy treatments targeting cardiac diseases. We retained legal counsel to assist with our ongoing review of the allegations in Rocket’s complaint and are confident in our defenses to the allegations. We intend to defend this litigation vigorously.</w:t>
      </w:r>
    </w:p>
    <w:p>
      <w:pPr>
        <w:spacing w:after="0" w:line="10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Uncertainties resulting from the initiation and continuation of intellectual property litigation or other intellectual property related proceedings could adversely affect our ability to compete in the marketplace.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5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and platform discovery. Although it is our policy to require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8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0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03" w:lineRule="exact"/>
        <w:rPr>
          <w:sz w:val="20"/>
          <w:szCs w:val="20"/>
          <w:color w:val="auto"/>
        </w:rPr>
      </w:pPr>
    </w:p>
    <w:p>
      <w:pPr>
        <w:ind w:left="340" w:right="10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or use capsids, nucleic acids and vectors that are similar to the biological compositions of our products that are the same as or similar to our product candidates but that are not covered by the claims of owned or in-licensed patents;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57" w:lineRule="exact"/>
        <w:rPr>
          <w:rFonts w:ascii="Arial" w:cs="Arial" w:eastAsia="Arial" w:hAnsi="Arial"/>
          <w:sz w:val="18"/>
          <w:szCs w:val="18"/>
          <w:color w:val="auto"/>
        </w:rPr>
      </w:pPr>
    </w:p>
    <w:p>
      <w:pPr>
        <w:ind w:left="340" w:right="540" w:hanging="224"/>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p>
      <w:pPr>
        <w:spacing w:after="0" w:line="116" w:lineRule="exact"/>
        <w:rPr>
          <w:rFonts w:ascii="Arial" w:cs="Arial" w:eastAsia="Arial" w:hAnsi="Arial"/>
          <w:sz w:val="18"/>
          <w:szCs w:val="18"/>
          <w:color w:val="auto"/>
        </w:rPr>
      </w:pPr>
    </w:p>
    <w:p>
      <w:pPr>
        <w:ind w:left="340" w:right="440" w:hanging="224"/>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who should be listed as inventor(s) or include individual(s) who should not be listed as inventor(s), which may cause these patents or patents issuing from these patent applications to be held invalid or unenforceable;</w:t>
      </w:r>
    </w:p>
    <w:p>
      <w:pPr>
        <w:spacing w:after="0" w:line="116" w:lineRule="exact"/>
        <w:rPr>
          <w:rFonts w:ascii="Arial" w:cs="Arial" w:eastAsia="Arial" w:hAnsi="Arial"/>
          <w:sz w:val="18"/>
          <w:szCs w:val="18"/>
          <w:color w:val="auto"/>
        </w:rPr>
      </w:pPr>
    </w:p>
    <w:p>
      <w:pPr>
        <w:ind w:left="340" w:right="12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our other collaboration partners might not have been the first to conceive and reduce to practice the inventions covered by the patents or patent applications that we own, license or will own or license;</w:t>
      </w:r>
    </w:p>
    <w:p>
      <w:pPr>
        <w:spacing w:after="0" w:line="102" w:lineRule="exact"/>
        <w:rPr>
          <w:rFonts w:ascii="Arial" w:cs="Arial" w:eastAsia="Arial" w:hAnsi="Arial"/>
          <w:sz w:val="18"/>
          <w:szCs w:val="18"/>
          <w:color w:val="auto"/>
        </w:rPr>
      </w:pPr>
    </w:p>
    <w:p>
      <w:pPr>
        <w:ind w:left="34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our other collaboration partners might not have been the first to file patent applications covering certain of the patents or patent applications that we or they own or have obtained a license, or will own or will have obtained a license;</w:t>
      </w:r>
    </w:p>
    <w:p>
      <w:pPr>
        <w:spacing w:after="0" w:line="102" w:lineRule="exact"/>
        <w:rPr>
          <w:rFonts w:ascii="Arial" w:cs="Arial" w:eastAsia="Arial" w:hAnsi="Arial"/>
          <w:sz w:val="18"/>
          <w:szCs w:val="18"/>
          <w:color w:val="auto"/>
        </w:rPr>
      </w:pPr>
    </w:p>
    <w:p>
      <w:pPr>
        <w:ind w:left="340" w:right="28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may fail to meet obligations to the U.S. government with respect to in-licensed patents and patent applications funded by U.S. government grants, leading to the loss of patent rights;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57" w:lineRule="exact"/>
        <w:rPr>
          <w:rFonts w:ascii="Arial" w:cs="Arial" w:eastAsia="Arial" w:hAnsi="Arial"/>
          <w:sz w:val="18"/>
          <w:szCs w:val="18"/>
          <w:color w:val="auto"/>
        </w:rPr>
      </w:pPr>
    </w:p>
    <w:p>
      <w:pPr>
        <w:ind w:left="340" w:right="2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generate sufficient data to support full patent applications that protect the entire breadth of developments in one or more of our programs;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patent protection may be available with regard to formulation or method of use;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w:t>
      </w:r>
    </w:p>
    <w:p>
      <w:pPr>
        <w:spacing w:after="0" w:line="157" w:lineRule="exact"/>
        <w:rPr>
          <w:rFonts w:ascii="Arial" w:cs="Arial" w:eastAsia="Arial" w:hAnsi="Arial"/>
          <w:sz w:val="18"/>
          <w:szCs w:val="18"/>
          <w:color w:val="auto"/>
        </w:rPr>
      </w:pPr>
    </w:p>
    <w:p>
      <w:pPr>
        <w:ind w:left="340" w:right="56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02" w:lineRule="exact"/>
        <w:rPr>
          <w:rFonts w:ascii="Arial" w:cs="Arial" w:eastAsia="Arial" w:hAnsi="Arial"/>
          <w:sz w:val="18"/>
          <w:szCs w:val="18"/>
          <w:color w:val="auto"/>
        </w:rPr>
      </w:pPr>
    </w:p>
    <w:p>
      <w:pPr>
        <w:ind w:left="340" w:right="140" w:hanging="224"/>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exclusively license may not provide us with any competitive advantage, or may be held invalid or unenforceable, as a result of legal challenges by our competitors;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exclusively license our patents and, therefore, may not have a competitive advantage if such patents are licensed to others;</w:t>
      </w:r>
    </w:p>
    <w:p>
      <w:pPr>
        <w:spacing w:after="0" w:line="169" w:lineRule="exact"/>
        <w:rPr>
          <w:rFonts w:ascii="Arial" w:cs="Arial" w:eastAsia="Arial" w:hAnsi="Arial"/>
          <w:sz w:val="17"/>
          <w:szCs w:val="17"/>
          <w:color w:val="auto"/>
        </w:rPr>
      </w:pPr>
    </w:p>
    <w:p>
      <w:pPr>
        <w:ind w:left="340" w:right="220" w:hanging="224"/>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00" w:hanging="224"/>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other countries may not protect our or our licensors’, as the case may be, proprietary rights to the same extent as the laws of the United States;</w:t>
      </w:r>
    </w:p>
    <w:p>
      <w:pPr>
        <w:spacing w:after="0" w:line="102" w:lineRule="exact"/>
        <w:rPr>
          <w:rFonts w:ascii="Arial" w:cs="Arial" w:eastAsia="Arial" w:hAnsi="Arial"/>
          <w:sz w:val="18"/>
          <w:szCs w:val="18"/>
          <w:color w:val="auto"/>
        </w:rPr>
      </w:pPr>
    </w:p>
    <w:p>
      <w:pPr>
        <w:ind w:left="340" w:right="220" w:hanging="224"/>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56" w:lineRule="exact"/>
        <w:rPr>
          <w:rFonts w:ascii="Arial" w:cs="Arial" w:eastAsia="Arial" w:hAnsi="Arial"/>
          <w:sz w:val="16"/>
          <w:szCs w:val="16"/>
          <w:color w:val="auto"/>
        </w:rPr>
      </w:pPr>
    </w:p>
    <w:p>
      <w:pPr>
        <w:ind w:left="340" w:right="40" w:hanging="224"/>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countries other than the United States may, under certain circumstances, force us or our licensors to grant a license under our patents to a competitor, thus allowing the competitor to compete with us in that jurisdiction or forcing us to lower the price of our drug in that jurisdiction;</w:t>
      </w:r>
    </w:p>
    <w:p>
      <w:pPr>
        <w:spacing w:after="0" w:line="78" w:lineRule="exact"/>
        <w:rPr>
          <w:rFonts w:ascii="Arial" w:cs="Arial" w:eastAsia="Arial" w:hAnsi="Arial"/>
          <w:sz w:val="17"/>
          <w:szCs w:val="17"/>
          <w:color w:val="auto"/>
        </w:rPr>
      </w:pPr>
    </w:p>
    <w:p>
      <w:pPr>
        <w:ind w:left="340" w:right="560" w:hanging="224"/>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successfully commercialize the product candidates, if approved, before our relevant patents expire;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product candidates or technologies we develop may be covered by third parties’ patents or other exclusive rights;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ownership, validity or enforceability of our or our licensors’ patents or patent applications may be challenged by third parties;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third parties or pending or future applications of third parties, if issued, may have an adverse effect on our business.</w:t>
      </w:r>
    </w:p>
    <w:p>
      <w:pPr>
        <w:spacing w:after="0" w:line="30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8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2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0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1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54"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1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5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0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and genetic medicine industries involve both technological and legal complexity. Therefore, obtaining and enforcing biotechnology and genetic medicine patents is costly, time-consuming and inherently uncertain. In addition, the Leahy-Smith America Invents Act (AIA), which was passed in September 2011, resulted in significant changes to the U.S. patent system.</w:t>
      </w:r>
    </w:p>
    <w:p>
      <w:pPr>
        <w:spacing w:after="0" w:line="104"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party. This will require us to be cognizant going forward of the time from invention to filing of a patent application and be diligent in filing patent applications, but circumstances could prevent us from promptly filing patent applications on our inventions.</w:t>
      </w:r>
    </w:p>
    <w:p>
      <w:pPr>
        <w:spacing w:after="0" w:line="10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0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may become involved in opposition, interference, derivation, inter partes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10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allows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Some of our licensed patents are subject to the provisions of the Bayh-Dole Act. If our licensors fail to comply with the regulations of the Bayh-Dole Act, they could lose title to any patents subject to such regulations, which could affect our license rights under the patents and our ability to stop others from using or commercializing similar or identical technology and products, or limit patent protection for our technology and products.</w:t>
      </w:r>
    </w:p>
    <w:p>
      <w:pPr>
        <w:spacing w:after="0" w:line="11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3"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0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legal and regulatory compliance matters</w:t>
      </w:r>
    </w:p>
    <w:p>
      <w:pPr>
        <w:spacing w:after="0" w:line="152"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healthcare providers, including physicians, and third-party payors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6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 xml:space="preserve">We are currently or will in the future be subject to healthcare regulation and enforcement by the U.S. federal government and the states in which we will conduct our business once our product candidates are approved by the FDA and commercialized in the United States. In addition to the FDA’s restrictions on marketing of pharmaceutical products, the U.S. healthcare laws and regulations that may affect our ability to operate include: the federal fraud and abuse laws, including the federal anti-kickback and false claims laws; federal data privacy and security laws; and federal transparency laws related to payments and/or other transfers of value made to physicians and other healthcare professionals and teaching hospitals. For more information, see the section titled </w:t>
      </w:r>
      <w:r>
        <w:rPr>
          <w:rFonts w:ascii="Arial" w:cs="Arial" w:eastAsia="Arial" w:hAnsi="Arial"/>
          <w:sz w:val="16"/>
          <w:szCs w:val="16"/>
          <w:i w:val="1"/>
          <w:iCs w:val="1"/>
          <w:color w:val="auto"/>
        </w:rPr>
        <w:t>“Business – Government Regulation – Other Healthcare Laws and Compliance Requirements.”</w:t>
      </w:r>
      <w:r>
        <w:rPr>
          <w:rFonts w:ascii="Arial" w:cs="Arial" w:eastAsia="Arial" w:hAnsi="Arial"/>
          <w:sz w:val="16"/>
          <w:szCs w:val="16"/>
          <w:color w:val="auto"/>
        </w:rPr>
        <w:t xml:space="preserve"> Many states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have similar laws and regulations that may differ from each other and federal law in significant ways, thus complicating compliance efforts. For example, states have anti-kickback and false claims laws that may be broader in scope than analogous federal laws and may apply regardless of payor. In addition, state data privacy laws that protect the security of health information may differ from each other and may not be preempted by federal law. Moreover, several states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These laws may adversely affect our sales, marketing and other activities with respect to any product candidate for which we receive approval to market in the United States by imposing administrative and compliance burdens on us. It is possible that governmental authorities will conclude that our current or future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1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risk of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32"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Even if we obtain FDA or EMA approval for any of our product candidates in the United States or European Union, we may never obtain approval for or commercialize any of them in any other jurisdiction, which would limit our ability to realize their full market potential.</w:t>
      </w:r>
    </w:p>
    <w:p>
      <w:pPr>
        <w:spacing w:after="0" w:line="5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0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06"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1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Any product candidate for which we obtain marketing approval will be subject to ongoing regulatory requirements for, among other things, manufacturing processes, submission of post-approval clinical data and safety information, labeling, packaging, distribution, adverse event reporting, storage, recordkeeping, export, import, advertising, promotional activities and product tracking and tracing. These requirements include submissions of safety and other post-marketing information and reports, establishment registration and drug listing requirements, applicable tracking and tracing requirements, continued compliance with cGMP requirements relating to manufacturing, quality control, quality assurance and corresponding maintenance of records and documents, requirements regarding the distribution of samples to physicians and recordkeeping and cGCP requirements for any clinical trials that we conduct post-approval.</w:t>
      </w:r>
    </w:p>
    <w:p>
      <w:pPr>
        <w:spacing w:after="0" w:line="12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regulatory approvals that we receive for our product candidates or any future product candidates may also be subject to a REMS, limitations on the approved indicated uses for which the product may be marketed or to the conditions of approval, or requirements that we conduct potentially costly post-marketing testing, including Phase 4 trials and surveillance to monitor the quality, safety and efficacy of the product.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1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FDA and EMA closely regulate the post-approval marketing and promotion of genetic therapy medicines to ensure they are marketed only for the approved indications and in accordance with the provisions of the approved labeling. However, companies may share truthful and not misleading information that is otherwise consistent with a product’s FDA approved labeling. The FDA imposes stringent restrictions on manufacturers’ communications regarding off-label use and if we market our products for uses beyond their approved diseases, we may be subject to enforcement action for off-label marketing. Violations of the FDCA, relating to the promotion of prescription drugs for unapproved uses may lead to enforcement actions and investigations alleging violations of federal and state health care fraud and abuse laws, as well as state consumer protection laws.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1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including adverse events of unanticipated severity or frequency, or with our third-party manufacturers or manufacturing processes, or failure to comply with regulatory requirements, may yield various results, including:</w:t>
      </w:r>
    </w:p>
    <w:p>
      <w:pPr>
        <w:spacing w:after="0" w:line="116"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allow entry into supply contracts, including government contracts;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or untitled letters, or holds on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injunctions or the imposition of administrative, civil or criminal penalties or monetary fines.</w:t>
      </w:r>
    </w:p>
    <w:p>
      <w:pPr>
        <w:spacing w:after="0" w:line="15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FDA’s policies, and the policies of foreign regulatory agencies, may change and additional government regulations may be enacted that could prevent, limit or delay regulatory approval of our product candidates.</w:t>
      </w:r>
    </w:p>
    <w:p>
      <w:pPr>
        <w:spacing w:after="0" w:line="103"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executive orders or other actions could impose significant burdens on, or otherwise materially delay, FDA’s ability to engage in routine oversight activities such as implementing statutes through rulemaking, issuance of guidance, and review and approval of marketing applications. If such executive actions were to impose restrictions on FDA’s ability to engage in oversight and implementation activities in the normal course, our business could be negatively impacted.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8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current product candidates or any future product candidates and harm our business, financial condition, results of operations and prospects.</w:t>
      </w:r>
    </w:p>
    <w:p>
      <w:pPr>
        <w:spacing w:after="0" w:line="246" w:lineRule="exact"/>
        <w:rPr>
          <w:sz w:val="20"/>
          <w:szCs w:val="20"/>
          <w:color w:val="auto"/>
        </w:rPr>
      </w:pPr>
    </w:p>
    <w:p>
      <w:pPr>
        <w:ind w:left="120" w:right="600"/>
        <w:spacing w:after="0" w:line="258"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1" w:lineRule="exact"/>
        <w:rPr>
          <w:sz w:val="20"/>
          <w:szCs w:val="20"/>
          <w:color w:val="auto"/>
        </w:rPr>
      </w:pPr>
    </w:p>
    <w:p>
      <w:pPr>
        <w:ind w:left="120" w:right="140"/>
        <w:spacing w:after="0" w:line="295" w:lineRule="auto"/>
        <w:rPr>
          <w:sz w:val="20"/>
          <w:szCs w:val="20"/>
          <w:color w:val="auto"/>
        </w:rPr>
      </w:pPr>
      <w:r>
        <w:rPr>
          <w:rFonts w:ascii="Arial" w:cs="Arial" w:eastAsia="Arial" w:hAnsi="Arial"/>
          <w:sz w:val="16"/>
          <w:szCs w:val="16"/>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more information, see the below section titled “</w:t>
      </w:r>
      <w:r>
        <w:rPr>
          <w:rFonts w:ascii="Arial" w:cs="Arial" w:eastAsia="Arial" w:hAnsi="Arial"/>
          <w:sz w:val="16"/>
          <w:szCs w:val="16"/>
          <w:i w:val="1"/>
          <w:iCs w:val="1"/>
          <w:color w:val="auto"/>
        </w:rPr>
        <w:t>Business—Government Regulation—Healthcare Reform</w:t>
      </w:r>
      <w:r>
        <w:rPr>
          <w:rFonts w:ascii="Arial" w:cs="Arial" w:eastAsia="Arial" w:hAnsi="Arial"/>
          <w:sz w:val="16"/>
          <w:szCs w:val="16"/>
          <w:color w:val="auto"/>
        </w:rPr>
        <w:t>.”</w:t>
      </w:r>
    </w:p>
    <w:p>
      <w:pPr>
        <w:spacing w:after="0" w:line="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103"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5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2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presidential executive orders,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negatively affect our customers and accordingly, our financial operations.</w:t>
      </w:r>
    </w:p>
    <w:p>
      <w:pPr>
        <w:spacing w:after="0" w:line="9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1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markets outside of the United States and the European Union, reimbursement and healthcare payment systems vary significantly by country, and many countries have instituted price ceilings on specific products and therapies.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3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3"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1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Our business depends upon the ability of the FDA to accept and review our potential regulatory filings. If a prolonged government shutdown occurs, it could significantly impact the ability of the FDA to timely review and process our regulatory submissions, which could have a material adverse effect on our ability to advance clinical development of our product candidates.</w:t>
      </w:r>
    </w:p>
    <w:p>
      <w:pPr>
        <w:spacing w:after="0" w:line="245" w:lineRule="exact"/>
        <w:rPr>
          <w:sz w:val="20"/>
          <w:szCs w:val="20"/>
          <w:color w:val="auto"/>
        </w:rPr>
      </w:pPr>
    </w:p>
    <w:p>
      <w:pPr>
        <w:jc w:val="both"/>
        <w:ind w:left="120" w:right="28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either on our own or in collaboration with third parties, we may not be successful in commercializing our product candidates or realizing the synergies in the target diseases of our programs, even if they are approved.</w:t>
      </w:r>
    </w:p>
    <w:p>
      <w:pPr>
        <w:spacing w:after="0" w:line="3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do not have any infrastructure for the sales, marketing or distribution of our products, and the cost of establishing and maintaining such an organization may exceed the cost-effectiveness of doing so. We expect to build a focused sales, distribution and marketing infrastructure to market our product candidates in the United States and European Union,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candidates. Additionally, if the commercial launch of our product candidates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may not have the resources in the foreseeable future to allocate to the sales and marketing of our product candidates in certain international markets.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We may pursue collaborative arrangements regarding the sale and marketing of LX2006, LX1001 or LX2020, if approved,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certain markets overseas; however, we cannot assure that we will be able to establish or maintain such collaborative arrangements, or if able to do so, that they will have effective sales forces.</w:t>
      </w:r>
    </w:p>
    <w:p>
      <w:pPr>
        <w:spacing w:after="0" w:line="10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are unable to build our own sales force or negotiate a collaborative relationship for the commercialization of LX2006, LX1001 or LX2020, or any of our other product candidates, if approved, we may be forced to delay the potential commercialization of LX2006, LX1001 or LX2020 or any of our other product candidates or reduce the scope of our sales or marketing activities for LX2006, LX1001 or LX2020 or any of our other product candidates. If we elect to increase our expenditures to fund commercialization activities internationally, we will need to obtain additional capital, which may not be available to us on acceptable terms, or at all. We could enter into arrangements with collaborative partners at an earlier stage than otherwise would be ideal and we may be required to relinquish rights to LX2006, LX1001 or LX2020 or any of our other product candidates or otherwise agree to terms unfavorable to us, any of which may have an adverse effect on our business, operating results and prospects.</w:t>
      </w:r>
    </w:p>
    <w:p>
      <w:pPr>
        <w:spacing w:after="0" w:line="110"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LX2006, LX1001 or LX2020 or any of our other product candidates, if approved,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55"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or the European Union, a variety of risks associated with international operations could adversely affect our business.</w:t>
      </w:r>
    </w:p>
    <w:p>
      <w:pPr>
        <w:spacing w:after="0" w:line="10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LX2006, LX1001, LX2020 or any of our other product candidates are approved for commercialization, we may seek to enter into agreements with third parties to market them in certain jurisdictions outside the United States and the European Union. We expect that we would be subject to additional risks related to international pharmaceutical operations, including:</w:t>
      </w:r>
    </w:p>
    <w:p>
      <w:pPr>
        <w:spacing w:after="0" w:line="116" w:lineRule="exact"/>
        <w:rPr>
          <w:sz w:val="20"/>
          <w:szCs w:val="20"/>
          <w:color w:val="auto"/>
        </w:rPr>
      </w:pPr>
    </w:p>
    <w:p>
      <w:pPr>
        <w:ind w:left="340" w:hanging="224"/>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different regulatory requirements for drug and biologic approvals and rules governing drug and biologic commercialization in foreign countries;</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7" w:lineRule="exact"/>
        <w:rPr>
          <w:rFonts w:ascii="Arial" w:cs="Arial" w:eastAsia="Arial" w:hAnsi="Arial"/>
          <w:sz w:val="18"/>
          <w:szCs w:val="18"/>
          <w:color w:val="auto"/>
        </w:rPr>
      </w:pPr>
    </w:p>
    <w:p>
      <w:pPr>
        <w:ind w:left="340" w:right="480" w:hanging="224"/>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02" w:lineRule="exact"/>
        <w:rPr>
          <w:rFonts w:ascii="Arial" w:cs="Arial" w:eastAsia="Arial" w:hAnsi="Arial"/>
          <w:sz w:val="18"/>
          <w:szCs w:val="18"/>
          <w:color w:val="auto"/>
        </w:rPr>
      </w:pPr>
    </w:p>
    <w:p>
      <w:pPr>
        <w:ind w:left="340" w:right="280" w:hanging="224"/>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or from economic or political instability;</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7" w:lineRule="exact"/>
        <w:rPr>
          <w:rFonts w:ascii="Arial" w:cs="Arial" w:eastAsia="Arial" w:hAnsi="Arial"/>
          <w:sz w:val="18"/>
          <w:szCs w:val="18"/>
          <w:color w:val="auto"/>
        </w:rPr>
      </w:pPr>
    </w:p>
    <w:p>
      <w:pPr>
        <w:ind w:left="340" w:right="120" w:hanging="224"/>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there are complex regulatory, tax, labor and other legal requirements imposed by individual countries in Europe with which we will need to comply. If we are unable to successfully manage the challenges of international expansion and operations, our business and operating results could be harmed.</w:t>
      </w:r>
    </w:p>
    <w:p>
      <w:pPr>
        <w:spacing w:after="0" w:line="2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8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1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16"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25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103"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and federal data breach notification laws, state health information privacy laws and federal and state consumer protection laws and regulations that govern the collection, use, disclosure and protection of health-related and other personal information. Among these regulations are: Section 5 of the Federal Trade Commission Act, which prohibits unfair or deceptive commercial practices; new rules adopted by the SEC in July 2023, which require public companies to disclose material cybersecurity incidents they experience and to disclose on an annual basis material information regarding their cybersecurity risk management, strategy, and governance; and HIPAA, as amended by the Health Information Technology for Economic and Clinical Health Act, and the regulations promulgated thereunder. We may obtain health information from third parties, including research institutions from which we obtain clinical trial data, that are subject to privacy and security requirements under HIPPA, and depending on the facts and circumstances, we could be subject to significant penalties if we obtain, use or disclose individually identifiable health information in a manner that is not authorized or permitted by HIPAA.</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European Economic Area, or EEA, and the UK, the collection, use, disclosure, transfer or other processing of personal data, including clinical trial data, of individuals is governed by the General Data Protection Regulation, or EU GDPR (with regards to the EEA) and UK GDPR (with regards to the UK), as well as applicable national data protection legislation and requirements. In this document, “GDPR” refers to both the EU GDPR and the UK GDPR, unless specified otherwise. The GDPR is wide ranging in scope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imposes substantial fines for breaches and violations (up to the greater of €20 million (£17.5 million for the UK)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1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GDPR also includes restrictions on cross-border data transfers of personal data to countries outside the EEA and the UK that are not considered by the European Commission and UK government as providing “adequate” protection to personal data, or third countries, including the United States,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EEA and UK data protection regimes will require significant effort and cost, and may result in us needing to make strategic considerations around where EEA and UK personal data is transferred and which service providers we can utilize for the processing of EEA and UK personal data. Although the UK is regarded as a third country under the EU GDPR, the European Commission has issued a decision recognizing the UK as providing adequate protection under the EU GDPR, or Adequacy Decision, and, therefore, transfers of personal data originating in the EEA to the UK remain unrestricted.</w:t>
      </w:r>
    </w:p>
    <w:p>
      <w:pPr>
        <w:spacing w:after="0" w:line="11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UK government has confirmed that personal data transfers from the UK to the EEA remain free flowing. The UK Government has also now introduced a Data Protection and Digital Information Bill, or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1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new ways to opt out of certain sales of personal information. The CCPA provides for civil penalties for violations, as well as a private right of action for data breaches that is expected to increase data breach litigation. Further, the California Privacy Rights Act, or CPRA, which became effective as of January 1, 2023, amended the CCPA and imposes additional data protection obligations on companies doing business in California, including additional consumer rights processes, limitations on data uses, new audit requirements for higher risk data and opt outs for certain uses of sensitive data. The amendments introduced by the CPRA also created a new California data protection agency authorized to issue substantive regulations, and it is anticipated that this development could result in increased privacy and information security enforcement. Although the CCPA, as amended by the CPRA, currently exempts certain health-related information, including clinical trial data, the CCPA may increase our compliance costs and potential liability if we expand our operations into California. Similar broad consumer privacy laws have been enacted in Colorado, Connecticut, Virginia, Utah, Iowa and Indiana and have been proposed in numerous other states and at the federal level. If passed, these bills may have potentially conflicting requirements that would make compliance challenging.</w:t>
      </w:r>
    </w:p>
    <w:p>
      <w:pPr>
        <w:spacing w:after="0" w:line="11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to these consumer privacy laws, the state of Washington recently a comprehensive privacy bill, called the My Health My Data Act. Effective March 2024, this new law will impose strict requirements on the collection, use and processing of health related information that is not subject to HIPAA. Other states are considering bills with similar requirements. The Washington law and, if passed, the other state bills, will add additional complexity to our existing compliance obligations.</w:t>
      </w:r>
    </w:p>
    <w:p>
      <w:pPr>
        <w:spacing w:after="0" w:line="11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With the GDPR, CCPA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3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are subject to U.S. and certain foreign anti-corruption laws and regulations, export and import controls, sanctions and embargoes. We could face liability and other serious consequences for violations.</w:t>
      </w:r>
    </w:p>
    <w:p>
      <w:pPr>
        <w:spacing w:after="0" w:line="10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are subject to anti-corruption laws and regulations, including the U.S. Foreign Corrupt Practices Act, or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 party collaborators from offering, promising, giving, or authorizing others to give anything of value, either directly or indirectly through third parties, to any person in the public or private sector to obtain or retain</w:t>
      </w:r>
    </w:p>
    <w:p>
      <w:pPr>
        <w:spacing w:after="0" w:line="3"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business. The FCPA also requires public companies to make and keep books and records that accurately and fairly reflect the transactions of the corporation and to devise and maintain an adequate system of internal accounting controls.</w:t>
      </w:r>
    </w:p>
    <w:p>
      <w:pPr>
        <w:spacing w:after="0" w:line="10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therefore will be considered foreign officials for purposes of the FCPA. We also expect to rely on third parties for research, preclinical studies and clinical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trials and/or to obtain necessary permits, licenses, patent registrations and other marketing approvals. We can be held liable for the corrupt or other illegal activities of our employees, agents, CROs, contractors and other collaborators and partners, even if we do not explicitly authorize or have actual knowledge of such activities.</w:t>
      </w:r>
    </w:p>
    <w:p>
      <w:pPr>
        <w:spacing w:after="0" w:line="116"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9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There is no certainty that all of our employees, agents, suppliers, manufacturers, contractors or collaborators, or those of our affiliates, will comply with all applicable anti-corruption, export and import control, and sanctions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employee matters and managing our growth</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depends on our ability to attract and retain key executives and advisors and to attract, retain and motivate qualified personnel.</w:t>
      </w:r>
    </w:p>
    <w:p>
      <w:pPr>
        <w:spacing w:after="0" w:line="17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are highly dependent on the management, development, clinical, financial and business development expertise of our executive officers, particularly R. Nolan Townsend, our Chief Executive Officer and a member of our board of directors, Paul McCormac, Ph.D., our Chief Technical Officer, and Eric Adler, M.D., our Chief Scientific Officer, as well as on the scientific expertise of our founder, Ronald G. Crystal, M.D., Professor and Chairman of Weill Cornell Medicine’s Department of Genetic Medicine. Each of our executive officers may currently terminate their employment with us at any time and we do not have an employment contract with Dr. Crystal. We do not maintain “key person” insurance for any of our executives or employees.</w:t>
      </w:r>
    </w:p>
    <w:p>
      <w:pPr>
        <w:spacing w:after="0" w:line="9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Recruiting and retaining qualified executives, scientists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or our inability to recruit certain executives, could impede the achievement of our development and commercialization objectives and seriously harm our ability to successfully implement our business strategy. Furthermore, recruiting executive officers, or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gene therapy products. Competition to hire from this limited pool is intense, and we have experienced and may continue to experience challenges filling certain executive roles. We may be unable to hire, train, retain or motivate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5" w:lineRule="exact"/>
        <w:rPr>
          <w:sz w:val="20"/>
          <w:szCs w:val="20"/>
          <w:color w:val="auto"/>
        </w:rPr>
      </w:pPr>
    </w:p>
    <w:p>
      <w:pPr>
        <w:ind w:left="120" w:right="820"/>
        <w:spacing w:after="0" w:line="381" w:lineRule="auto"/>
        <w:rPr>
          <w:sz w:val="20"/>
          <w:szCs w:val="20"/>
          <w:color w:val="auto"/>
        </w:rPr>
      </w:pPr>
      <w:r>
        <w:rPr>
          <w:rFonts w:ascii="Arial" w:cs="Arial" w:eastAsia="Arial" w:hAnsi="Arial"/>
          <w:sz w:val="15"/>
          <w:szCs w:val="15"/>
          <w:b w:val="1"/>
          <w:bCs w:val="1"/>
          <w:i w:val="1"/>
          <w:iCs w:val="1"/>
          <w:color w:val="auto"/>
        </w:rPr>
        <w:t>We expect to expand our clinical development, manufacturing and regulatory capabilities and potentially implement sales, marketing and distribution capabilities, and as a result, we may encounter difficulties in managing our growth, which could disrupt our operations.</w:t>
      </w:r>
    </w:p>
    <w:p>
      <w:pPr>
        <w:spacing w:after="0" w:line="1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 of September 19, 2023, we had 53 full-time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Our choice to focus on multiple therapeutic areas may negatively affect our ability to develop adequately the specialized capability and expertise necessary for operations. The expansion of our operations may lead to significant costs and may divert our management and business development resources. Any inability to manage growth could delay the execution of our business plans or disrupt our operations.</w:t>
      </w:r>
    </w:p>
    <w:p>
      <w:pPr>
        <w:spacing w:after="0" w:line="262" w:lineRule="exact"/>
        <w:rPr>
          <w:sz w:val="20"/>
          <w:szCs w:val="20"/>
          <w:color w:val="auto"/>
        </w:rPr>
      </w:pPr>
    </w:p>
    <w:p>
      <w:pPr>
        <w:ind w:left="120" w:right="50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principal investigators, CROs, suppliers and vendors may be improperly classified and may engage in misconduct or other improper activities, including non-compliance with regulatory standards and requirements.</w:t>
      </w:r>
    </w:p>
    <w:p>
      <w:pPr>
        <w:spacing w:after="0" w:line="1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endeavor to properly classify our employees as exempt or non-exempt with respect to wage and hour laws (including, but not limited to, for purposes of minimum wage, overtime and applicable meal and rest periods), and we monitor and evaluate such classifications. Although there are no current, pending, or threatened claims or investigations against us asserting that any employees have been incorrectly classified as exempt, the possibility nevertheless exists that certain job roles could be deemed to have been incorrectly classified as exempt. In addition, we endeavor to classify our workforce properly, and we monitor and evaluate such classifications. Although there are no current, pending, or threatened claims or investigations against us asserting that any independent contractors have been incorrectly classified, the possibility nevertheless exists that certain contractors could be deemed to be employees.</w:t>
      </w:r>
    </w:p>
    <w:p>
      <w:pPr>
        <w:spacing w:after="0" w:line="12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In connection with this offering, we intend to adopt a code of business conduct and ethics; however, even with such a code of conduct in place, it is not always possible to identify and deter misconduct, and the precautions we take to detect and prevent this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administrator of the 2023 Plan is authorized to exercise its discretion to reprice stock options and stock appreciation rights, and if a repricing occurs, there may be adverse consequences to our business.</w:t>
      </w:r>
    </w:p>
    <w:p>
      <w:pPr>
        <w:spacing w:after="0" w:line="8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administrator of the 2023 Plan (which we expect to be our compensation committee) is authorized, subject to the consent of any award holder whose award is materially impaired by such action, to reduce the exercise price of a stock option or stock appreciation right; to cancel a stock option or stock appreciation right in exchange for a different award, cash or other consideration; or to take any other action that is treated as a repricing under generally accepted accounting principles (each such action, a “repricing”).</w:t>
      </w:r>
    </w:p>
    <w:p>
      <w:pPr>
        <w:spacing w:after="0" w:line="11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have no current expectation that a repricing will occur. However, if the administrator were to implement a repricing without seeking prior stockholder approval, certain proxy advisory firms and/or institutional investors may express a lack of support for the repricing, and proxy advisory firms may recommend an “against” or “withhold” vote for members of our compensation committee or the board. In addition, if we are required to hold an advisory vote on named executive officer compensation (known as a “say on pay” vote) at the time of, or subsequent to, any such repricing, it is likely, based on their current policies, that proxy advisory firms would issue an “against” recommendation on our say on pay proposal. Defending against negative recommendations with respect to our directors and/or say on pay proposal would require management attention, and could be costly and time-consuming.</w:t>
      </w:r>
    </w:p>
    <w:p>
      <w:pPr>
        <w:spacing w:after="0" w:line="12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If our stockholders agree with proxy advisory firms’ recommendations, we may need to make changes to our compensation and corporate governance practices, and perhaps the composition of our board and its committees, potentially leading to business disruptions and a negative impact on our stock price. Even absent negative reactions from proxy advisory firms and institutional investors, we may be required to recognize a compensation expense and the repricing will require management’s time and attention and the payment of administrative costs and attorney and accounting firm fees. As such, a repricing could cause a negative impact on our stock price, and adverse consequences to our business.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 ownership of our common stock and our status as a public company</w:t>
      </w:r>
    </w:p>
    <w:p>
      <w:pPr>
        <w:spacing w:after="0" w:line="15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8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Nasdaq under the symbol “LXEO”. The closing of this offering is contingent upon such listing. Although we anticipate our common stock being approved for listing on Nasdaq, an active trading market for our common stock may never develop or be sustained following this offering. The initial public offering price for our common stock will be determined through negotiations with the underwriters and may not be indicative of the price at which our common stock will trade after the closing of this offering. If an active market for our common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does not develop or is not sustained, it may be difficult for you to sell shares you purchase in this offering at an attractive price or at all.</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6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81"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reporting of unfavorable preclinical and clinical results;</w:t>
      </w:r>
    </w:p>
    <w:p>
      <w:pPr>
        <w:spacing w:after="0" w:line="157" w:lineRule="exact"/>
        <w:rPr>
          <w:rFonts w:ascii="Arial" w:cs="Arial" w:eastAsia="Arial" w:hAnsi="Arial"/>
          <w:sz w:val="18"/>
          <w:szCs w:val="18"/>
          <w:color w:val="auto"/>
        </w:rPr>
      </w:pPr>
    </w:p>
    <w:p>
      <w:pPr>
        <w:ind w:left="340" w:right="40" w:hanging="224"/>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LX2006, LX1001, LX2020 or any future clinical trials we may conduct, or changes in the development status of our product candidates;</w:t>
      </w:r>
    </w:p>
    <w:p>
      <w:pPr>
        <w:spacing w:after="0" w:line="102" w:lineRule="exact"/>
        <w:rPr>
          <w:rFonts w:ascii="Arial" w:cs="Arial" w:eastAsia="Arial" w:hAnsi="Arial"/>
          <w:sz w:val="18"/>
          <w:szCs w:val="18"/>
          <w:color w:val="auto"/>
        </w:rPr>
      </w:pPr>
    </w:p>
    <w:p>
      <w:pPr>
        <w:ind w:left="340" w:right="140" w:hanging="224"/>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regulatory filings for LX2006, LX1001, LX2020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LX2006, LX1001 or LX2020 or any other product candidate;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169" w:lineRule="exact"/>
        <w:rPr>
          <w:rFonts w:ascii="Arial" w:cs="Arial" w:eastAsia="Arial" w:hAnsi="Arial"/>
          <w:sz w:val="17"/>
          <w:szCs w:val="17"/>
          <w:color w:val="auto"/>
        </w:rPr>
      </w:pPr>
    </w:p>
    <w:p>
      <w:pPr>
        <w:ind w:left="340" w:right="280" w:hanging="224"/>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57" w:lineRule="exact"/>
        <w:rPr>
          <w:rFonts w:ascii="Arial" w:cs="Arial" w:eastAsia="Arial" w:hAnsi="Arial"/>
          <w:sz w:val="18"/>
          <w:szCs w:val="18"/>
          <w:color w:val="auto"/>
        </w:rPr>
      </w:pPr>
    </w:p>
    <w:p>
      <w:pPr>
        <w:ind w:left="340" w:right="220" w:hanging="224"/>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or employee or independent contractor litigation;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5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global economy, including credit and financial markets and the banking sector, has experienced extreme volatility and disruptions, including, among other things, severely diminished liquidity and credit availability, declines in consumer confidence, declines in economic growth, increases in unemployment rates, supply chain shortages, increases in inflation rates, bank failures, higher interest rates and uncertainty about economic stability. For example, the ongoing war between Russia and Ukraine and the recent conflict between Israel and Hamas have each created volatility in the global capital markets and may have further global economic consequences, including disruptions of the global supply chain and energy markets. Any such volatility and disruptions may have adverse consequences on us or the third parties on whom we rely. If the equity and credit markets continue to deteriorate, it may make any necessary debt or equity financings more difficult to obtain in a timely manner or on favorable terms, more costly or more dilutive. Increased inflation rates can adversely affect us by increasing our costs, including labor and employee benefit costs. In addition, higher inflation and macro turmoil and uncertainty could also adversely affect our buyers and sellers, which could reduce demand for our products. These factors may negatively affect the market price of our common stock, regardless of our actual operating performance.</w:t>
      </w:r>
    </w:p>
    <w:p>
      <w:pPr>
        <w:spacing w:after="0" w:line="101"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5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7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24,668,641 shares of common stock outstanding based on the number of shares outstanding as of June 30, 2023. This includes the shares that we are selling in this offering, which may be resold in the public market immediately. Following the consummation of this offering, approximately 63.5% of our outstanding shares will be subject to a 180-day lock-up period provided under lock-up agreements executed in connection with this offering described in “Underwriting” and restricted from immediate resale under the federal securities laws as described in “Shares Eligible for Future Sale.” All of these shares will, however, be able to be resold after the expiration of the lock-up period, as well as pursuant to customary exceptions thereto or upon the waiver of the lock-up agreement by on behalf of the underwriters. We also intend to register shares of common stock that we may issue under our equity compensation plans. Once we register these shares, they can be freely sold in the public market upon issuance, subject to the lock-up agreements. As restrictions on resale end, the market price of our stock could decline if the holders of currently-restricted shares sell them or are perceived by the market as intending to sell them.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58"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The initial public offering price of our common stock will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w:t>
      </w:r>
    </w:p>
    <w:p>
      <w:pPr>
        <w:spacing w:after="0" w:line="2"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color w:val="auto"/>
        </w:rPr>
        <w:t>Based on an assumed initial public offering price of $14.00 per share, which is the midpoint of the estimated price range set forth on the cover page of this prospectus, you will experience immediate dilution of $7.76 per share, representing the difference between our pro forma as adjusted net tangible book value per share, after giving effect to this offering, and the assumed initial public offering price.</w:t>
      </w:r>
    </w:p>
    <w:p>
      <w:pPr>
        <w:spacing w:after="0" w:line="2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0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45"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their affiliates, if they choose to act together, have the ability to significantly influence all matters submitted to stockholders for approval and may prevent new investors from influencing significant corporate decisions.</w:t>
      </w:r>
    </w:p>
    <w:p>
      <w:pPr>
        <w:spacing w:after="0" w:line="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the closing of this offering, based on the number of common stock outstanding as of September 30, 2023, our executive officers, directors and stockholders who owned more than 5% of our outstanding common stock before this offering and their respective affiliates will, in the aggregate, beneficially hold shares representing approximately 55.4% of our outstanding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Any of these actions could adversely affect the market price of our common stock.</w:t>
      </w:r>
    </w:p>
    <w:p>
      <w:pPr>
        <w:spacing w:after="0" w:line="110"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33"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w:t>
      </w:r>
    </w:p>
    <w:p>
      <w:pPr>
        <w:spacing w:after="0" w:line="56"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57" w:lineRule="exact"/>
        <w:rPr>
          <w:rFonts w:ascii="Arial" w:cs="Arial" w:eastAsia="Arial" w:hAnsi="Arial"/>
          <w:sz w:val="18"/>
          <w:szCs w:val="18"/>
          <w:color w:val="auto"/>
        </w:rPr>
      </w:pPr>
    </w:p>
    <w:p>
      <w:pPr>
        <w:ind w:left="340" w:right="200" w:hanging="224"/>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6" w:lineRule="exact"/>
        <w:rPr>
          <w:rFonts w:ascii="Arial" w:cs="Arial" w:eastAsia="Arial" w:hAnsi="Arial"/>
          <w:sz w:val="16"/>
          <w:szCs w:val="16"/>
          <w:color w:val="auto"/>
        </w:rPr>
      </w:pPr>
    </w:p>
    <w:p>
      <w:pPr>
        <w:ind w:left="340" w:hanging="224"/>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69" w:lineRule="exact"/>
        <w:rPr>
          <w:rFonts w:ascii="Arial" w:cs="Arial" w:eastAsia="Arial" w:hAnsi="Arial"/>
          <w:sz w:val="17"/>
          <w:szCs w:val="17"/>
          <w:color w:val="auto"/>
        </w:rPr>
      </w:pPr>
    </w:p>
    <w:p>
      <w:pPr>
        <w:ind w:left="340" w:right="260" w:hanging="224"/>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0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last day of the fiscal year ending after the fifth anniversary of this offering, or, if earlier, (i) the last day of the fiscal year in which we have total annual gross revenue of at least $1.235 billion, (ii) the date on which we are deemed to be a large accelerated filer, which means the market value of our common stock that is held by non-affiliates exceeds $700 million as of the prior June 30, or (iii) the date on which we have issued more than $1.0 billion in non-convertible debt during the prior three-year period.</w:t>
      </w:r>
    </w:p>
    <w:p>
      <w:pPr>
        <w:spacing w:after="0" w:line="11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 addition,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investors may receive from other public companies in which they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1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5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10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to advance the clinical development of LX2006, LX2020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LX1001, to fund the continued development of our other programs and cardiac discovery efforts, and for working capital and other general corporate purposes. See “Use of Proceeds.” In addition, we may use a portion of the proceeds from this offering to pursue our strategy to in-license or develop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1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54"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3" w:lineRule="exact"/>
        <w:rPr>
          <w:sz w:val="20"/>
          <w:szCs w:val="20"/>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57" w:lineRule="exact"/>
        <w:rPr>
          <w:rFonts w:ascii="Arial" w:cs="Arial" w:eastAsia="Arial" w:hAnsi="Arial"/>
          <w:sz w:val="18"/>
          <w:szCs w:val="18"/>
          <w:color w:val="auto"/>
        </w:rPr>
      </w:pPr>
    </w:p>
    <w:p>
      <w:pPr>
        <w:ind w:left="340" w:right="20" w:hanging="224"/>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02" w:lineRule="exact"/>
        <w:rPr>
          <w:rFonts w:ascii="Arial" w:cs="Arial" w:eastAsia="Arial" w:hAnsi="Arial"/>
          <w:sz w:val="18"/>
          <w:szCs w:val="18"/>
          <w:color w:val="auto"/>
        </w:rPr>
      </w:pPr>
    </w:p>
    <w:p>
      <w:pPr>
        <w:ind w:left="340" w:right="480" w:hanging="224"/>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102" w:lineRule="exact"/>
        <w:rPr>
          <w:rFonts w:ascii="Arial" w:cs="Arial" w:eastAsia="Arial" w:hAnsi="Arial"/>
          <w:sz w:val="18"/>
          <w:szCs w:val="18"/>
          <w:color w:val="auto"/>
        </w:rPr>
      </w:pPr>
    </w:p>
    <w:p>
      <w:pPr>
        <w:ind w:left="340" w:right="660" w:hanging="224"/>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98"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44"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6"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7"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only a portion of our directors stand for election at any given annual stockholder meeting;</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from time to time by our shareholders or our board of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requirements for stockholder proposals that can be acted on at stockholder meetings;</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allow actions by our stockholders by written consent, with certain requirements;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who may call stockholder meetings; and</w:t>
      </w:r>
    </w:p>
    <w:p>
      <w:pPr>
        <w:spacing w:after="0" w:line="157" w:lineRule="exact"/>
        <w:rPr>
          <w:rFonts w:ascii="Arial" w:cs="Arial" w:eastAsia="Arial" w:hAnsi="Arial"/>
          <w:sz w:val="18"/>
          <w:szCs w:val="18"/>
          <w:color w:val="auto"/>
        </w:rPr>
      </w:pPr>
    </w:p>
    <w:p>
      <w:pPr>
        <w:jc w:val="both"/>
        <w:ind w:left="340" w:right="340" w:hanging="224"/>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1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5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5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global economy, including credit and financial markets, has experienced extreme volatility and disruptions recently, including, among other things,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and increasing tensions between China and Taiwan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 We have experienced and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ability to produce accurate financial statements on a timely basis could be impaired.</w:t>
      </w:r>
    </w:p>
    <w:p>
      <w:pPr>
        <w:spacing w:after="0" w:line="192"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Commencing with our fiscal year ending December 31, 2024,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fail to remediate our identified material weakness, or identify additional material weaknesses, in our internal control over financial reporting,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research tax credits to offset future taxable income may be subject to limitations.</w:t>
      </w:r>
    </w:p>
    <w:p>
      <w:pPr>
        <w:spacing w:after="0" w:line="167"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As of December 31, 2022, we had approximately $48.6 million of U.S. federal net operating loss carryforwards, or NOLs, $109.3 million of U.S. state and local NOLs, and $3.9 million of federal research tax credits. U.S. federal NOLs generated in taxable years beginning after December 31, 2017, do not expire and may be carried forward indefinitely, but the deductibility of such NOLs is limited to no more than 80% of current year taxable income. Our U.S. state and local NOLs begin to expire in 2040 and our federal research tax credits begin to expire in 2041.</w:t>
      </w:r>
    </w:p>
    <w:p>
      <w:pPr>
        <w:spacing w:after="0" w:line="10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under Sections 382 and 383 of the Internal Revenue Code of 1986, as amended, or the Code, if a corporation undergoes an “ownership change,” which is generally defined as a greater than 50% change, by value, in its equity ownership by certain stockholders over a rolling three-year period, the corporation’s ability to use its pre-change NOLs and certain other pre-change tax attributes (such as research tax credits) to offset its post-change taxable income or taxes may be limited. We may have undergone an ownership change in the past and may undergo an ownership change in connection with this offering or in the future some of which may be outside of our control. As a result, if we undergo an ownership change, and our ability to use our pre-change NOLs and other pre-change tax attributes (such as research tax credits) to offset our post-change income or taxes is limited, it would harm our future results of operations by effectively increasing our future tax obligations. U.S. state and local NOLs may be similar limited. In addition, at the U.S. state and local level, there may be periods during which the use of NOLs is suspended or otherwise limited, which could accelerate or permanently increase U.S. state and local taxes owed.</w:t>
      </w:r>
    </w:p>
    <w:p>
      <w:pPr>
        <w:spacing w:after="0" w:line="11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Irrespective of the above, our ability to utilize our NOLs and research tax credits to offset future taxable income or taxes is conditioned on our attaining profitability and generating taxable income. We do not know if and when we will generate sufficient taxable income to utilize our NOLs and research tax credits.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materially harm our business.</w:t>
      </w:r>
    </w:p>
    <w:p>
      <w:pPr>
        <w:spacing w:after="0" w:line="15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The Inflation Reduction Act of 2022, or the IRA, enacted a 15% minimum tax on the adjusted financial statement income of certain large U.S. corporations for taxable years beginning after December 31, 2022, as well as a 1% excise tax on stock repurchases made by public corporations after December 31, 2022. Further, the Tax Cuts and Jobs Act of 2017, or the Tax Act, enacted many significant changes in U.S. federal tax</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laws, some of which were further modified by the Coronavirus Aid, Relief, and Economic Security Act, or the CARES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taxable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the IRA, the Tax Act, the CARES Act, or any future U.S. federal tax laws. Changes in corporate tax rates, the realization of net deferred tax assets relating to our operations, the taxation of foreign earnings, and the deductibility of expenses could have a material impact on the value of our deferred tax assets, result in significant one-time charges, and increase our future U.S. tax expenses.</w:t>
      </w:r>
    </w:p>
    <w:p>
      <w:pPr>
        <w:spacing w:after="0" w:line="26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cyberattacks or a deficiency in our or our CMOs’, CROs’, manufacturers’, contractors’, consultants’ or collaborators’ cybersecurity.</w:t>
      </w:r>
    </w:p>
    <w:p>
      <w:pPr>
        <w:spacing w:after="0" w:line="8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as well as those of third parties on which we rely, are vulnerable to damage from, among other things, computer viruses, malware, unauthorized access,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which could result in a material disruption of our product candidate development programs.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106"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we cannot ensure that our information technology and infrastructure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significant regulatory penalties, and such an event could disrupt our operations, damage our reputation, and cause a loss of confidence in us and our ability to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 clinical trials, which could adversely affect our reputation and delay clinical development of our product candidates.</w:t>
      </w:r>
    </w:p>
    <w:p>
      <w:pPr>
        <w:spacing w:after="0" w:line="15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To the extent that any disruption or security breach were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2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158" w:lineRule="exact"/>
        <w:rPr>
          <w:sz w:val="20"/>
          <w:szCs w:val="20"/>
          <w:color w:val="auto"/>
        </w:rPr>
      </w:pPr>
    </w:p>
    <w:p>
      <w:pPr>
        <w:ind w:left="120" w:right="280"/>
        <w:spacing w:after="0" w:line="270"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expenses that we did not incur as a private company,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0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5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7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27" w:lineRule="exact"/>
        <w:rPr>
          <w:sz w:val="20"/>
          <w:szCs w:val="20"/>
          <w:color w:val="auto"/>
        </w:rPr>
      </w:pPr>
    </w:p>
    <w:p>
      <w:pPr>
        <w:ind w:left="340" w:right="120" w:hanging="224"/>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16" w:lineRule="exact"/>
        <w:rPr>
          <w:rFonts w:ascii="Arial" w:cs="Arial" w:eastAsia="Arial" w:hAnsi="Arial"/>
          <w:sz w:val="18"/>
          <w:szCs w:val="18"/>
          <w:color w:val="auto"/>
        </w:rPr>
      </w:pPr>
    </w:p>
    <w:p>
      <w:pPr>
        <w:ind w:left="340" w:right="20" w:hanging="22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our planned IND submissions, initiation of planned clinical trials and timing of expected clinical results for LX2006, LX1001, LX2020, if applicable, and our other future product candidates;</w:t>
      </w:r>
    </w:p>
    <w:p>
      <w:pPr>
        <w:spacing w:after="0" w:line="102" w:lineRule="exact"/>
        <w:rPr>
          <w:rFonts w:ascii="Arial" w:cs="Arial" w:eastAsia="Arial" w:hAnsi="Arial"/>
          <w:sz w:val="18"/>
          <w:szCs w:val="18"/>
          <w:color w:val="auto"/>
        </w:rPr>
      </w:pPr>
    </w:p>
    <w:p>
      <w:pPr>
        <w:ind w:left="340" w:right="120" w:hanging="22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LX2006, LX1001, LX2020 and any other product candidates;</w:t>
      </w:r>
    </w:p>
    <w:p>
      <w:pPr>
        <w:spacing w:after="0" w:line="102" w:lineRule="exact"/>
        <w:rPr>
          <w:rFonts w:ascii="Arial" w:cs="Arial" w:eastAsia="Arial" w:hAnsi="Arial"/>
          <w:sz w:val="18"/>
          <w:szCs w:val="18"/>
          <w:color w:val="auto"/>
        </w:rPr>
      </w:pPr>
    </w:p>
    <w:p>
      <w:pPr>
        <w:ind w:left="340" w:hanging="224"/>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impact of public health crises (such as COVID-19) and other adverse global economic conditions on our operations and the potential disruption in the operations and business of third-party manufacturers, CROs, other service providers, and collaborators with whom we conduct business;</w:t>
      </w:r>
    </w:p>
    <w:p>
      <w:pPr>
        <w:spacing w:after="0" w:line="56" w:lineRule="exact"/>
        <w:rPr>
          <w:rFonts w:ascii="Arial" w:cs="Arial" w:eastAsia="Arial" w:hAnsi="Arial"/>
          <w:sz w:val="16"/>
          <w:szCs w:val="16"/>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our product candidates, and to enroll patients in trials;</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scalability and commercial viability of our manufacturing methods and processes;</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reliance on third party manufacturing partners to comply with significant regulations with respect to manufacturing our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LX2006, LX1001, LX2020 or any other product candidate;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leverage our platform to identify and develop future product candidates;</w:t>
      </w:r>
    </w:p>
    <w:p>
      <w:pPr>
        <w:spacing w:after="0" w:line="157"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reliance upon intellectual property licensed from third parties and our ability to obtain such licenses on commercially reasonable terms or at all;</w:t>
      </w:r>
    </w:p>
    <w:p>
      <w:pPr>
        <w:spacing w:after="0" w:line="180" w:lineRule="exact"/>
        <w:rPr>
          <w:rFonts w:ascii="Arial" w:cs="Arial" w:eastAsia="Arial" w:hAnsi="Arial"/>
          <w:sz w:val="16"/>
          <w:szCs w:val="16"/>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anticipated use of proceeds from this offering;</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5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9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 You should refer to the “Risk Factors” section of this prospectus for a discussion of important factors that may cause our actual results to differ materially from those expressed or implied by our forward-looking statements.</w:t>
      </w:r>
    </w:p>
    <w:p>
      <w:pPr>
        <w:spacing w:after="0" w:line="9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and industry data</w:t>
      </w:r>
    </w:p>
    <w:p>
      <w:pPr>
        <w:spacing w:after="0" w:line="17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obtained the industry, statistical and market data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management is responsible for the accuracy of such data and believes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72"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We estimate that the net proceeds from our issuance and sale of 9,000,000 shares of our common stock in this offering will be approximately $112.9 million (or approximately $130.5 million if the underwriters exercise in full their option to purchase up to 1,350,000 additional shares), assuming an initial public offering price of $14.00 per share, which is the midpoint of the price range set forth on the cover page of this prospectus, and after deducting the estimated underwriting discounts and commissions and estimated offering expenses payable by us.</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Each $1.00 increase (decrease) in the assumed initial public offering price of $14.00 per share would increase (decrease) the net proceeds to us from this offering by approximately $8.4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approximately $13.0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9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September 30, 2023, we had an estimated cash and cash equivalents balance of $35.4 million. We intend to use the net proceeds from this offering, together with our existing cash and cash equivalents, as follows:</w:t>
      </w:r>
    </w:p>
    <w:p>
      <w:pPr>
        <w:spacing w:after="0" w:line="103" w:lineRule="exact"/>
        <w:rPr>
          <w:sz w:val="20"/>
          <w:szCs w:val="20"/>
          <w:color w:val="auto"/>
        </w:rPr>
      </w:pPr>
    </w:p>
    <w:p>
      <w:pPr>
        <w:ind w:left="340" w:right="280" w:hanging="224"/>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$45.0 million to fund our ongoing and planned clinical development of LX2006 for the treatment of FA cardiomyopathy, including completion of the ongoing Phase 1/2 study and readiness for the registrational study start;</w:t>
      </w:r>
    </w:p>
    <w:p>
      <w:pPr>
        <w:spacing w:after="0" w:line="102" w:lineRule="exact"/>
        <w:rPr>
          <w:rFonts w:ascii="Arial" w:cs="Arial" w:eastAsia="Arial" w:hAnsi="Arial"/>
          <w:sz w:val="18"/>
          <w:szCs w:val="18"/>
          <w:color w:val="auto"/>
        </w:rPr>
      </w:pPr>
    </w:p>
    <w:p>
      <w:pPr>
        <w:ind w:left="340" w:right="800" w:hanging="224"/>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$40.0 million to fund our ongoing and planned clinical development of LX2020 for the treatment of PKP2-ACM, including completion of the ongoing Phase 1/2 study;</w:t>
      </w:r>
    </w:p>
    <w:p>
      <w:pPr>
        <w:spacing w:after="0" w:line="102" w:lineRule="exact"/>
        <w:rPr>
          <w:rFonts w:ascii="Arial" w:cs="Arial" w:eastAsia="Arial" w:hAnsi="Arial"/>
          <w:sz w:val="18"/>
          <w:szCs w:val="18"/>
          <w:color w:val="auto"/>
        </w:rPr>
      </w:pPr>
    </w:p>
    <w:p>
      <w:pPr>
        <w:ind w:left="340" w:right="240" w:hanging="224"/>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approximately $10.0 million to fund our ongoing and planned clinical development of LX1001 for the treatment of Alzheimer’s disease in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including completion of the ongoing Phase 1/2 study;</w:t>
      </w:r>
    </w:p>
    <w:p>
      <w:pPr>
        <w:spacing w:after="0" w:line="102" w:lineRule="exact"/>
        <w:rPr>
          <w:rFonts w:ascii="Arial" w:cs="Arial" w:eastAsia="Arial" w:hAnsi="Arial"/>
          <w:sz w:val="18"/>
          <w:szCs w:val="18"/>
          <w:color w:val="auto"/>
        </w:rPr>
      </w:pPr>
    </w:p>
    <w:p>
      <w:pPr>
        <w:ind w:left="340" w:right="240" w:hanging="224"/>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$15.0 million to fund the continued development of our other programs and cardiac discovery efforts, including advancing LX2021 for the treatment of DSP cardiomyopathy;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58"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Based on our current operational plans and assumptions, we expect our cash and cash equivalents as of September 30, 2023, together with the net proceeds from this offering, will be sufficient to fund our operations into the second quarter of 2026. However, we do not expect these funds will be sufficient to complete the clinical development of, or commercialize, any of our product candidates or programs. We have based these estimates on assumptions that may prove to be wrong, and we could use our available capital resources sooner than we expect.</w:t>
      </w:r>
    </w:p>
    <w:p>
      <w:pPr>
        <w:spacing w:after="0" w:line="10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w:t>
      </w:r>
    </w:p>
    <w:p>
      <w:pPr>
        <w:spacing w:after="0" w:line="1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This anticipated use of our existing cash and cash equivalents and net proceeds from this offering represents our intentions based upon our current plans and business conditions, which could change in the future as our plans and business conditions evolve. The amounts and timing of our actual expenditures may vary significantly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depending on numerous factors, including the progress of our development, the status of and results from clinical trials and the timing and outcome of any regulatory submissions, as well as any collaborations that we may enter into with third parties for our drug candidates, and any unforeseen cash needs. As a result, our management will have broad discretion in the application of the net proceeds from this offering, and investors will be relying on the judgment of our management regarding the application of those net proceeds. Pending our use of the net proceeds from this offering, we intend to invest the net proceeds in a variety of capital preservation investments, including short-term, investment grade, interest-bearing instruments and U.S. government securities.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320" w:top="459" w:right="59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7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320" w:top="459" w:right="5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Capitalization</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sets forth our cash and cash equivalents and our capitalization as of June 30, 2023 (unaudited, in thousands, except share and per share amounts):</w:t>
      </w:r>
    </w:p>
    <w:p>
      <w:pPr>
        <w:spacing w:after="0" w:line="103" w:lineRule="exact"/>
        <w:rPr>
          <w:sz w:val="20"/>
          <w:szCs w:val="20"/>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outstanding shares of our convertible preferred stock into an aggregate of</w:t>
      </w:r>
    </w:p>
    <w:p>
      <w:pPr>
        <w:spacing w:after="0" w:line="23" w:lineRule="exact"/>
        <w:rPr>
          <w:rFonts w:ascii="Arial" w:cs="Arial" w:eastAsia="Arial" w:hAnsi="Arial"/>
          <w:sz w:val="18"/>
          <w:szCs w:val="18"/>
          <w:color w:val="auto"/>
        </w:rPr>
      </w:pPr>
    </w:p>
    <w:p>
      <w:pPr>
        <w:ind w:left="340"/>
        <w:spacing w:after="0" w:line="260" w:lineRule="auto"/>
        <w:rPr>
          <w:rFonts w:ascii="Arial" w:cs="Arial" w:eastAsia="Arial" w:hAnsi="Arial"/>
          <w:sz w:val="18"/>
          <w:szCs w:val="18"/>
          <w:color w:val="auto"/>
        </w:rPr>
      </w:pPr>
      <w:r>
        <w:rPr>
          <w:rFonts w:ascii="Arial" w:cs="Arial" w:eastAsia="Arial" w:hAnsi="Arial"/>
          <w:sz w:val="18"/>
          <w:szCs w:val="18"/>
          <w:color w:val="auto"/>
        </w:rPr>
        <w:t>13,559,600 shares of our common stock; and (ii) the filing and effectiveness of our amended and restated certificate of incorporation upon the closing of this offering; and</w:t>
      </w:r>
    </w:p>
    <w:p>
      <w:pPr>
        <w:spacing w:after="0" w:line="117" w:lineRule="exact"/>
        <w:rPr>
          <w:rFonts w:ascii="Arial" w:cs="Arial" w:eastAsia="Arial" w:hAnsi="Arial"/>
          <w:sz w:val="18"/>
          <w:szCs w:val="18"/>
          <w:color w:val="auto"/>
        </w:rPr>
      </w:pPr>
    </w:p>
    <w:p>
      <w:pPr>
        <w:ind w:left="340" w:right="60" w:hanging="224"/>
        <w:spacing w:after="0" w:line="286"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a pro forma as adjusted basis to give effect to: (i) the pro forma adjustments described above; (ii) our issuance and sale of 9,000,000 shares of common stock in this offering at an assumed initial public offering price of $14.00 per share, which is the midpoint of the price range set forth on the cover page of this prospectus, after deducting the estimated underwriting discounts and estimated offering expenses payable by us; and (iii) our issuance of 486,987 additional shares of common stock issuable upon conversion of our Series B convertible preferred stock due to anti-dilution</w:t>
      </w:r>
    </w:p>
    <w:p>
      <w:pPr>
        <w:spacing w:after="0" w:line="1" w:lineRule="exact"/>
        <w:rPr>
          <w:sz w:val="20"/>
          <w:szCs w:val="20"/>
          <w:color w:val="auto"/>
        </w:rPr>
      </w:pPr>
    </w:p>
    <w:p>
      <w:pPr>
        <w:ind w:left="340" w:right="340"/>
        <w:spacing w:after="0" w:line="250" w:lineRule="auto"/>
        <w:rPr>
          <w:sz w:val="20"/>
          <w:szCs w:val="20"/>
          <w:color w:val="auto"/>
        </w:rPr>
      </w:pPr>
      <w:r>
        <w:rPr>
          <w:rFonts w:ascii="Arial" w:cs="Arial" w:eastAsia="Arial" w:hAnsi="Arial"/>
          <w:sz w:val="18"/>
          <w:szCs w:val="18"/>
          <w:color w:val="auto"/>
        </w:rPr>
        <w:t>adjustments, based on an assumed initial public offering price of $14.00 per share, which is the midpoint of the estimated offering price range set forth on the cover page of this prospectus.</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This pro forma as adjusted information is illustrative only and will depend on the actual initial public offering price and other terms of this offering determined at pricing. Our capitalization following the closing of this offering will depend on the actual initial public offering price and other terms of this offering determined at pricing. You should read this information in conjunction with our financial statements and the related notes appearing at the end of this prospectus, the section of this prospectus titled “Management’s Discussion and Analysis of Financial Condition and Results of Operations” and other financial information contained in this prospectus.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June 30, 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Actual</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w w:val="92"/>
              </w:rPr>
              <w:t>Pro Forma</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21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45,539</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45,539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158,419</w:t>
            </w:r>
          </w:p>
        </w:tc>
        <w:tc>
          <w:tcPr>
            <w:tcW w:w="0" w:type="dxa"/>
            <w:vAlign w:val="bottom"/>
          </w:tcPr>
          <w:p>
            <w:pPr>
              <w:spacing w:after="0"/>
              <w:rPr>
                <w:sz w:val="1"/>
                <w:szCs w:val="1"/>
                <w:color w:val="auto"/>
              </w:rPr>
            </w:pPr>
          </w:p>
        </w:tc>
      </w:tr>
      <w:tr>
        <w:trPr>
          <w:trHeight w:val="202"/>
        </w:trPr>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w w:val="94"/>
              </w:rPr>
              <w:t>Series A convertible preferred stock, $0.0001 par value; 85,495,722 shares authorized, issued,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adjusted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85,268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7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Series B convertible preferred stock, $0.0001 par value; 58,157,824 shares authorized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58,157,823 shares issued and outstanding, actual; no shares authorized, issued or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and pro forma as adjusted</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99,765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1"/>
        </w:trPr>
        <w:tc>
          <w:tcPr>
            <w:tcW w:w="75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10,000,000 shares authorized, no shares issued or outstanding, pro forma and pro forma as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75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7"/>
              </w:rPr>
              <w:t>Common stock, $0.0001 par value, 18,125,051 shares authorized, 1,652,570 shares issued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ind w:left="540"/>
              <w:spacing w:after="0"/>
              <w:rPr>
                <w:sz w:val="20"/>
                <w:szCs w:val="20"/>
                <w:color w:val="auto"/>
              </w:rPr>
            </w:pPr>
            <w:r>
              <w:rPr>
                <w:rFonts w:ascii="Arial" w:cs="Arial" w:eastAsia="Arial" w:hAnsi="Arial"/>
                <w:sz w:val="18"/>
                <w:szCs w:val="18"/>
                <w:color w:val="auto"/>
                <w:w w:val="94"/>
              </w:rPr>
              <w:t>and 1,622,054 shares outstanding, actual; 18,125,051 shares authorized, 15,212,170 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ind w:left="540"/>
              <w:spacing w:after="0"/>
              <w:rPr>
                <w:sz w:val="20"/>
                <w:szCs w:val="20"/>
                <w:color w:val="auto"/>
              </w:rPr>
            </w:pPr>
            <w:r>
              <w:rPr>
                <w:rFonts w:ascii="Arial" w:cs="Arial" w:eastAsia="Arial" w:hAnsi="Arial"/>
                <w:sz w:val="18"/>
                <w:szCs w:val="18"/>
                <w:color w:val="auto"/>
              </w:rPr>
              <w:t>issued and 15,181,654 shares outstanding, pro forma; 500,000,000 shares authorized,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40"/>
              <w:spacing w:after="0"/>
              <w:rPr>
                <w:sz w:val="20"/>
                <w:szCs w:val="20"/>
                <w:color w:val="auto"/>
              </w:rPr>
            </w:pPr>
            <w:r>
              <w:rPr>
                <w:rFonts w:ascii="Arial" w:cs="Arial" w:eastAsia="Arial" w:hAnsi="Arial"/>
                <w:sz w:val="18"/>
                <w:szCs w:val="18"/>
                <w:color w:val="auto"/>
              </w:rPr>
              <w:t>24,699,157 shares issued and 24,668,641 shares outstanding, pro forma as adjusted</w:t>
            </w:r>
          </w:p>
        </w:tc>
        <w:tc>
          <w:tcPr>
            <w:tcW w:w="10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3,926</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188,957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301,837</w:t>
            </w:r>
          </w:p>
        </w:tc>
        <w:tc>
          <w:tcPr>
            <w:tcW w:w="0" w:type="dxa"/>
            <w:vAlign w:val="bottom"/>
          </w:tcPr>
          <w:p>
            <w:pPr>
              <w:spacing w:after="0"/>
              <w:rPr>
                <w:sz w:val="1"/>
                <w:szCs w:val="1"/>
                <w:color w:val="auto"/>
              </w:rPr>
            </w:pPr>
          </w:p>
        </w:tc>
      </w:tr>
      <w:tr>
        <w:trPr>
          <w:trHeight w:val="216"/>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(147,545)</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(147,545)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(147,545)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(143,619)</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41,414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154,294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41,414</w:t>
            </w:r>
          </w:p>
        </w:tc>
        <w:tc>
          <w:tcPr>
            <w:tcW w:w="5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Each $1.00 increase (decrease) in the assumed initial public offering price of $14.00 per share, which is the midpoint of the price range set forth on the cover page of this prospectus, would increase (decrease) the pro forma as adjusted amount of each of cash and cash equivalents, additional paid in capital, total stockholders’ equity and total capitalization by approximately $8.4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per share of $14.00 per share, which is the midpoint of the price range set forth on the cover page of this prospectus, would increase (decrease) the pro forma as adjusted amount of each of cash and cash equivalents, additional paid in capital, total stockholders’ equity and total capitalization by approximately $13.0 million.</w:t>
      </w:r>
    </w:p>
    <w:p>
      <w:pPr>
        <w:spacing w:after="0" w:line="11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 $1.00 decrease in the initial public offering price would increase the number of shares of our common stock issuable in respect of our Series B convertible preferred stock by 127,861 shares, and a $1.00 increase in the initial public offering price would decrease the number of shares of our common stock issuable in respect of our Series B convertible preferred stock by 121,884 shares; provided, however, that in no event would the shares of our Series B convertible preferred stock outstanding prior to the Stock Split convert into fewer than 5,489,573 shares of our common stock upon the closing of this offering. A 1.0 million share increase in the size of this offering would increase the number of shares of our common stock issuable in respect of our Series B convertible preferred stock by 35,380 shares, and a 1.0 million share decrease in the size of this offering would decrease the number of shares of our common stock issuable in respect of our Series B convertible preferred stock by 37,582 shares.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our common stock outstanding as of June 30, 2023 in the table above excludes:</w:t>
      </w:r>
    </w:p>
    <w:p>
      <w:pPr>
        <w:spacing w:after="0" w:line="158" w:lineRule="exact"/>
        <w:rPr>
          <w:sz w:val="20"/>
          <w:szCs w:val="20"/>
          <w:color w:val="auto"/>
        </w:rPr>
      </w:pPr>
    </w:p>
    <w:p>
      <w:pPr>
        <w:ind w:left="340" w:right="400" w:hanging="224"/>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323,571 shares of our common stock issuable upon the effectiveness of the registration statement of which this prospectus forms a part upon conversion of the Sarepta SAFE, assuming an initial public offering price of $14.00 per share, the midpoint of the offering range set forth on the cover of this prospectus;</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30,516 shares of common stock issued pursuant to the early exercise of unvested options that are subject to a right of repurchase by us;</w:t>
      </w:r>
    </w:p>
    <w:p>
      <w:pPr>
        <w:spacing w:after="0" w:line="169" w:lineRule="exact"/>
        <w:rPr>
          <w:rFonts w:ascii="Arial" w:cs="Arial" w:eastAsia="Arial" w:hAnsi="Arial"/>
          <w:sz w:val="17"/>
          <w:szCs w:val="17"/>
          <w:color w:val="auto"/>
        </w:rPr>
      </w:pPr>
    </w:p>
    <w:p>
      <w:pPr>
        <w:ind w:left="340" w:right="200" w:hanging="224"/>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1,873,093 shares of our common stock issuable upon the exercise of options under the Existing Plan outstanding as of June 30, 2023, at a weighted average exercise price of $7.94 per share;</w:t>
      </w:r>
    </w:p>
    <w:p>
      <w:pPr>
        <w:spacing w:after="0" w:line="102" w:lineRule="exact"/>
        <w:rPr>
          <w:rFonts w:ascii="Arial" w:cs="Arial" w:eastAsia="Arial" w:hAnsi="Arial"/>
          <w:sz w:val="18"/>
          <w:szCs w:val="18"/>
          <w:color w:val="auto"/>
        </w:rPr>
      </w:pPr>
    </w:p>
    <w:p>
      <w:pPr>
        <w:jc w:val="both"/>
        <w:ind w:left="340" w:right="20" w:hanging="224"/>
        <w:spacing w:after="0" w:line="286"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669,699 shares of our common stock issuable upon the exercise of options granted under the Existing Plan after June 30, 2023, at a weighted average exercise price of $11.02 per share, offset by 212,614 shares of our common stock that were previously issuable upon the exercise of options that were cancelled under the Existing Plan after June 30, 2023, at a weighted average exercise price of $15.62 share;</w:t>
      </w:r>
    </w:p>
    <w:p>
      <w:pPr>
        <w:spacing w:after="0" w:line="97" w:lineRule="exact"/>
        <w:rPr>
          <w:rFonts w:ascii="Arial" w:cs="Arial" w:eastAsia="Arial" w:hAnsi="Arial"/>
          <w:sz w:val="17"/>
          <w:szCs w:val="17"/>
          <w:color w:val="auto"/>
        </w:rPr>
      </w:pPr>
    </w:p>
    <w:p>
      <w:pPr>
        <w:ind w:left="340" w:hanging="224"/>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1,039,784 shares of our common stock reserved for future issuance under the Existing Plan, which shares will cease to be available for issuance at the time the 2023 Plan becomes effective and will be added to, and become available for issuance under, the 2023 Plan;</w:t>
      </w:r>
    </w:p>
    <w:p>
      <w:pPr>
        <w:spacing w:after="0" w:line="102" w:lineRule="exact"/>
        <w:rPr>
          <w:rFonts w:ascii="Arial" w:cs="Arial" w:eastAsia="Arial" w:hAnsi="Arial"/>
          <w:sz w:val="18"/>
          <w:szCs w:val="18"/>
          <w:color w:val="auto"/>
        </w:rPr>
      </w:pPr>
    </w:p>
    <w:p>
      <w:pPr>
        <w:ind w:left="340" w:right="40" w:hanging="224"/>
        <w:spacing w:after="0" w:line="2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1,803,980 shares of our common stock reserved for future issuance under the 2023 Plan (in addition to the shares of common stock reserved for issuance under our Existing Plan that will be added to the shares reserved under the 2023 Plan upon its effectiveness), which will become effective in connection with this offering, as well as any automatic increases in the number of shares of common stock reserved for future issuance under the 2023 Plan; and</w:t>
      </w:r>
    </w:p>
    <w:p>
      <w:pPr>
        <w:spacing w:after="0" w:line="119" w:lineRule="exact"/>
        <w:rPr>
          <w:rFonts w:ascii="Arial" w:cs="Arial" w:eastAsia="Arial" w:hAnsi="Arial"/>
          <w:sz w:val="18"/>
          <w:szCs w:val="18"/>
          <w:color w:val="auto"/>
        </w:rPr>
      </w:pPr>
    </w:p>
    <w:p>
      <w:pPr>
        <w:ind w:left="340" w:right="240" w:hanging="224"/>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238,600 shares of our common stock reserved for future issuance under the 2023 Employee Stock Purchase Plan, or ESPP, which will become effective in connection with this offering, as well as any automatic increases in the number of shares of common stock reserved for future issuance under the ESPP.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70"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7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 of June 30, 2023, we had a historical net tangible book value (deficit) of $(144.1 million), or $(88.83) per share of common stock. Our historical net tangible book value (deficit) per share represents total tangible assets less total liabilities and convertible preferred stock, divided by the number of shares of our common stock outstanding as of June 30, 2023.</w:t>
      </w:r>
    </w:p>
    <w:p>
      <w:pPr>
        <w:spacing w:after="0" w:line="10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pro forma net tangible book value (deficit) as of June 30, 2023 was $40.9 million, or $2.70 per share of our common stock. Pro forma net tangible book value represents the amount of our total tangible assets less our total liabilities, after giving effect to the conversion of all shares of our convertible preferred stock into an aggregate of 13,559,600 shares of common stock upon the consummation of this offering. Pro forma net tangible book value per share represents pro forma net tangible book value divided by the total number of shares outstanding as of June 30, 2023, after giving effect to the pro forma adjustments described above.</w:t>
      </w:r>
    </w:p>
    <w:p>
      <w:pPr>
        <w:spacing w:after="0" w:line="12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After giving further effect to the sale of 9,000,000 shares of common stock in this offering and the issuance of 486,987 additional shares of common stock issuable upon conversion of our Series B convertible preferred stock due to anti-dilution adjustments, each based on an assumed initial public offering price of $14.00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2023 would have been $153.8 million, or $6.24 per share. This amount represents an immediate increase in pro forma net tangible book value of $3.54 per share to our existing stockholders and immediate dilution of $7.76 per share to new investors in this offering. We determine dilution by subtracting the pro forma as adjusted net tangible book value per share after this offering from the amount of cash that a new investor paid for a share of common stock in this offering.</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14.00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Historical net tangible book value (deficit) per share as of June 30, 2023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Pro forma increase in net tangible book value (deficit) per share attributable to the pro forma transactions described above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Pro forma net tangible book value (deficit) per share as of June 30, 2023</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Increase in pro forma as adjusted net tangible book value per share attributable to new investors participating in this offering</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20"/>
                <w:szCs w:val="20"/>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r>
      <w:tr>
        <w:trPr>
          <w:trHeight w:val="20"/>
        </w:trPr>
        <w:tc>
          <w:tcPr>
            <w:tcW w:w="9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$14.00 per share, which is the midpoint of the price range set forth on the cover page of this prospectus, would increase (decrease) the pro forma as adjusted net tangible book value per share after this offering by approximately $0.37, and dilution in pro forma as adjusted net tangible book value per share to new investors by approximately $0.63, assuming that the number of shares offered by us, as set forth on the cover page of this prospectus, remains the same and after deducting estimated underwriting discounts and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commissions and estimated offering expenses payable by us. An increase of 1.0 million shares in the number of shares we are offering would increase the pro forma as adjusted net tangible book value per share after this offering by $0.26 and decrease the dilution per share to new investors participating in this offering by $0.26, assuming no change in the assumed initial public offering price per share and after deducting the estimated underwriting discounts and commissions. A decrease of 1.0 million shares in the number of shares we are offering would decrease the pro forma as adjusted net tangible book value per share after this offering by $0.28 and increase the dilution per share to new investors participating in this offering by $0.28, assuming no change in the assumed initial public offering price per share and after deducting the estimated underwriting discounts and commissions.</w:t>
      </w:r>
    </w:p>
    <w:p>
      <w:pPr>
        <w:spacing w:after="0" w:line="97"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A $1.00 decrease in the initial public offering price would increase the number of shares of our common stock issuable in respect of our Series B convertible preferred stock by 127,861 shares, and a $1.00 increase in the initial public offering price would decrease the number of shares of our common stock issuable in respect of our Series B convertible preferred stock by 121,884 shares; provided, however, that in no event would the outstanding shares of our Series B convertible preferred stock convert into fewer than 5,489,573 shares of our common stock upon the closing of this offering. A 1.0 million share increase in the size of this offering would increase the number of shares of our common stock issuable in respect of our Series B convertible preferred stock by 35,380 shares, and a 1.0 million share decrease in the size of this offering would decrease the number of shares of our common stock issuable in respect of our Series B convertible preferred stock by 37,582 shares.</w:t>
      </w:r>
    </w:p>
    <w:p>
      <w:pPr>
        <w:spacing w:after="0" w:line="11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after this offering would be $6.59 per share, the increase in pro forma as adjusted net tangible book value per share would be $3.89 and the dilution per share to new investors would be $7.41 per share, in each case assuming an initial public offering price of $14.00 per share, which is the midpoint of the price range set forth on the cover page of this prospectus.</w:t>
      </w:r>
    </w:p>
    <w:p>
      <w:pPr>
        <w:spacing w:after="0" w:line="10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following table summarizes, as of June 30, 2023, on the pro forma as adjusted basis described above, the differences between the number of shares purchased from us, the total consideration paid to us in cash and the average price per share that existing stockholders and new investors paid for such shares. The calculation below is based on an assumed initial public offering price of $14.00 per share, which is the midpoint of the price range set forth on the cover page of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1"/>
              </w:rPr>
              <w:t>Total Shares</w:t>
            </w:r>
          </w:p>
        </w:tc>
        <w:tc>
          <w:tcPr>
            <w:tcW w:w="140" w:type="dxa"/>
            <w:vAlign w:val="bottom"/>
          </w:tcPr>
          <w:p>
            <w:pPr>
              <w:spacing w:after="0"/>
              <w:rPr>
                <w:sz w:val="17"/>
                <w:szCs w:val="17"/>
                <w:color w:val="auto"/>
              </w:rPr>
            </w:pPr>
          </w:p>
        </w:tc>
        <w:tc>
          <w:tcPr>
            <w:tcW w:w="180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rPr>
              <w:t>Total Consideration</w:t>
            </w:r>
          </w:p>
        </w:tc>
        <w:tc>
          <w:tcPr>
            <w:tcW w:w="1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80"/>
              <w:spacing w:after="0" w:line="182" w:lineRule="exact"/>
              <w:rPr>
                <w:sz w:val="20"/>
                <w:szCs w:val="20"/>
                <w:color w:val="auto"/>
              </w:rPr>
            </w:pPr>
            <w:r>
              <w:rPr>
                <w:rFonts w:ascii="Arial" w:cs="Arial" w:eastAsia="Arial" w:hAnsi="Arial"/>
                <w:sz w:val="16"/>
                <w:szCs w:val="16"/>
                <w:b w:val="1"/>
                <w:bCs w:val="1"/>
                <w:color w:val="auto"/>
              </w:rPr>
              <w:t>Price Per</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Number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Percent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Percent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15,668,641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$ 186,108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New investors</w:t>
            </w:r>
          </w:p>
        </w:tc>
        <w:tc>
          <w:tcPr>
            <w:tcW w:w="27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9,000,000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36.5%</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126,000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24,668,641</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$ 312,108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460" w:type="dxa"/>
            <w:vAlign w:val="bottom"/>
          </w:tcPr>
          <w:p>
            <w:pPr>
              <w:spacing w:after="0"/>
              <w:rPr>
                <w:sz w:val="24"/>
                <w:szCs w:val="24"/>
                <w:color w:val="auto"/>
              </w:rPr>
            </w:pP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June 30, 2023 and gives effect to the conversion of all outstanding shares of our convertible preferred stock into an aggregate of 14,046,587 shares of common stock in connection with this offering. The number of shares of our common stock to be outstanding after this offering excludes:</w:t>
      </w:r>
    </w:p>
    <w:p>
      <w:pPr>
        <w:spacing w:after="0" w:line="116" w:lineRule="exact"/>
        <w:rPr>
          <w:sz w:val="20"/>
          <w:szCs w:val="20"/>
          <w:color w:val="auto"/>
        </w:rPr>
      </w:pPr>
    </w:p>
    <w:p>
      <w:pPr>
        <w:ind w:left="340" w:right="380" w:hanging="224"/>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323,571 shares of our common stock issuable upon the effectiveness of the registration statement of which this prospectus forms a part upon conversion of the Sarepta SAFE, assuming an initial public offering price of $14.00 per share, the midpoint of the offering range set forth on the cover of this prospectus;</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30,516 shares of common stock issued pursuant to the early exercise of unvested options that are subject to a right of repurchase by us;</w:t>
      </w:r>
    </w:p>
    <w:p>
      <w:pPr>
        <w:spacing w:after="0" w:line="169" w:lineRule="exact"/>
        <w:rPr>
          <w:rFonts w:ascii="Arial" w:cs="Arial" w:eastAsia="Arial" w:hAnsi="Arial"/>
          <w:sz w:val="17"/>
          <w:szCs w:val="17"/>
          <w:color w:val="auto"/>
        </w:rPr>
      </w:pPr>
    </w:p>
    <w:p>
      <w:pPr>
        <w:ind w:left="340" w:right="180" w:hanging="224"/>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1,873,093 shares of our common stock issuable upon the exercise of options under the Existing Plan outstanding as of June 30, 2023, at a weighted average exercise price of $7.94 per share;</w:t>
      </w:r>
    </w:p>
    <w:p>
      <w:pPr>
        <w:spacing w:after="0" w:line="102" w:lineRule="exact"/>
        <w:rPr>
          <w:rFonts w:ascii="Arial" w:cs="Arial" w:eastAsia="Arial" w:hAnsi="Arial"/>
          <w:sz w:val="18"/>
          <w:szCs w:val="18"/>
          <w:color w:val="auto"/>
        </w:rPr>
      </w:pPr>
    </w:p>
    <w:p>
      <w:pPr>
        <w:jc w:val="both"/>
        <w:ind w:left="340" w:hanging="224"/>
        <w:spacing w:after="0" w:line="286"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669,699 shares of our common stock issuable upon the exercise of options granted under the Existing Plan after June 30, 2023, at a weighted average exercise price of $11.02 per share, offset by 212,614 shares of our common stock that were previously issuable upon the exercise of options that were cancelled under the Existing Plan after June 30, 2023, at a weighted average exercise price of $15.62 share;</w:t>
      </w:r>
    </w:p>
    <w:p>
      <w:pPr>
        <w:spacing w:after="0" w:line="97" w:lineRule="exact"/>
        <w:rPr>
          <w:rFonts w:ascii="Arial" w:cs="Arial" w:eastAsia="Arial" w:hAnsi="Arial"/>
          <w:sz w:val="17"/>
          <w:szCs w:val="17"/>
          <w:color w:val="auto"/>
        </w:rPr>
      </w:pPr>
    </w:p>
    <w:p>
      <w:pPr>
        <w:ind w:left="340" w:right="380" w:hanging="224"/>
        <w:spacing w:after="0" w:line="3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1,039,784 shares of our common stock reserved for future issuance as of June 30, 2023 under the Existing Plan, which shares will cease to be available for issuance at the time the 2023 Plan becomes effective and will be added to, and become available for issuance under, the 2023 Plan;</w:t>
      </w:r>
    </w:p>
    <w:p>
      <w:pPr>
        <w:spacing w:after="0" w:line="56" w:lineRule="exact"/>
        <w:rPr>
          <w:rFonts w:ascii="Arial" w:cs="Arial" w:eastAsia="Arial" w:hAnsi="Arial"/>
          <w:sz w:val="16"/>
          <w:szCs w:val="16"/>
          <w:color w:val="auto"/>
        </w:rPr>
      </w:pPr>
    </w:p>
    <w:p>
      <w:pPr>
        <w:ind w:left="340" w:right="20" w:hanging="224"/>
        <w:spacing w:after="0" w:line="259"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1,803,980 shares of our common stock reserved for future issuance under the 2023 Plan (in addition to shares of common stock reserved for issuance under our Existing Plan that will be added to the shares reserved under the 2023 Plan upon its effectiveness), which will become effective in connection with this offering, as well as any automatic increases in the number of shares of common stock reserved for future issuance under the 2023 Plan; and</w:t>
      </w:r>
    </w:p>
    <w:p>
      <w:pPr>
        <w:spacing w:after="0" w:line="119" w:lineRule="exact"/>
        <w:rPr>
          <w:rFonts w:ascii="Arial" w:cs="Arial" w:eastAsia="Arial" w:hAnsi="Arial"/>
          <w:sz w:val="18"/>
          <w:szCs w:val="18"/>
          <w:color w:val="auto"/>
        </w:rPr>
      </w:pPr>
    </w:p>
    <w:p>
      <w:pPr>
        <w:ind w:left="340" w:right="240" w:hanging="224"/>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238,600 shares of our common stock reserved for future issuance under the ESPP, which will become effective in connection with this offering, as well as any automatic increases in the number of shares of common stock reserved for future issuance under the 2023 ESPP.</w:t>
      </w:r>
    </w:p>
    <w:p>
      <w:pPr>
        <w:spacing w:after="0" w:line="7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auto"/>
        </w:rPr>
        <w:t>Management’s discussion and analysis of financial condition and results of operations</w:t>
      </w:r>
    </w:p>
    <w:p>
      <w:pPr>
        <w:spacing w:after="0" w:line="2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Many factors, including those factors set forth in the “Risk Factors” section of this prospectus, may materially and adversely affect our actual results, which may differ materially from the results described in or implied by the forward-looking statements contained in the following discussion and analysis.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are a clinical stage genetic medicine company dedicated to transforming healthcare by applying pioneering science to fundamentally change how disease is treated. By taking aim at the underlying genetic cause of the devastating diseases we target, we seek to create substantial positive impact and reduce the overwhelming burdens placed on people receiving treatment, their caregivers, and healthcare systems. Our current pipeline consists of candidates targeting patient populations that place significant burden on society and are most amenable to our genetic medicine approach.</w:t>
      </w:r>
    </w:p>
    <w:p>
      <w:pPr>
        <w:spacing w:after="0" w:line="9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Since our inception, we have devoted substantially all of our efforts to organizing and staffing our company, research and development activities, business planning, raising capital, building our intellectual property portfolio and providing general and administrative support for these operations. To date, we have funded our operations primarily through proceeds from the sale of shares of our convertible preferred stock. As of June 30, 2023, we had $45.5 million of cash and cash equivalents and we had raised aggregate gross proceeds of $183.7 million from the sale of convertible equity securities.</w:t>
      </w:r>
    </w:p>
    <w:p>
      <w:pPr>
        <w:spacing w:after="0" w:line="76"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color w:val="auto"/>
        </w:rPr>
        <w:t>We have incurred significant operating losses since the commencement of our operations. Our ability to generate product revenue sufficient to achieve profitability will depend heavily on the successful development and eventual commercialization of one or more of our current gene therapy candidates or any future gene therapy candidates. Our net losses for the six months ended June 30, 2023 and for the year ended December 31, 2022 were</w:t>
      </w:r>
    </w:p>
    <w:p>
      <w:pPr>
        <w:spacing w:after="0" w:line="2" w:lineRule="exact"/>
        <w:rPr>
          <w:sz w:val="20"/>
          <w:szCs w:val="20"/>
          <w:color w:val="auto"/>
        </w:rPr>
      </w:pPr>
    </w:p>
    <w:p>
      <w:pPr>
        <w:ind w:left="120" w:right="500"/>
        <w:spacing w:after="0" w:line="255" w:lineRule="auto"/>
        <w:rPr>
          <w:sz w:val="20"/>
          <w:szCs w:val="20"/>
          <w:color w:val="auto"/>
        </w:rPr>
      </w:pPr>
      <w:r>
        <w:rPr>
          <w:rFonts w:ascii="Arial" w:cs="Arial" w:eastAsia="Arial" w:hAnsi="Arial"/>
          <w:sz w:val="18"/>
          <w:szCs w:val="18"/>
          <w:color w:val="auto"/>
        </w:rPr>
        <w:t>$32.1 million and $59.3 million, respectively, and our accumulated deficit was $147.5 million at June 30, 2023. We expect to continue to incur significant losses for the foreseeable future as we advance our current and future product candidates through preclinical and clinical development, continue to build our operations and transition to operating as a public company.</w:t>
      </w:r>
    </w:p>
    <w:p>
      <w:pPr>
        <w:spacing w:after="0" w:line="12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to continue to increase. We expect our expenses and capital requirements will increase significantly in connection with our ongoing activities as we:</w:t>
      </w:r>
    </w:p>
    <w:p>
      <w:pPr>
        <w:spacing w:after="0" w:line="116" w:lineRule="exact"/>
        <w:rPr>
          <w:sz w:val="20"/>
          <w:szCs w:val="20"/>
          <w:color w:val="auto"/>
        </w:rPr>
      </w:pPr>
    </w:p>
    <w:p>
      <w:pPr>
        <w:ind w:left="340" w:right="60" w:hanging="224"/>
        <w:spacing w:after="0" w:line="263"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our ongoing and planned clinical trials as well as research and development of our Friedrich’s ataxia cardiomyopathy, or FA cardiomyopathy (LX2006), APOE-associated Alzheimer’s disease (LX1001), and arrhythmogenic cardiomyopathy caused by mutations in the PKP2 gene, or PKP2-ACM (LX2020) programs and other product candidates;</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 in capital equipment in order to expand our research and development and manufacturing activities;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attract, hire and retain additional clinical, scientific, quality control, regulatory, and manufacturing management and administrative personnel;</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add clinical, operational, financial and management information systems and personnel, including personnel to support our product development;</w:t>
      </w:r>
    </w:p>
    <w:p>
      <w:pPr>
        <w:spacing w:after="0" w:line="180" w:lineRule="exact"/>
        <w:rPr>
          <w:rFonts w:ascii="Arial" w:cs="Arial" w:eastAsia="Arial" w:hAnsi="Arial"/>
          <w:sz w:val="16"/>
          <w:szCs w:val="16"/>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 maintain, expand, protect and enforce our intellectual property portfolio, including patents, trade secrets and know-how;</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 our operations in the United States and to other geographies;</w:t>
      </w:r>
    </w:p>
    <w:p>
      <w:pPr>
        <w:spacing w:after="0" w:line="157" w:lineRule="exact"/>
        <w:rPr>
          <w:rFonts w:ascii="Arial" w:cs="Arial" w:eastAsia="Arial" w:hAnsi="Arial"/>
          <w:sz w:val="18"/>
          <w:szCs w:val="18"/>
          <w:color w:val="auto"/>
        </w:rPr>
      </w:pPr>
    </w:p>
    <w:p>
      <w:pPr>
        <w:ind w:left="340" w:right="200" w:hanging="224"/>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general and administrative expenses associated with operating as a public company; and</w:t>
      </w:r>
    </w:p>
    <w:p>
      <w:pPr>
        <w:spacing w:after="0" w:line="102" w:lineRule="exact"/>
        <w:rPr>
          <w:rFonts w:ascii="Arial" w:cs="Arial" w:eastAsia="Arial" w:hAnsi="Arial"/>
          <w:sz w:val="18"/>
          <w:szCs w:val="18"/>
          <w:color w:val="auto"/>
        </w:rPr>
      </w:pPr>
    </w:p>
    <w:p>
      <w:pPr>
        <w:ind w:left="340" w:right="40" w:hanging="224"/>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either ourselves or in partnership with others, to commercialize any product candidates, if approved, and related additional commercial manufacturing costs.</w:t>
      </w:r>
    </w:p>
    <w:p>
      <w:pPr>
        <w:spacing w:after="0" w:line="10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product sales, marketing and distribution to the extent that such sales, marketing and distribution are not the responsibility of potential collaborators. We will require substantial additional funding to develop our product candidates and support our continuing operations. We may also require additional capital to pursue in-licenses or acquisitions of other product candidates. We may also require additional capital if we choose to pursue an in-house manufacturing strategy. Further, following the completion of this offering we expect to incur additional costs associated with operating as a public company. We also expect to increase the size of our administrative function to support the growth of our business. Our net losses may fluctuate significantly from quarter-to-quarter and year-to-year, depending on the timing of our clinical trials and our expenses related to other research and development activities.</w:t>
      </w:r>
    </w:p>
    <w:p>
      <w:pPr>
        <w:spacing w:after="0" w:line="12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Until such time that we can generate significant revenue from product sales or other sources, we expect to finance our operations through the sale of equity, debt financings or other capital sources, which could include proceeds from potential collaborations, strategic partnerships or marketing, distribution, licensing or other strategic arrangements with third parties, or from grants. We may be unable to raise additional funds or to enter into such agreements or arrangements on favorable terms, or at all. If we fail to raise capital or enter into such agreements as, and when, needed, we may have to significantly delay, scale back or discontinue the development or commercialization of our product candidates or grant rights to develop and market product candidates that we would otherwise prefer to develop and market ourselves.</w:t>
      </w:r>
    </w:p>
    <w:p>
      <w:pPr>
        <w:spacing w:after="0" w:line="97"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Our failure to obtain sufficient funds with acceptable terms could have a material adverse effect on our business, results of operations or financial condition, including requiring us to have to delay, reduce or eliminate our product development or future commercialization efforts. Because of the numerous risks and uncertainties associated with pharmaceutical product development, we are unable to accurately predict the amount of increased expenses or timing, or if we will be able to achieve or maintain profitability. If we fail to become profitable or are unable to sustain profitability on a continuing basis, then we may be unable to continue our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operations at planned levels and be forced to reduce or terminate our operations. We cannot provide assurance that we will ever be profitable or generate positive cash flow from operating activities.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of key factors impacting the comparability of our performance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Stelios Therapeutics Inc. acquisition</w:t>
      </w:r>
    </w:p>
    <w:p>
      <w:pPr>
        <w:spacing w:after="0" w:line="15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On July 16, 2021, we purchased all of the issued and outstanding capital stock of Stelios Therapeutics, Inc., or Stelios, for initial cash consideration of $7.0 million, with payments of up to an additional $20.5 million due upon the achievement of the following milestones: clinical candidate selection for either the ACM or the TNNI3-associated programs; first patient dosed in a Phase 1 clinical trial for any product in our CX43 program; first patient dosed in a Phase 1 clinical trial for any product in our ACM program; or first patient dosed in a Phase 1 clinical trial for any candidate in our TNNI3 program. In the third quarter of 2022, a development milestone associated with a clinical candidate selection was achieved resulting in a $2.0 million payment to the selling shareholders of Stelios.</w:t>
      </w:r>
    </w:p>
    <w:p>
      <w:pPr>
        <w:spacing w:after="0" w:line="12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We accounted for the acquisition of Stelios as an asset acquisition pursuant to Financial Accounting Standards Board, or FASB, Accounting Standards Codification, or ASC, Section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acquired in-process research and development, or IPR&amp;D, assets from Stelios related to ACM and TNNI3-associated hypertrophic cardiomyopathy programs. Such programs relate to our development efforts for LX2020, LX2021 and LX2022. The fair value of the IPR&amp;D acquired of $7.0 million was charged to research and development expense as it had no alternative future use at the time of the acquisition. Stelios was merged into Lexeo Therapeutics, Inc. on December 15, 2022 and ceased to exist.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Note 3 to the audited consolidated financial statements appearing elsewhere in this prospectus for more information on the Stelios acquisition.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agreement</w:t>
      </w:r>
    </w:p>
    <w:p>
      <w:pPr>
        <w:spacing w:after="0" w:line="144"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In February 2022, we entered into a lease agreement for our New York headquarters located at 345 Park Avenue South, 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New York, NY 10010, pursuant to which we lease a total of approximately 15,839 square feet of office and laboratory space. The lease began in April 2022 and ends in July 2029 with an additional five-year option to extend at the then prevailing effective market rental rate. We accounted for this lease pursuant to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Upon commencement of this lease, we recorded operating lease right-of-use assets and operating lease liabilities of approximately $11.6 million based on the present value of payments over the lease term using an estimated incremental borrowing rate of 8.53%. In connection with this lease, we provided a security deposit to the landlord in the form of a letter of credit totaling $1.2 million.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5 to the audited consolidated financial statements appearing elsewhere in this prospectus for more information on this lease.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our results of operations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Our revenue to date has been comprised of grant revenue, which are amounts earned from performing contracted research and development services. These grants generally require us to meet certain research milestones in order to receive the funds. To date, we have not generated any revenue from product sales. If our development efforts for LX2006, LX1001, and LX2020 or any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Research and development expenses consist of costs incurred for our research activities, including our discovery efforts and the preclinical and clinical development of our programs. These expenses include:</w:t>
      </w:r>
    </w:p>
    <w:p>
      <w:pPr>
        <w:spacing w:after="0" w:line="103" w:lineRule="exact"/>
        <w:rPr>
          <w:sz w:val="20"/>
          <w:szCs w:val="20"/>
          <w:color w:val="auto"/>
        </w:rPr>
      </w:pPr>
    </w:p>
    <w:p>
      <w:pPr>
        <w:ind w:left="340" w:right="40" w:hanging="224"/>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02" w:lineRule="exact"/>
        <w:rPr>
          <w:rFonts w:ascii="Arial" w:cs="Arial" w:eastAsia="Arial" w:hAnsi="Arial"/>
          <w:sz w:val="18"/>
          <w:szCs w:val="18"/>
          <w:color w:val="auto"/>
        </w:rPr>
      </w:pPr>
    </w:p>
    <w:p>
      <w:pPr>
        <w:ind w:left="340" w:right="120" w:hanging="224"/>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clinical investigators, contractors and clinical research organizations, or CROs, that assist with (i) identification of potential product candidates in discovery platforms and (ii) the preclinical and clinical studies of our product candidates;</w:t>
      </w:r>
    </w:p>
    <w:p>
      <w:pPr>
        <w:spacing w:after="0" w:line="116" w:lineRule="exact"/>
        <w:rPr>
          <w:rFonts w:ascii="Arial" w:cs="Arial" w:eastAsia="Arial" w:hAnsi="Arial"/>
          <w:sz w:val="18"/>
          <w:szCs w:val="18"/>
          <w:color w:val="auto"/>
        </w:rPr>
      </w:pPr>
    </w:p>
    <w:p>
      <w:pPr>
        <w:ind w:left="340" w:right="160" w:hanging="224"/>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of developing and scaling our manufacturing process and manufacturing product candidates for use in our research, preclinical studies and clinical trials, including under agreements with third parties, such as consultants, contractors and CMOs;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to maintain compliance with FDA and other regulatory requirements;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payments made under our licensing agreements with third parties, including milestone payments;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14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expense research and development costs as incurred. Nonrefundable advance payments for goods and services that will be used in future research and development activities are expensed when the activity has been performed or when the goods have been received rather than when the payment is made. When third-party service providers’ billing terms do not coincide with our period-end, we are required to make estimates of our obligations to those third parties incurred in a given accounting period and record accruals at the end of the period. We base these estimates on our knowledge of the research and development programs, services performed for the period, past history for related activities and the expected duration of the third-party service contract, where applicable. If timelines or contracts are modified based upon changes in the scope of work to be performed, we modify our estimates of accrued expenses accordingly on a prospective basis; therefore, actual results could differ from our estimates.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pacing w:after="0" w:line="10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Our direct research and development expenses are tracked on a program-by-program basis and consist primarily of external costs, such as fees paid to CROs, CMOs, central laboratories and certain outside consultants in connection with our research and discovery, preclinical development, process development, manufacturing, clinical development, clinical trials, regulatory and quality assurance activities. We do not allocate professional services costs and licensing fees and other similar costs to specific programs because these costs are deployed across multiple programs.</w:t>
      </w:r>
    </w:p>
    <w:p>
      <w:pPr>
        <w:spacing w:after="0" w:line="9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Research and development activities are central to our business model and account for a significant portion of our operating expenses. Product candidates in later stages of clinical development generally have higher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development costs than those in earlier stages of clinical development, primarily due to the increased size and duration of later-stage clinical trials. As a result, we expect our research and development expenses to increase substantially in absolute dollars for the foreseeable future as we and further advance LX2006, LX2020, LX1001, and any other future product candidates that we may develop, into and through preclinical studies and clinical trials and pursue regulatory approvals.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research, preclinical studies and clinical trials, regulatory developments and our assessments as to each product candidate’s commercial potential. In addition, we cannot forecast whether any of our current or future product candidates will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our expenses. Our future expenses may vary significantly each period based on factors such as:</w:t>
      </w:r>
    </w:p>
    <w:p>
      <w:pPr>
        <w:spacing w:after="0" w:line="111" w:lineRule="exact"/>
        <w:rPr>
          <w:sz w:val="20"/>
          <w:szCs w:val="20"/>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investigational new IND-enabling toxicology studies;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our ongoing and planned clinical trials;</w:t>
      </w:r>
    </w:p>
    <w:p>
      <w:pPr>
        <w:spacing w:after="0" w:line="157" w:lineRule="exact"/>
        <w:rPr>
          <w:rFonts w:ascii="Arial" w:cs="Arial" w:eastAsia="Arial" w:hAnsi="Arial"/>
          <w:sz w:val="18"/>
          <w:szCs w:val="18"/>
          <w:color w:val="auto"/>
        </w:rPr>
      </w:pPr>
    </w:p>
    <w:p>
      <w:pPr>
        <w:ind w:left="340" w:right="280" w:hanging="224"/>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of our current and potential future collaborators;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therapeutics that can be used in our planned clinical trials and for commercial launch;</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commercializing our product candidates, if approved, whether alone or in collaboration with others;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profiles of our therapeutics following approval;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hiring and retaining key research and development personnel.</w:t>
      </w:r>
    </w:p>
    <w:p>
      <w:pPr>
        <w:spacing w:after="0" w:line="15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Any changes in the outcome of any of these variables could mean a significant change in the costs and timing associated with the development of our product candidates. We may never obtain regulatory approval for any of our product candidates, and, even if we do, drug commercialization takes several years and involves substantial cost.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personnel in executive, accounting, business development, legal, human resources and administrative functions. General and administrative expenses also include corporate facility costs not otherwise included in research and development expenses, depreciation and other expenses, which include direct or allocated expenses for rent and maintenance of facilities and insurance, not otherwise included in research and development expenses, as well as professional fees for legal, consulting, investor and public relations, accounting and audit services.</w:t>
      </w:r>
    </w:p>
    <w:p>
      <w:pPr>
        <w:spacing w:after="0" w:line="9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expect that our general and administrative expenses will increase significantly in the near-to-medium term as we incur additional expenses associated with operating as a public company, including increased expenses for insurance premiums and audit, legal, regulatory, and tax-related services associated with maintaining compliance with the rules and regulations of the Securities and Exchange Commission, or SEC, and standards applicable to companies listed on a national securities exchange, investor relations activities and other administrative and professional services. We also plan to increase our headcount to support the continued research and development of our programs and the growth of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(expense) includes net foreign exchange gains and (losses).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is primarily associated with our finance right of use asset equipment leases.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is related to interest earned from our investments in U.S. government money market funds.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Income taxes</w:t>
      </w:r>
    </w:p>
    <w:p>
      <w:pPr>
        <w:spacing w:after="0" w:line="15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Provision for income taxes consists of U.S. federal and state income taxes in which we conduct business. Since our inception, we have not recorded any income tax benefits for the net losses we have incurred in each year or for our research and development tax credits, as we believe, based upon the weight of available evidence, that it is more likely than not that all of our net operating loss, or NOL, carryforwards and tax credits will not be realized. Accordingly, we have recorded a full valuation allowance against our net deferred tax assets at June 30, 2023, December 31, 2022, June 30, 2022 and December 31, 2021. As of June 30, 2023, December 31, 2022, June 30, 2022 and December 31, 2021, we had no unrecognized tax benefits.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the three and six-months ended June 30, 2023 and 2022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three and six-months ended June 30,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9"/>
          </w:tcPr>
          <w:p>
            <w:pPr>
              <w:jc w:val="right"/>
              <w:ind w:right="220"/>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Pr>
          <w:p>
            <w:pPr>
              <w:spacing w:after="0"/>
              <w:rPr>
                <w:sz w:val="18"/>
                <w:szCs w:val="18"/>
                <w:color w:val="auto"/>
              </w:rPr>
            </w:pPr>
          </w:p>
        </w:tc>
        <w:tc>
          <w:tcPr>
            <w:tcW w:w="2340" w:type="dxa"/>
            <w:vAlign w:val="bottom"/>
            <w:gridSpan w:val="10"/>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r>
      <w:tr>
        <w:trPr>
          <w:trHeight w:val="202"/>
        </w:trPr>
        <w:tc>
          <w:tcPr>
            <w:tcW w:w="60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auto"/>
            </w:tcBorders>
          </w:tcPr>
          <w:p>
            <w:pPr>
              <w:spacing w:after="0"/>
              <w:rPr>
                <w:sz w:val="17"/>
                <w:szCs w:val="17"/>
                <w:color w:val="auto"/>
              </w:rPr>
            </w:pPr>
          </w:p>
        </w:tc>
      </w:tr>
      <w:tr>
        <w:trPr>
          <w:trHeight w:val="48"/>
        </w:trPr>
        <w:tc>
          <w:tcPr>
            <w:tcW w:w="6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Grant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r>
      <w:tr>
        <w:trPr>
          <w:trHeight w:val="27"/>
        </w:trPr>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12,267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22,413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5,261</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7"/>
        </w:trPr>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15,348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33,266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27,953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5,313</w:t>
            </w:r>
          </w:p>
        </w:tc>
        <w:tc>
          <w:tcPr>
            <w:tcW w:w="100" w:type="dxa"/>
            <w:vAlign w:val="bottom"/>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(13,975)</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(15,311)</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(33,266)</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(27,830)</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(5,436)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1,083</w:t>
            </w:r>
          </w:p>
        </w:tc>
        <w:tc>
          <w:tcPr>
            <w:tcW w:w="100" w:type="dxa"/>
            <w:vAlign w:val="bottom"/>
          </w:tcPr>
          <w:p>
            <w:pPr>
              <w:spacing w:after="0"/>
              <w:rPr>
                <w:sz w:val="18"/>
                <w:szCs w:val="18"/>
                <w:color w:val="auto"/>
              </w:rPr>
            </w:pPr>
          </w:p>
        </w:tc>
      </w:tr>
      <w:tr>
        <w:trPr>
          <w:trHeight w:val="27"/>
        </w:trPr>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982</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(13,441)</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(15,143)</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1,702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(32,099)</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(27,645)</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(4,454)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(13,441)</w:t>
            </w: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(15,143)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1,702</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(32,099)</w:t>
            </w:r>
          </w:p>
        </w:tc>
        <w:tc>
          <w:tcPr>
            <w:tcW w:w="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(27,645)</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(4,454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Grant revenue</w:t>
      </w:r>
    </w:p>
    <w:p>
      <w:pPr>
        <w:spacing w:after="0" w:line="158"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Grant revenue was $37,000 and $123,000 for the three and six-months ended June 30, 2022, respectively. We did not record any grant revenue for the three and six-months ended June 30, 2023. The decreases in grant revenue were due to the wind-down of the underlying grants, which were closed-out by the third quarter of 2022.</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for the three and six-months ended June 30,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9"/>
          </w:tcPr>
          <w:p>
            <w:pPr>
              <w:jc w:val="right"/>
              <w:ind w:right="241"/>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Pr>
          <w:p>
            <w:pPr>
              <w:spacing w:after="0"/>
              <w:rPr>
                <w:sz w:val="18"/>
                <w:szCs w:val="18"/>
                <w:color w:val="auto"/>
              </w:rPr>
            </w:pPr>
          </w:p>
        </w:tc>
        <w:tc>
          <w:tcPr>
            <w:tcW w:w="2320" w:type="dxa"/>
            <w:vAlign w:val="bottom"/>
            <w:gridSpan w:val="8"/>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r>
      <w:tr>
        <w:trPr>
          <w:trHeight w:val="202"/>
        </w:trPr>
        <w:tc>
          <w:tcPr>
            <w:tcW w:w="59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Change</w:t>
            </w:r>
          </w:p>
        </w:tc>
        <w:tc>
          <w:tcPr>
            <w:tcW w:w="3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auto"/>
            </w:tcBorders>
          </w:tcPr>
          <w:p>
            <w:pPr>
              <w:spacing w:after="0"/>
              <w:rPr>
                <w:sz w:val="17"/>
                <w:szCs w:val="17"/>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LX2020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w w:val="97"/>
              </w:rPr>
              <w:t>1,605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6,373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1,593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$ 4,780</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LX1001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LX2006</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780" w:type="dxa"/>
            <w:vAlign w:val="bottom"/>
            <w:gridSpan w:val="2"/>
          </w:tcPr>
          <w:p>
            <w:pPr>
              <w:jc w:val="right"/>
              <w:ind w:right="181"/>
              <w:spacing w:after="0"/>
              <w:rPr>
                <w:sz w:val="20"/>
                <w:szCs w:val="20"/>
                <w:color w:val="auto"/>
              </w:rPr>
            </w:pPr>
            <w:r>
              <w:rPr>
                <w:rFonts w:ascii="Arial" w:cs="Arial" w:eastAsia="Arial" w:hAnsi="Arial"/>
                <w:sz w:val="18"/>
                <w:szCs w:val="18"/>
                <w:color w:val="auto"/>
                <w:w w:val="87"/>
              </w:rPr>
              <w:t>(1,739)</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5,298</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4,815</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LX1004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780" w:type="dxa"/>
            <w:vAlign w:val="bottom"/>
            <w:gridSpan w:val="2"/>
          </w:tcPr>
          <w:p>
            <w:pPr>
              <w:jc w:val="right"/>
              <w:ind w:right="18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(840)</w:t>
            </w: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direct external research and development expenses by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(1,057)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13,448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$ 4,851</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 and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$ 1,739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360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Lab-related costs and supplies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unallocated</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8"/>
                <w:szCs w:val="18"/>
                <w:color w:val="auto"/>
              </w:rPr>
            </w:pPr>
          </w:p>
        </w:tc>
        <w:tc>
          <w:tcPr>
            <w:tcW w:w="780" w:type="dxa"/>
            <w:vAlign w:val="bottom"/>
            <w:gridSpan w:val="2"/>
          </w:tcPr>
          <w:p>
            <w:pPr>
              <w:jc w:val="right"/>
              <w:ind w:right="181"/>
              <w:spacing w:after="0"/>
              <w:rPr>
                <w:sz w:val="20"/>
                <w:szCs w:val="20"/>
                <w:color w:val="auto"/>
              </w:rPr>
            </w:pPr>
            <w:r>
              <w:rPr>
                <w:rFonts w:ascii="Arial" w:cs="Arial" w:eastAsia="Arial" w:hAnsi="Arial"/>
                <w:sz w:val="18"/>
                <w:szCs w:val="18"/>
                <w:color w:val="auto"/>
                <w:w w:val="87"/>
              </w:rPr>
              <w:t>(1,039)</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3,747</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unallocated research and development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11,236</w:t>
            </w: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7"/>
              </w:rPr>
              <w:t>12,267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7"/>
              </w:rPr>
              <w:t>27,674</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7"/>
              </w:rPr>
              <w:t>22,413</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$ 5,261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 external research and development expenses</w:t>
      </w:r>
    </w:p>
    <w:p>
      <w:pPr>
        <w:spacing w:after="0" w:line="13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net decrease of $1.1 million in direct external research and development expenses from the three months ended June 30, 2022 to the three months ended June 30, 2023 was primarily due to a decrease of $1.7 million in our FA cardiomyopathy product candidate (LX2006) program costs, which consisted mostly of a decrease in CMC expenses of $0.9 million primarily related to third-party GMP batch costs as well as a decrease of $0.8 million in clinical costs primarily related to clinical start up activities.</w:t>
      </w:r>
    </w:p>
    <w:p>
      <w:pPr>
        <w:spacing w:after="0" w:line="10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increase of $1.6 million in direct research and development expenses for our PKP2-ACM program (LX2020) from the three months ended June 30, 2023 consisted mostly of (i) CMC expenses of $0.7 million related to the development of our manufacturing processes at third-party vendors, (ii) non-clinical and pre-clinical expenses of $0.6 million related to the completion of our IND-enabling studies, and (iii) regulatory expenses of $0.2 million.</w:t>
      </w:r>
    </w:p>
    <w:p>
      <w:pPr>
        <w:spacing w:after="0" w:line="8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The increase of $0.2 million in direct research and development expenses for our APOE4-associated Alzheimer’s disease product candidate (LX1001) from the three months ended June 30, 2022 to the three months ended June 30, 2023 was primarily due to increases in clinical expenses of $0.8 million related to the ongoing Phase 1/2 clinical trial partially offset by a decrease in CMC expenses of $0.7 million primarily related to third-party GMP batch costs.</w:t>
      </w:r>
    </w:p>
    <w:p>
      <w:pPr>
        <w:spacing w:after="0" w:line="11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decrease of $0.4 million in direct external research and development expenses for our CLN2 Batten disease product candidate (LX1004) from the three months ended June 30, 2022 to the three months ended June 30, 2023 was primarily due to decreases in CMC expenses, including a vendor credit received during the three months ended June 30, 2023.</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Direct external research and development expenses for our other programs decreased by $0.7 million from the three months ended June 30, 2022 to the three months ended June 30, 2023, which was primarily attributable to a decrease in expenses for our early stage cardiovascular and central nervous system disease programs.</w:t>
      </w:r>
    </w:p>
    <w:p>
      <w:pPr>
        <w:spacing w:after="0" w:line="11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net increase of $4.9 million in direct external research and development expenses from the six months ended June 30, 2022 to the six months ended June 30, 2023 was primarily due to an increase in LX2020 program costs of $4.8 million, which consisted mostly of (i) CMC expenses of $2.4 million related to the development of our manufacturing processes at third-party vendors, (ii) non-clinical and pre-clinical expenses of $1.9 million related to the advancement of our LX2020 program through IND-enabling studies, and (iii) $0.4 million of clinical and regulatory expenses.</w:t>
      </w:r>
    </w:p>
    <w:p>
      <w:pPr>
        <w:spacing w:after="0" w:line="10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increase of $1.7 million in direct research and development expenses for our LX1001 program from the six months ended June 30, 2022 to the six months ended June 30, 2023 was primarily due to increases in clinical expenses of $2.9 million related to the ongoing Phase 1/2 clinical trial partially offset by a decrease in CMC expenses of $1.2 million primarily related to third-party GMP batch costs.</w:t>
      </w:r>
    </w:p>
    <w:p>
      <w:pPr>
        <w:spacing w:after="0" w:line="10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increase of $0.5 million in direct external research and development expenses for our LX2006 program from the six months ended June 30, 2022 to the six months ended June 30, 2023 was primarily due to the achievement of a development milestone in the first quarter of 2023 due to Adverum of $3.5 million, partially offset by a decrease in CMC expenses of $2.3 million primarily related to third-party GMP batch costs as well as a decrease of $0.7 million in clinical costs primarily related to clinical start up activities.</w:t>
      </w:r>
    </w:p>
    <w:p>
      <w:pPr>
        <w:spacing w:after="0" w:line="11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decrease of $1.3 million in direct external research and development expenses for our LX1004 program from the six months ended June 30, 2022 to the six months ended June 30, 2023 was primarily due to decreases in CMC expenses of $1.1 million and non-clinical expenses of $0.2 million.</w:t>
      </w:r>
    </w:p>
    <w:p>
      <w:pPr>
        <w:spacing w:after="0" w:line="5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Direct external research and development expenses for our other programs decreased by $0.8 million from the six months ended June 30, 2022 to the six months ended June 30, 2023, which was primarily attributable to a decrease in expenses for our early stage cardiovascular and central nervous system disease programs.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Unallocated research and development expenses</w:t>
      </w:r>
    </w:p>
    <w:p>
      <w:pPr>
        <w:spacing w:after="0" w:line="15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net decrease of $0.1 million in unallocated research and development expenses from the three months ended June 30, 2022 to the three months ended June 30, 2023 was primarily due to decreased other non-allocable expenses of $1.1 million, which was partially offset by (i) increased employee compensation and stock-based compensation expense of $0.9 million due to increased headcount, and (ii) $0.2 million related to lab-related costs and supplies associated with our New York City office and laboratory lease that commenced in April 2022.</w:t>
      </w:r>
    </w:p>
    <w:p>
      <w:pPr>
        <w:spacing w:after="0" w:line="9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net increase of $0.4 million in unallocated research and development expenses from the six months ended June 30, 2022 to the six months ended June 30, 2023 was primarily due to (i) increased employee compensation and stock-based compensation expense of $1.7 million due to increased headcount, (ii) $0.4 million related to increased professional fees and consulting expenses, and (iii) $0.4 million related to lab-related costs and supplies associated with our New York City office and laboratory lease that commenced in April 2022, which were partially offset by a decrease of $2.1 million related to non-allocable expenses.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General and administrative expenses were $3.0 million for the three months ended June 30, 2022 compared to $2.7 million for the three months ended June 30, 2023. The decrease of $0.3 million was primarily due to decreases professional services and consulting fees primarily due to less third-party accounting, legal and human resource costs.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General and administrative expenses were $5.5 million for the six months ended June 30, 2022 compared to $5.6 million for the six months ended June 30, 2023. The increase of $0.1 million was primarily due to increases in (i) employee compensation and stock-based compensation expense of $0.6 million due to increased headcount and (ii) rent and facility expenses of $0.2 million as our New York City office and laboratory lease commenced in April 2022, which were partially offset by decreases in third-party accounting and legal fees of $0.6 million.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recognized interest income of $0.2 million and $0.6 million for the three months ended June 30, 2022 and June 30, 2023, respectively, and $0.2 million and $1.3 million for the six months ended June 30, 2022 and June 30, 2023, respectively, related to interest earned on our investment in a U.S. government money market fund, with increased interest rates on such money market fund investment earned over those periods.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the years ended December 31, 2022 and 2021</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8"/>
          </w:tcPr>
          <w:p>
            <w:pPr>
              <w:jc w:val="right"/>
              <w:ind w:right="120"/>
              <w:spacing w:after="0"/>
              <w:rPr>
                <w:sz w:val="20"/>
                <w:szCs w:val="20"/>
                <w:color w:val="auto"/>
              </w:rPr>
            </w:pPr>
            <w:r>
              <w:rPr>
                <w:rFonts w:ascii="Arial" w:cs="Arial" w:eastAsia="Arial" w:hAnsi="Arial"/>
                <w:sz w:val="16"/>
                <w:szCs w:val="16"/>
                <w:b w:val="1"/>
                <w:bCs w:val="1"/>
                <w:color w:val="auto"/>
                <w:w w:val="90"/>
              </w:rPr>
              <w:t>Years Ended December 31,</w:t>
            </w:r>
          </w:p>
        </w:tc>
      </w:tr>
      <w:tr>
        <w:trPr>
          <w:trHeight w:val="202"/>
        </w:trPr>
        <w:tc>
          <w:tcPr>
            <w:tcW w:w="83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Borders>
              <w:bottom w:val="single" w:sz="8" w:color="auto"/>
            </w:tcBorders>
          </w:tcPr>
          <w:p>
            <w:pPr>
              <w:spacing w:after="0"/>
              <w:rPr>
                <w:sz w:val="17"/>
                <w:szCs w:val="17"/>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Grant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39"/>
              <w:spacing w:after="0"/>
              <w:rPr>
                <w:sz w:val="20"/>
                <w:szCs w:val="20"/>
                <w:color w:val="auto"/>
              </w:rPr>
            </w:pPr>
            <w:r>
              <w:rPr>
                <w:rFonts w:ascii="Arial" w:cs="Arial" w:eastAsia="Arial" w:hAnsi="Arial"/>
                <w:sz w:val="18"/>
                <w:szCs w:val="18"/>
                <w:color w:val="auto"/>
              </w:rPr>
              <w:t>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(1,003)</w:t>
            </w: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8"/>
              </w:rPr>
              <w:t>49,162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45,121</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w w:val="98"/>
              </w:rPr>
              <w:t>12,001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8"/>
              </w:rPr>
              <w:t>61,163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52,294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8,869</w:t>
            </w:r>
          </w:p>
        </w:tc>
        <w:tc>
          <w:tcPr>
            <w:tcW w:w="100" w:type="dxa"/>
            <w:vAlign w:val="bottom"/>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8"/>
                <w:szCs w:val="18"/>
                <w:color w:val="auto"/>
                <w:w w:val="89"/>
              </w:rPr>
              <w:t>(60,509)</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(50,637)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(9,872)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80" w:type="dxa"/>
            <w:vAlign w:val="bottom"/>
            <w:gridSpan w:val="2"/>
          </w:tcPr>
          <w:p>
            <w:pPr>
              <w:jc w:val="right"/>
              <w:ind w:right="17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179"/>
              <w:spacing w:after="0"/>
              <w:rPr>
                <w:sz w:val="20"/>
                <w:szCs w:val="20"/>
                <w:color w:val="auto"/>
              </w:rPr>
            </w:pPr>
            <w:r>
              <w:rPr>
                <w:rFonts w:ascii="Arial" w:cs="Arial" w:eastAsia="Arial" w:hAnsi="Arial"/>
                <w:sz w:val="18"/>
                <w:szCs w:val="18"/>
                <w:color w:val="auto"/>
                <w:w w:val="89"/>
              </w:rPr>
              <w:t>(59,277)</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(50,622)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79"/>
              <w:spacing w:after="0"/>
              <w:rPr>
                <w:sz w:val="20"/>
                <w:szCs w:val="20"/>
                <w:color w:val="auto"/>
              </w:rPr>
            </w:pPr>
            <w:r>
              <w:rPr>
                <w:rFonts w:ascii="Arial" w:cs="Arial" w:eastAsia="Arial" w:hAnsi="Arial"/>
                <w:sz w:val="18"/>
                <w:szCs w:val="18"/>
                <w:color w:val="auto"/>
                <w:w w:val="89"/>
              </w:rPr>
              <w:t>(59,277)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(50,622)</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(8,655)</w:t>
            </w: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Grant revenue</w:t>
      </w:r>
    </w:p>
    <w:p>
      <w:pPr>
        <w:spacing w:after="0" w:line="144"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Grant revenue was $1.7 million for the year ended December 31, 2021 compared to $0.7 million for the year ended December 31, 2022. The decrease of $1.0 million was primarily due to the wind-down of the underlying grants, which were closed-out by the third quarter of 2022.</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our research and development expenses incurred for the years ended December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9"/>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r>
      <w:tr>
        <w:trPr>
          <w:trHeight w:val="202"/>
        </w:trPr>
        <w:tc>
          <w:tcPr>
            <w:tcW w:w="85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auto"/>
            </w:tcBorders>
          </w:tcPr>
          <w:p>
            <w:pPr>
              <w:spacing w:after="0"/>
              <w:rPr>
                <w:sz w:val="17"/>
                <w:szCs w:val="17"/>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LX2020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8,551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LX1001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LX2006</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10,499</w:t>
            </w: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(2,908)</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LX1004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4,341</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(2,558)</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8"/>
                <w:szCs w:val="18"/>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direct external research and development expenses by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19,616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11,140</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 and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(555)</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Lab-related costs and supplies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License fees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(855)</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Adverum up-front fee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(7,500)</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Stelios acquisition</w:t>
            </w: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(7,000)</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unallocated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Total unallocated research and development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18,406</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25,505</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49,162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45,121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3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Research and development expenses were $45.1 million for the year ended December 31, 2021 compared to $49.2 million for the year ended December 31, 2022. The increase of $4.0 million was primarily due to a net increase of $11.1 million in direct external research and development program expenses, which was partially offset by a $7.1 million net decrease in unallocated research and development expenses.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 external research and development expenses</w:t>
      </w:r>
    </w:p>
    <w:p>
      <w:pPr>
        <w:spacing w:after="0" w:line="15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net increase of $11.1 million in direct external research and development expenses was primarily due to an increase in PKP2-ACM program (LX2020) costs of $8.5 million during the year ended December 31, 2022, which consisted mostly of (i) CMC expenses of $3.8 million related to the development of our manufacturing processes at third-party vendors, (ii) a $2.0 million milestone payment to the selling shareholders of Stelios, for a development milestone achieved in the third quarter of 2022, and (iii) non-clinical and pre-clinical expenses of $2.7 million related to the advancement of our LX2020 program into IND-enabling studies. We did not incur significant direct external research and development expenses for our LX2020 program during the year ended December 31, 2021.</w:t>
      </w:r>
    </w:p>
    <w:p>
      <w:pPr>
        <w:spacing w:after="0" w:line="11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increase of $3.1 million in direct research and development expenses for our APOE4-associated Alzheimer’s disease product candidate (LX1001) was primarily due to increases in CMC expenses of $2.3 million primarily related to third-party GMP batch costs and clinical expenses of $0.7 million related to the ongoing Phase 1/2 clinical trial.</w:t>
      </w:r>
    </w:p>
    <w:p>
      <w:pPr>
        <w:spacing w:after="0" w:line="11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decrease of $2.9 million in direct external research and development expenses for our FA cardiomyopathy product candidate (LX2006) was primarily due to a decrease in non-clinical expenses of $6.6 million related to the completion of IND-enabling activities in 2021, which was partially offset by increases in clinical expenses of $2.4 million related to the initiation of the ongoing Phase 1/2 clinical trial and CMC expenses of $1.2 million primarily related to third-party GMP batch costs.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decrease of $2.6 million in direct external research and development expenses for our CLN2 Batten disease product candidate (LX1004) was primarily due to decreases in CMC expenses of $1.6 million and non-clinical expenses of $1.1 million.</w:t>
      </w:r>
    </w:p>
    <w:p>
      <w:pPr>
        <w:spacing w:after="0" w:line="103"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Direct external research and development expenses for our other programs increased by $5.1 million during the year ended December 31, 2022, which was primarily attributable to pre-clinical and non-clinical expenses for our early stage cardiovascular and central nervous system disease programs. We did not incur significant direct external research and development expenses for our other programs for the year ended December 31, 2021.</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Unallocated research and development expenses</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net decrease of $7.1 million in unallocated research and development expenses was primarily due to a $7.5 million upfront fee paid to Adverum to in-license materials and technology in 2021 and $7.0 million paid for the Stelios acquisition in 2021. These decreases were partially offset by increases in (i) employee compensation and stock-based compensation expense of $6.5 million due to increased headcount, and (ii) $1.3 million of other expenses primarily related to rent and facilities costs and lab-related costs and supplies of $1.0 million, which were associated with our New York City office and laboratory lease that commenced in April 2022.</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General and administrative expenses were $7.2 million for the year ended December 31, 2021 compared to $12.0 million for the year ended December 31, 2022. The increase of $4.8 million was primarily due to increases in (i) employee compensation and stock-based compensation expense of $2.1 million due to increased headcount, (ii) rent and facility expenses of $1.0 million as our New York City office and laboratory lease commenced in April 2022, and (iii) nonrecurring legal, finance and accounting, consulting and professional fees of $0.9 million.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recognized interest income of $1.3 million for the year ended December 31, 2022 related to interest earned on our investments in U.S. government money market funds.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Sources of liquidity</w:t>
      </w:r>
    </w:p>
    <w:p>
      <w:pPr>
        <w:spacing w:after="0" w:line="13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We expect to incur significant expenses and operating losses for the foreseeable future as we advance the clinical development of our product candidates. Since our inception through June 30, 2023, we have funded our operations primarily with net proceeds from sales of our convertible preferred stock and Convertible Securities Agreements of $183.7 million. As of June 30, 2023, we had cash and cash equivalents of $45.5 million.</w:t>
      </w:r>
    </w:p>
    <w:p>
      <w:pPr>
        <w:spacing w:after="0" w:line="90"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Based on our current operating plans, we expect the net proceeds from this offering, together with our existing cash and cash equivalents, will be sufficient to fund our planned operating expenses and capital expenditure requirements into the second quarter of 2026. Our total future capital requirements will depend on many factors and is subject to the risks and uncertainties set forth in the section titled “Risk Factors.” Our development plans may be revised, and our estimated use of proceeds may be impacted.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Cash flows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our sources and uses of cash for the six months ended June 30, 2023 and June 30, 2022 (unaudited,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9"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Six Months Ended June 30,</w:t>
      </w:r>
    </w:p>
    <w:p>
      <w:pPr>
        <w:spacing w:after="0" w:line="32" w:lineRule="exact"/>
        <w:rPr>
          <w:sz w:val="20"/>
          <w:szCs w:val="20"/>
          <w:color w:val="auto"/>
        </w:rPr>
      </w:pPr>
    </w:p>
    <w:p>
      <w:pPr>
        <w:jc w:val="both"/>
        <w:ind w:left="8780"/>
        <w:spacing w:after="0"/>
        <w:tabs>
          <w:tab w:leader="none" w:pos="103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-116205</wp:posOffset>
            </wp:positionV>
            <wp:extent cx="1568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6" w:lineRule="exact"/>
        <w:rPr>
          <w:sz w:val="20"/>
          <w:szCs w:val="20"/>
          <w:color w:val="auto"/>
        </w:rPr>
      </w:pPr>
    </w:p>
    <w:p>
      <w:pPr>
        <w:jc w:val="both"/>
        <w:ind w:left="9100"/>
        <w:spacing w:after="0"/>
        <w:tabs>
          <w:tab w:leader="none" w:pos="1068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(31,566)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(26,145)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305</w:t>
            </w:r>
          </w:p>
        </w:tc>
      </w:tr>
      <w:tr>
        <w:trPr>
          <w:trHeight w:val="223"/>
        </w:trPr>
        <w:tc>
          <w:tcPr>
            <w:tcW w:w="8440" w:type="dxa"/>
            <w:vAlign w:val="bottom"/>
          </w:tcPr>
          <w:p>
            <w:pPr>
              <w:ind w:left="180"/>
              <w:spacing w:after="0"/>
              <w:rPr>
                <w:sz w:val="20"/>
                <w:szCs w:val="20"/>
                <w:color w:val="auto"/>
              </w:rPr>
            </w:pPr>
            <w:r>
              <w:rPr>
                <w:rFonts w:ascii="Arial" w:cs="Arial" w:eastAsia="Arial" w:hAnsi="Arial"/>
                <w:sz w:val="18"/>
                <w:szCs w:val="18"/>
                <w:color w:val="auto"/>
              </w:rPr>
              <w:t>Net decrease in cash</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(31,797)</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8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bl>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the six months ended June 30, 2022, net cash used in operating activities consisted primarily of our net loss of $27.6 million, which was partially offset by $0.8 million in stock-based compensation expense, $0.4 million in depreciation and amortization of operating and finance right-of-use assets, and $0.3 million in net cash provided by changes in operating assets and liabilities.</w:t>
      </w:r>
    </w:p>
    <w:p>
      <w:pPr>
        <w:spacing w:after="0" w:line="11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During the six months ended June 30, 2023, net cash used in operating activities consisted primarily of our net loss of $32.1 million and $1.7 million in net cash used by changes in operating assets and liabilities, which were partially offset by $1.4 million in stock-based compensation expense and $0.9 million in depreciation and amortization of our right- of-use assets for our operating and finance leases.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During the six months ended June 30, 2022, net cash used in investing activities was $0.4 million and consisted of purchases of lab equipment and internal use software.</w:t>
      </w:r>
    </w:p>
    <w:p>
      <w:pPr>
        <w:spacing w:after="0" w:line="8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the six months ended June 30, 2023, net cash used in investing activities of approximately $39,000 consisted of purchases of lab equipment and internal use software.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During the six months ended June 30, 2022, net cash provided by financing activities consisted primarily of $0.3 million of proceeds received from the exercise of stock options.</w:t>
      </w:r>
    </w:p>
    <w:p>
      <w:pPr>
        <w:spacing w:after="0" w:line="10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During the six months ended June 30, 2023, net cash used in financing activities consisted primarily of $0.2 million of principal payments made on equipment finance leases.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the years ended December 31, 2022 and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4"/>
              </w:rPr>
              <w:t>Years Ended</w:t>
            </w:r>
          </w:p>
        </w:tc>
      </w:tr>
      <w:tr>
        <w:trPr>
          <w:trHeight w:val="210"/>
        </w:trPr>
        <w:tc>
          <w:tcPr>
            <w:tcW w:w="4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88"/>
              </w:rPr>
              <w:t>December 31,</w:t>
            </w:r>
          </w:p>
        </w:tc>
      </w:tr>
      <w:tr>
        <w:trPr>
          <w:trHeight w:val="202"/>
        </w:trPr>
        <w:tc>
          <w:tcPr>
            <w:tcW w:w="416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$(54,560)</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(44,182)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800" w:type="dxa"/>
            <w:vAlign w:val="bottom"/>
            <w:gridSpan w:val="3"/>
          </w:tcPr>
          <w:p>
            <w:pPr>
              <w:jc w:val="right"/>
              <w:spacing w:after="0"/>
              <w:rPr>
                <w:sz w:val="20"/>
                <w:szCs w:val="20"/>
                <w:color w:val="auto"/>
              </w:rPr>
            </w:pPr>
            <w:r>
              <w:rPr>
                <w:rFonts w:ascii="Arial" w:cs="Arial" w:eastAsia="Arial" w:hAnsi="Arial"/>
                <w:sz w:val="18"/>
                <w:szCs w:val="18"/>
                <w:color w:val="auto"/>
              </w:rPr>
              <w:t>(901)</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150,857</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Net increase (decrease) in cash</w:t>
            </w:r>
          </w:p>
        </w:tc>
        <w:tc>
          <w:tcPr>
            <w:tcW w:w="50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(55,272)</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416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72"/>
        </w:trPr>
        <w:tc>
          <w:tcPr>
            <w:tcW w:w="4160" w:type="dxa"/>
            <w:vAlign w:val="bottom"/>
          </w:tcPr>
          <w:p>
            <w:pPr>
              <w:spacing w:after="0"/>
              <w:rPr>
                <w:sz w:val="24"/>
                <w:szCs w:val="24"/>
                <w:color w:val="auto"/>
              </w:rPr>
            </w:pPr>
          </w:p>
        </w:tc>
        <w:tc>
          <w:tcPr>
            <w:tcW w:w="5060" w:type="dxa"/>
            <w:vAlign w:val="bottom"/>
          </w:tcPr>
          <w:p>
            <w:pPr>
              <w:jc w:val="right"/>
              <w:ind w:right="349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During the year ended December 31, 2021, net cash used in operating activities consisted primarily of our net loss of $50.6 million, partially offset by (i) $6.0 million in net cash provided by changes in operating assets and liabilities and (ii) $0.4 million in stock-based compensation expense.</w:t>
      </w:r>
    </w:p>
    <w:p>
      <w:pPr>
        <w:spacing w:after="0" w:line="7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the year ended December 31, 2022, net cash used in operating activities consisted primarily of our net loss of $59.3 million, partially offset by (i) $1.8 million in stock-based compensation expense, (ii) $1.8 million in net cash provided by changes in operating assets and liabilities, and (iii) $1.0 million in amortization of our right-of-use assets for our operating and finance leases.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the year ended December 31, 2021, net cash used in investing activities was $0.2 million and consisted of the purchase of lab equipment.</w:t>
      </w:r>
    </w:p>
    <w:p>
      <w:pPr>
        <w:spacing w:after="0" w:line="15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During the year ended December 31, 2022, net cash used in investing activities was $0.9 million and consisted of the purchase of lab equipment and internal use software.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During the year ended December 31, 2021, net cash provided by financing activities consisted primarily of $151.1 million gross proceeds from the issuance of shares of Series A convertible preferred stock and shares of Series B convertible preferred stock, as well as proceeds from the exercise of stock options of $0.2 million, partially offset by $0.3 million of issuance costs.</w:t>
      </w:r>
    </w:p>
    <w:p>
      <w:pPr>
        <w:spacing w:after="0" w:line="11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During the year ended December 31, 2022, net cash provided by financing activities consisted primarily of proceeds from the exercise of stock options of $0.3 million, partially offset by $0.2 million of principal payments made on equipment finance leases.</w:t>
      </w:r>
    </w:p>
    <w:p>
      <w:pPr>
        <w:spacing w:after="0" w:line="103"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Our primary uses of cash are to fund our clinical trials, research and development activities related to our discovery programs and our preclinical and clinical product candidates, hiring personnel, raising capital and providing general and administrative support for these operations.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expect our expenses and capital requirements to increase significantly in connection with our ongoing activities, particularly as we advance our lead product candidates and other development programs. Further, following the completion of this offering, we expect to incur additional costs associated with operating as a public company. Accordingly, we will require substantial additional funding to support our continuing operations.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timing and amount of our future operating and capital requirements will largely depend on many factors, including:</w:t>
      </w:r>
    </w:p>
    <w:p>
      <w:pPr>
        <w:spacing w:after="0" w:line="158" w:lineRule="exact"/>
        <w:rPr>
          <w:sz w:val="20"/>
          <w:szCs w:val="20"/>
          <w:color w:val="auto"/>
        </w:rPr>
      </w:pPr>
    </w:p>
    <w:p>
      <w:pPr>
        <w:ind w:left="340" w:right="200" w:hanging="224"/>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product discovery, preclinical studies and clinical trials for our product candidates or any future candidates we may develop;</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maintain our relationships with Weill Cornell Medicine, Adverum, UCSD, and any other key licensors or collaborators;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40" w:hanging="224"/>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regulatory approvals from the FDA and comparable foreign regulatory authorities, including the potential for such authorities to require that we perform more preclinical studies or clinical trials than those that we currently expect or change their requirements on studies that had previously been agreed to;</w:t>
      </w:r>
    </w:p>
    <w:p>
      <w:pPr>
        <w:spacing w:after="0" w:line="116"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57"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have or may enter into;</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collaboration agreements, if any;</w:t>
      </w:r>
    </w:p>
    <w:p>
      <w:pPr>
        <w:spacing w:after="0" w:line="169" w:lineRule="exact"/>
        <w:rPr>
          <w:rFonts w:ascii="Arial" w:cs="Arial" w:eastAsia="Arial" w:hAnsi="Arial"/>
          <w:sz w:val="17"/>
          <w:szCs w:val="17"/>
          <w:color w:val="auto"/>
        </w:rPr>
      </w:pPr>
    </w:p>
    <w:p>
      <w:pPr>
        <w:ind w:left="340" w:right="580" w:hanging="224"/>
        <w:spacing w:after="0" w:line="342"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costs to establish, maintain, expand, enforce and defend the scope of our intellectual property portfolio, including preparing, filing and prosecuting patent applications, maintaining and enforcing our intellectual property rights and defending intellectual property-related claims;</w:t>
      </w:r>
    </w:p>
    <w:p>
      <w:pPr>
        <w:spacing w:after="0" w:line="56" w:lineRule="exact"/>
        <w:rPr>
          <w:rFonts w:ascii="Arial" w:cs="Arial" w:eastAsia="Arial" w:hAnsi="Arial"/>
          <w:sz w:val="16"/>
          <w:szCs w:val="16"/>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approvals to market our product candidates; and</w:t>
      </w:r>
    </w:p>
    <w:p>
      <w:pPr>
        <w:spacing w:after="0" w:line="180" w:lineRule="exact"/>
        <w:rPr>
          <w:rFonts w:ascii="Arial" w:cs="Arial" w:eastAsia="Arial" w:hAnsi="Arial"/>
          <w:sz w:val="16"/>
          <w:szCs w:val="16"/>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5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regulatory approval and commercialize our product candidates.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12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Until such time, if ever, as we can generate significant revenue from product sales or other sources, we expect to finance our operations through the sale of equity, debt financings, or other capital sources, which could include proceeds from potential collaborations, strategic partnerships or marketing, distribution, licensing or other similar arrangements with third parties. See the “Business” for a discussion of our material license agreements and sponsored research agreements for further information regarding milestone and royalty payments we may be obligated to make in the future.</w:t>
      </w:r>
    </w:p>
    <w:p>
      <w:pPr>
        <w:spacing w:after="0" w:line="7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may be unable to raise additional funds or enter into such agreements or arrangements on favorable terms, or at all. Both the COVID-19 pandemic and the Russia-Ukraine war resulted in a significant disruption of global financial markets and contributed to a general global economic slowdown. If the disruption persists and deepens, whether as a result of these events or otherwise, we could experience an inability to access additional capital.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fail to raise capital or enter into such agreements as, and when, needed, we may have to significantly delay, scale back or discontinue the development or commercialization of our product candidates or grant rights to develop and market product candidates that we would otherwise prefer to develop and market ourselves.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Known trends, events and uncertainties</w:t>
      </w:r>
    </w:p>
    <w:p>
      <w:pPr>
        <w:spacing w:after="0" w:line="13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continue to actively monitor the impact of various macroeconomic trends, such as high rates of inflation, supply chain disruptions and geopolitical instability caused by the Russian-Ukrainian war.</w:t>
      </w:r>
    </w:p>
    <w:p>
      <w:pPr>
        <w:spacing w:after="0" w:line="103"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The recent trends towards rising inflation may materially affect our business and corresponding financial position and cash flows. Inflationary factors, such as increases in the cost of our clinical trial materials and supplies, interest rates and overhead costs may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our operations. We may experience increases in our operating costs, including our labor costs and research and development costs, due to supply chain constraints, consequences associated with COVID-19 and the ongoing conflict between Russia and Ukraine, and employee availability and wage increases, which may result in additional stress on our working capital resources.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significant judgements and estimates</w:t>
      </w:r>
    </w:p>
    <w:p>
      <w:pPr>
        <w:spacing w:after="0" w:line="12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5"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audited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accrued expenses as of each balance sheet date in the consolidated financial statements based on facts and circumstances known to us at that time. At each period end, we corroborate the accuracy of these estimates with the service providers and make adjustments, if necessary. Examples of estimated accrued research and development expenses include those related to fees paid to:</w:t>
      </w:r>
    </w:p>
    <w:p>
      <w:pPr>
        <w:spacing w:after="0" w:line="116" w:lineRule="exact"/>
        <w:rPr>
          <w:sz w:val="20"/>
          <w:szCs w:val="20"/>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vendors in connection with discovery and preclinical development activities;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CROs in connection with preclinical studies and testing;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CMOs in connection with the process development and scale up activities and the production of materials.</w:t>
      </w:r>
    </w:p>
    <w:p>
      <w:pPr>
        <w:spacing w:after="0" w:line="1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contracts; communication from the CROs, CMOs,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however, we cannot guarantee that such adjustments will not be made in the future.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58"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w:t>
      </w:r>
    </w:p>
    <w:p>
      <w:pPr>
        <w:spacing w:after="0" w:line="1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common stock valuations were prepared using either an option pricing method, or OPM, or a hybrid method of OPM and probability-weighted expected return method, or PWERM. Both the OPM and hybrid methods use market approaches to estimate our enterprise value. These third-party valuations were performed at various dates, which resulted in valuations of our common stock of $14.62 as of December 17, 2021, $15.15 as of February 15, 2022, $17.59 as of February 14, 2023, and $11.02 as of June 23, 2023. In addition to considering the results of these third-party valuations, our board of directors considered various objective and subjective factors to determine the fair value of our common stock as of each grant date, including:</w:t>
      </w:r>
    </w:p>
    <w:p>
      <w:pPr>
        <w:spacing w:after="0" w:line="125" w:lineRule="exact"/>
        <w:rPr>
          <w:sz w:val="20"/>
          <w:szCs w:val="20"/>
          <w:color w:val="auto"/>
        </w:rPr>
      </w:pPr>
    </w:p>
    <w:p>
      <w:pPr>
        <w:ind w:left="340" w:hanging="224"/>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and results of preclinical studies for our product candidates;</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57"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changes to the key assumptions underlying the factors used could have resulted in different fair values of common stock at each valuation date;</w:t>
      </w:r>
    </w:p>
    <w:p>
      <w:pPr>
        <w:spacing w:after="0" w:line="102" w:lineRule="exact"/>
        <w:rPr>
          <w:rFonts w:ascii="Arial" w:cs="Arial" w:eastAsia="Arial" w:hAnsi="Arial"/>
          <w:sz w:val="18"/>
          <w:szCs w:val="18"/>
          <w:color w:val="auto"/>
        </w:rPr>
      </w:pPr>
    </w:p>
    <w:p>
      <w:pPr>
        <w:ind w:left="340" w:hanging="224"/>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our company in light of prevailing market conditions;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therapeutics industry.</w:t>
      </w:r>
    </w:p>
    <w:p>
      <w:pPr>
        <w:spacing w:after="0" w:line="15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16" w:lineRule="exact"/>
        <w:rPr>
          <w:sz w:val="20"/>
          <w:szCs w:val="20"/>
          <w:color w:val="auto"/>
        </w:rPr>
      </w:pPr>
    </w:p>
    <w:p>
      <w:pPr>
        <w:ind w:left="120" w:right="420"/>
        <w:spacing w:after="0" w:line="287"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30"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recognize share-based compensation expense related to stock option awards granted based on the estimated fair value of the awards on the date of grant using a Black-Scholes option pricing model. The grant date fair value of the share-based awards is recognized on a straight-line basis over the requisite service period, which is the vesting period of the respective awards. Share-based payments to non-employees issued in exchange for services are based upon the fair value of the equity instruments issued. Compensation expense for stock options issued to non-employees is calculated using the Black-Scholes option pricing model and is recorded over the requisite service performance period.</w:t>
      </w:r>
    </w:p>
    <w:p>
      <w:pPr>
        <w:spacing w:after="0" w:line="1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which are used to determine the fair value stock option awards granted. These assumptions include:</w:t>
      </w:r>
    </w:p>
    <w:p>
      <w:pPr>
        <w:spacing w:after="0" w:line="1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our stock option awards granted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8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do not have any trading history for our shares of common stock, the expected volatility is estimated using averages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our peer group of companies for a period equal to the expected life of the stock options granted. Our peer group of publicly traded companies was chosen based on their similar size, stage in the life cycle or area of specialty.</w:t>
      </w:r>
    </w:p>
    <w:p>
      <w:pPr>
        <w:spacing w:after="0" w:line="11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interest rates paid on securities issued by the U.S. Treasury with a term approximating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life of stock options granted.</w:t>
      </w:r>
    </w:p>
    <w:p>
      <w:pPr>
        <w:spacing w:after="0" w:line="10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We have never paid, and do not anticipate paying, cash dividends on our shares of common stock. Therefore, the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was assumed to be zero.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following table summarizes by grant date the number of shares subject to options granted from January 1, 2022 through the date of this prospectus, the per share exercise price of the options, the per share fair value of our common stock on each grant date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Per</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Share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of</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7"/>
                <w:szCs w:val="17"/>
                <w:color w:val="auto"/>
              </w:rPr>
            </w:pPr>
          </w:p>
        </w:tc>
        <w:tc>
          <w:tcPr>
            <w:tcW w:w="640" w:type="dxa"/>
            <w:vAlign w:val="bottom"/>
          </w:tcPr>
          <w:p>
            <w:pPr>
              <w:jc w:val="right"/>
              <w:ind w:right="92"/>
              <w:spacing w:after="0"/>
              <w:rPr>
                <w:sz w:val="20"/>
                <w:szCs w:val="20"/>
                <w:color w:val="auto"/>
              </w:rPr>
            </w:pPr>
            <w:r>
              <w:rPr>
                <w:rFonts w:ascii="Arial" w:cs="Arial" w:eastAsia="Arial" w:hAnsi="Arial"/>
                <w:sz w:val="16"/>
                <w:szCs w:val="16"/>
                <w:b w:val="1"/>
                <w:bCs w:val="1"/>
                <w:color w:val="auto"/>
              </w:rPr>
              <w:t>Per</w:t>
            </w:r>
          </w:p>
        </w:tc>
        <w:tc>
          <w:tcPr>
            <w:tcW w:w="1020" w:type="dxa"/>
            <w:vAlign w:val="bottom"/>
            <w:gridSpan w:val="2"/>
          </w:tcPr>
          <w:p>
            <w:pPr>
              <w:jc w:val="right"/>
              <w:ind w:right="93"/>
              <w:spacing w:after="0"/>
              <w:rPr>
                <w:sz w:val="20"/>
                <w:szCs w:val="20"/>
                <w:color w:val="auto"/>
              </w:rPr>
            </w:pPr>
            <w:r>
              <w:rPr>
                <w:rFonts w:ascii="Arial" w:cs="Arial" w:eastAsia="Arial" w:hAnsi="Arial"/>
                <w:sz w:val="16"/>
                <w:szCs w:val="16"/>
                <w:b w:val="1"/>
                <w:bCs w:val="1"/>
                <w:color w:val="auto"/>
              </w:rPr>
              <w:t>Value of</w:t>
            </w:r>
          </w:p>
        </w:tc>
        <w:tc>
          <w:tcPr>
            <w:tcW w:w="960" w:type="dxa"/>
            <w:vAlign w:val="bottom"/>
            <w:gridSpan w:val="3"/>
          </w:tcPr>
          <w:p>
            <w:pPr>
              <w:ind w:left="220"/>
              <w:spacing w:after="0"/>
              <w:rPr>
                <w:sz w:val="20"/>
                <w:szCs w:val="20"/>
                <w:color w:val="auto"/>
              </w:rPr>
            </w:pPr>
            <w:r>
              <w:rPr>
                <w:rFonts w:ascii="Arial" w:cs="Arial" w:eastAsia="Arial" w:hAnsi="Arial"/>
                <w:sz w:val="16"/>
                <w:szCs w:val="16"/>
                <w:b w:val="1"/>
                <w:bCs w:val="1"/>
                <w:color w:val="auto"/>
                <w:w w:val="96"/>
              </w:rPr>
              <w:t>Per Share</w:t>
            </w: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Subject</w:t>
            </w:r>
          </w:p>
        </w:tc>
        <w:tc>
          <w:tcPr>
            <w:tcW w:w="340" w:type="dxa"/>
            <w:vAlign w:val="bottom"/>
          </w:tcPr>
          <w:p>
            <w:pPr>
              <w:spacing w:after="0"/>
              <w:rPr>
                <w:sz w:val="17"/>
                <w:szCs w:val="17"/>
                <w:color w:val="auto"/>
              </w:rPr>
            </w:pPr>
          </w:p>
        </w:tc>
        <w:tc>
          <w:tcPr>
            <w:tcW w:w="640" w:type="dxa"/>
            <w:vAlign w:val="bottom"/>
          </w:tcPr>
          <w:p>
            <w:pPr>
              <w:jc w:val="right"/>
              <w:ind w:right="92"/>
              <w:spacing w:after="0"/>
              <w:rPr>
                <w:sz w:val="20"/>
                <w:szCs w:val="20"/>
                <w:color w:val="auto"/>
              </w:rPr>
            </w:pPr>
            <w:r>
              <w:rPr>
                <w:rFonts w:ascii="Arial" w:cs="Arial" w:eastAsia="Arial" w:hAnsi="Arial"/>
                <w:sz w:val="16"/>
                <w:szCs w:val="16"/>
                <w:b w:val="1"/>
                <w:bCs w:val="1"/>
                <w:color w:val="auto"/>
                <w:w w:val="98"/>
              </w:rPr>
              <w:t>Share</w:t>
            </w:r>
          </w:p>
        </w:tc>
        <w:tc>
          <w:tcPr>
            <w:tcW w:w="1020" w:type="dxa"/>
            <w:vAlign w:val="bottom"/>
            <w:gridSpan w:val="2"/>
          </w:tcPr>
          <w:p>
            <w:pPr>
              <w:jc w:val="right"/>
              <w:ind w:right="93"/>
              <w:spacing w:after="0"/>
              <w:rPr>
                <w:sz w:val="20"/>
                <w:szCs w:val="20"/>
                <w:color w:val="auto"/>
              </w:rPr>
            </w:pPr>
            <w:r>
              <w:rPr>
                <w:rFonts w:ascii="Arial" w:cs="Arial" w:eastAsia="Arial" w:hAnsi="Arial"/>
                <w:sz w:val="16"/>
                <w:szCs w:val="16"/>
                <w:b w:val="1"/>
                <w:bCs w:val="1"/>
                <w:color w:val="auto"/>
              </w:rPr>
              <w:t>Common</w:t>
            </w:r>
          </w:p>
        </w:tc>
        <w:tc>
          <w:tcPr>
            <w:tcW w:w="960" w:type="dxa"/>
            <w:vAlign w:val="bottom"/>
            <w:gridSpan w:val="3"/>
          </w:tcPr>
          <w:p>
            <w:pPr>
              <w:ind w:left="200"/>
              <w:spacing w:after="0"/>
              <w:rPr>
                <w:sz w:val="20"/>
                <w:szCs w:val="20"/>
                <w:color w:val="auto"/>
              </w:rPr>
            </w:pPr>
            <w:r>
              <w:rPr>
                <w:rFonts w:ascii="Arial" w:cs="Arial" w:eastAsia="Arial" w:hAnsi="Arial"/>
                <w:sz w:val="16"/>
                <w:szCs w:val="16"/>
                <w:b w:val="1"/>
                <w:bCs w:val="1"/>
                <w:color w:val="auto"/>
                <w:w w:val="96"/>
              </w:rPr>
              <w:t>Estimated</w:t>
            </w: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to</w:t>
            </w: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Exercise</w:t>
            </w:r>
          </w:p>
        </w:tc>
        <w:tc>
          <w:tcPr>
            <w:tcW w:w="1020" w:type="dxa"/>
            <w:vAlign w:val="bottom"/>
            <w:gridSpan w:val="2"/>
          </w:tcPr>
          <w:p>
            <w:pPr>
              <w:jc w:val="right"/>
              <w:ind w:right="93"/>
              <w:spacing w:after="0"/>
              <w:rPr>
                <w:sz w:val="20"/>
                <w:szCs w:val="20"/>
                <w:color w:val="auto"/>
              </w:rPr>
            </w:pPr>
            <w:r>
              <w:rPr>
                <w:rFonts w:ascii="Arial" w:cs="Arial" w:eastAsia="Arial" w:hAnsi="Arial"/>
                <w:sz w:val="16"/>
                <w:szCs w:val="16"/>
                <w:b w:val="1"/>
                <w:bCs w:val="1"/>
                <w:color w:val="auto"/>
              </w:rPr>
              <w:t>Stock on</w:t>
            </w:r>
          </w:p>
        </w:tc>
        <w:tc>
          <w:tcPr>
            <w:tcW w:w="3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Fair</w:t>
            </w:r>
          </w:p>
        </w:tc>
      </w:tr>
      <w:tr>
        <w:trPr>
          <w:trHeight w:val="203"/>
        </w:trPr>
        <w:tc>
          <w:tcPr>
            <w:tcW w:w="4360" w:type="dxa"/>
            <w:vAlign w:val="bottom"/>
          </w:tcPr>
          <w:p>
            <w:pPr>
              <w:spacing w:after="0"/>
              <w:rPr>
                <w:sz w:val="17"/>
                <w:szCs w:val="17"/>
                <w:color w:val="auto"/>
              </w:rPr>
            </w:pPr>
          </w:p>
        </w:tc>
        <w:tc>
          <w:tcPr>
            <w:tcW w:w="3700" w:type="dxa"/>
            <w:vAlign w:val="bottom"/>
          </w:tcPr>
          <w:p>
            <w:pPr>
              <w:jc w:val="right"/>
              <w:ind w:right="94"/>
              <w:spacing w:after="0"/>
              <w:rPr>
                <w:sz w:val="20"/>
                <w:szCs w:val="20"/>
                <w:color w:val="auto"/>
              </w:rPr>
            </w:pPr>
            <w:r>
              <w:rPr>
                <w:rFonts w:ascii="Arial" w:cs="Arial" w:eastAsia="Arial" w:hAnsi="Arial"/>
                <w:sz w:val="16"/>
                <w:szCs w:val="16"/>
                <w:b w:val="1"/>
                <w:bCs w:val="1"/>
                <w:color w:val="auto"/>
              </w:rPr>
              <w:t>Options</w:t>
            </w:r>
          </w:p>
        </w:tc>
        <w:tc>
          <w:tcPr>
            <w:tcW w:w="98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Price of</w:t>
            </w:r>
          </w:p>
        </w:tc>
        <w:tc>
          <w:tcPr>
            <w:tcW w:w="3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6"/>
                <w:szCs w:val="16"/>
                <w:b w:val="1"/>
                <w:bCs w:val="1"/>
                <w:color w:val="auto"/>
              </w:rPr>
              <w:t>Grant</w:t>
            </w:r>
          </w:p>
        </w:tc>
        <w:tc>
          <w:tcPr>
            <w:tcW w:w="3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Value of</w:t>
            </w:r>
          </w:p>
        </w:tc>
      </w:tr>
      <w:tr>
        <w:trPr>
          <w:trHeight w:val="213"/>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Grant Date</w:t>
            </w:r>
          </w:p>
        </w:tc>
        <w:tc>
          <w:tcPr>
            <w:tcW w:w="37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Granted</w:t>
            </w: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Options</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Date</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5"/>
              </w:rPr>
              <w:t>Options</w:t>
            </w:r>
          </w:p>
        </w:tc>
      </w:tr>
      <w:tr>
        <w:trPr>
          <w:trHeight w:val="212"/>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26, 2022</w:t>
            </w:r>
          </w:p>
        </w:tc>
        <w:tc>
          <w:tcPr>
            <w:tcW w:w="3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42,384</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14.62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14.62</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March 7, 2022</w:t>
            </w:r>
          </w:p>
        </w:tc>
        <w:tc>
          <w:tcPr>
            <w:tcW w:w="3700" w:type="dxa"/>
            <w:vAlign w:val="bottom"/>
          </w:tcPr>
          <w:p>
            <w:pPr>
              <w:jc w:val="right"/>
              <w:ind w:right="94"/>
              <w:spacing w:after="0"/>
              <w:rPr>
                <w:sz w:val="20"/>
                <w:szCs w:val="20"/>
                <w:color w:val="auto"/>
              </w:rPr>
            </w:pPr>
            <w:r>
              <w:rPr>
                <w:rFonts w:ascii="Arial" w:cs="Arial" w:eastAsia="Arial" w:hAnsi="Arial"/>
                <w:sz w:val="18"/>
                <w:szCs w:val="18"/>
                <w:color w:val="auto"/>
              </w:rPr>
              <w:t>1,415</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15.15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15.15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May 6, 2022</w:t>
            </w:r>
          </w:p>
        </w:tc>
        <w:tc>
          <w:tcPr>
            <w:tcW w:w="3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80,301</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15.15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15.15</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20, 2022</w:t>
            </w:r>
          </w:p>
        </w:tc>
        <w:tc>
          <w:tcPr>
            <w:tcW w:w="3700" w:type="dxa"/>
            <w:vAlign w:val="bottom"/>
          </w:tcPr>
          <w:p>
            <w:pPr>
              <w:jc w:val="right"/>
              <w:ind w:right="94"/>
              <w:spacing w:after="0"/>
              <w:rPr>
                <w:sz w:val="20"/>
                <w:szCs w:val="20"/>
                <w:color w:val="auto"/>
              </w:rPr>
            </w:pPr>
            <w:r>
              <w:rPr>
                <w:rFonts w:ascii="Arial" w:cs="Arial" w:eastAsia="Arial" w:hAnsi="Arial"/>
                <w:sz w:val="18"/>
                <w:szCs w:val="18"/>
                <w:color w:val="auto"/>
              </w:rPr>
              <w:t>36,673</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15.15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15.15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December 2, 2022</w:t>
            </w:r>
          </w:p>
        </w:tc>
        <w:tc>
          <w:tcPr>
            <w:tcW w:w="3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2,380</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15.15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15.15</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March 14, 2023</w:t>
            </w:r>
          </w:p>
        </w:tc>
        <w:tc>
          <w:tcPr>
            <w:tcW w:w="3700" w:type="dxa"/>
            <w:vAlign w:val="bottom"/>
          </w:tcPr>
          <w:p>
            <w:pPr>
              <w:jc w:val="right"/>
              <w:ind w:right="94"/>
              <w:spacing w:after="0"/>
              <w:rPr>
                <w:sz w:val="20"/>
                <w:szCs w:val="20"/>
                <w:color w:val="auto"/>
              </w:rPr>
            </w:pPr>
            <w:r>
              <w:rPr>
                <w:rFonts w:ascii="Arial" w:cs="Arial" w:eastAsia="Arial" w:hAnsi="Arial"/>
                <w:sz w:val="18"/>
                <w:szCs w:val="18"/>
                <w:color w:val="auto"/>
              </w:rPr>
              <w:t>464,613</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17.59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17.59</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24, 2023</w:t>
            </w:r>
          </w:p>
        </w:tc>
        <w:tc>
          <w:tcPr>
            <w:tcW w:w="3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146,234</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11.02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August 22, 2023</w:t>
            </w:r>
          </w:p>
        </w:tc>
        <w:tc>
          <w:tcPr>
            <w:tcW w:w="3700" w:type="dxa"/>
            <w:vAlign w:val="bottom"/>
          </w:tcPr>
          <w:p>
            <w:pPr>
              <w:jc w:val="right"/>
              <w:ind w:right="94"/>
              <w:spacing w:after="0"/>
              <w:rPr>
                <w:sz w:val="20"/>
                <w:szCs w:val="20"/>
                <w:color w:val="auto"/>
              </w:rPr>
            </w:pPr>
            <w:r>
              <w:rPr>
                <w:rFonts w:ascii="Arial" w:cs="Arial" w:eastAsia="Arial" w:hAnsi="Arial"/>
                <w:sz w:val="18"/>
                <w:szCs w:val="18"/>
                <w:color w:val="auto"/>
              </w:rPr>
              <w:t>459,800</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11.02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11.02</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r>
      <w:tr>
        <w:trPr>
          <w:trHeight w:val="216"/>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17, 2023</w:t>
            </w:r>
          </w:p>
        </w:tc>
        <w:tc>
          <w:tcPr>
            <w:tcW w:w="3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63,665</w:t>
            </w:r>
          </w:p>
        </w:tc>
        <w:tc>
          <w:tcPr>
            <w:tcW w:w="3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11.02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11.02</w:t>
            </w:r>
          </w:p>
        </w:tc>
        <w:tc>
          <w:tcPr>
            <w:tcW w:w="3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shd w:val="clear" w:color="auto" w:fill="CCEEFF"/>
          </w:tcPr>
          <w:p>
            <w:pPr>
              <w:spacing w:after="0"/>
              <w:rPr>
                <w:sz w:val="18"/>
                <w:szCs w:val="18"/>
                <w:color w:val="auto"/>
              </w:rPr>
            </w:pPr>
          </w:p>
        </w:tc>
      </w:tr>
    </w:tbl>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status</w:t>
      </w:r>
    </w:p>
    <w:p>
      <w:pPr>
        <w:spacing w:after="0" w:line="138"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 are other exemptions and reduced reporting requirements provided by the JOBS Act that we are currently evaluating. For example, as an “emerging growth company,” we are exempt from Sections 14A(a) and (b) of the Securities Exchange Act of 1934, as amended, which would otherwise require us to</w:t>
      </w:r>
    </w:p>
    <w:p>
      <w:pPr>
        <w:spacing w:after="0" w:line="2" w:lineRule="exact"/>
        <w:rPr>
          <w:sz w:val="20"/>
          <w:szCs w:val="20"/>
          <w:color w:val="auto"/>
        </w:rPr>
      </w:pPr>
    </w:p>
    <w:p>
      <w:pPr>
        <w:ind w:left="120" w:right="80" w:hanging="4"/>
        <w:spacing w:after="0" w:line="268" w:lineRule="auto"/>
        <w:tabs>
          <w:tab w:leader="none" w:pos="375"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submit certain executive compensation matters to shareholder advisory votes, such as “say-on-pay,” “say-on-frequency,” and “golden parachutes;” and (2) disclose certain executive compensation related items such as the correlation between executive compensation and performance and comparisons of our chief executive officer’s compensation to our median employee compensation. We also intend to rely on an exemption from the rule requiring us to provide an auditor’s attestation report on our internal controls over financial reporting pursuant to Section 404(b) of the Sarbanes-Oxley Act. We will continue to remain an “emerging growth company” until the earliest of the following: (1) the last day of the fiscal year following the fifth anniversary of the date of the completion of this offering; (2) the last day of the fiscal year in which our total annual gross revenue is equal to or more than $1.235 billion; (3) the date on which we have issued more than $1.0 billion in nonconvertible debt during the previous three years; or (4) the date on which we are deemed to be a large accelerated filer under the rules of the SEC.</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3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audited consolidated financial statements included elsewhere in this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Qualitative and quantitative disclosures about market risk</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June 30, 2023, we had cash and cash equivalents of $45.5 million. Interest income is sensitive to changes in the general level of interest rates. Our surplus cash has been invested in money market fund accounts and interest-bearing savings accounts. We have not entered into investments for trading or speculative purposes.</w:t>
      </w:r>
    </w:p>
    <w:p>
      <w:pPr>
        <w:spacing w:after="0" w:line="103"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 As of December 31, 2021, we had no debt outstanding, and as of December 31, 2022 and June 30, 2023, we had approximately $2.2 million and $2.0 million, respectively, of total finance lease liabilities that bear interest on a fixed basis. Therefore, we are not significantly exposed to interest rate risk with respect to debt.</w:t>
      </w:r>
    </w:p>
    <w:p>
      <w:pPr>
        <w:spacing w:after="0" w:line="94"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with contractors or other vendors in a currency other than the U.S. dollar. To date, we have not been exposed to significant market risk related to changes in foreign currency exchange rates. Our operations may be subject to fluctuations in foreign currency exchange rates in the future.</w:t>
      </w:r>
    </w:p>
    <w:p>
      <w:pPr>
        <w:spacing w:after="0" w:line="9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Business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are a clinical stage genetic medicine company dedicated to transforming healthcare by applying pioneering science to fundamentally change how disease is treated. By taking aim at the underlying genetic cause of the devastating diseases we target, we seek to create substantial positive impact and reduce the overwhelming burdens placed on people receiving treatment, their caregivers, and healthcare systems. Our current pipeline consists of candidates targeting patient populations that place significant burden on society and are most amenable to our genetic medicine approach.</w:t>
      </w:r>
    </w:p>
    <w:p>
      <w:pPr>
        <w:spacing w:after="0" w:line="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Our most advanced cardiovascular product candidate, LX2006 for the treatment of patients with Friedreich’s ataxia, or FA, cardiomyopathy, is currently being evaluated in an ongoing Phase 1/2 clinical trial. We have observed an increase in frataxin protein expression in the heart from one patient in the low dose cohort based on a cardiac biopsy utilizing two separate analyses, and we expect to report additional interim data from this trial in mid-2024. Our second most advanced cardiovascular product candidate, LX2020 for the treatment of arrhythmogenic cardiomyopathy, or ACM, caused by mutations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referred to as PKP2-ACM, received IND clearance from the U.S. Food and Drug Administration, or FDA, in July 2023 and we expect to dose the first patient in a Phase 1/2 clinical trial in the first half of 2024 and provide an interim data readout from cohort 1 in the second half of 2024.</w:t>
      </w:r>
    </w:p>
    <w:p>
      <w:pPr>
        <w:spacing w:after="0" w:line="12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Our lead Alzheimer’s disease product candidate, LX1001 for the treatment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with Alzheimer’s disease, is in an ongoing Phase 1/2 trial, and we have initially observed an increase in expression levels of the protective protein, APOE2, in the first dose cohort and a consistent trend towards improvement in core Alzheimer’s disease biomarkers. We expect to complete enrollment of the trial by the end of 2023 and report additional interim data from all cohorts in the Phase 1/2 clinical trial in the second half of 2024.</w:t>
      </w:r>
    </w:p>
    <w:p>
      <w:pPr>
        <w:spacing w:after="0" w:line="11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targeting diseases that have seen limited penetration of precision medicine, which we define as medications that treat the underlying molecular mechanism of a disease, and where we believe there is a significant opportunity for gene therapy to play a role as a key therapeutic option. We believe the specific indications we are initially targeting, FA cardiomyopathy, PKP2-ACM and APOE4-associated Alzheimer’s disease, are highly amenable to gene therapy, where administration of a single dose has the potential to either restore loss-of-function or minimize gain-of-function mutations by treating the underlying genetic cause of the disease. Although few precision medicines are currently approved for the treatment of cardiovascular conditions or Alzheimer’s disease, recent approvals by the FDA suggest a willingness to approve new precision medicines based on biomarkers and functional endpoints. Together with improved diagnostics and increased testing, these developments may offer one of the most substantial opportunities for the uptake of precision medicines in the global pharmaceutical marketplace.</w:t>
      </w:r>
    </w:p>
    <w:p>
      <w:pPr>
        <w:spacing w:after="0" w:line="9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Each of our gene therapy candidates utilizes the vector construct, dose and route of administration that we believe will result in the most favorable biodistribution and safety profile for our product candidate for each disease. Our most advanced cardiovascular and APOE4-associated Alzheimer’s disease programs use the AAVrh10 vector due to its high transduction efficiency in both myocardial cells and neurons, potential for lower toxicity given the opportunity to utilize lower doses compared to other well-established AAV serotypes, and low pre-existing immunity.</w:t>
      </w:r>
    </w:p>
    <w:p>
      <w:pPr>
        <w:spacing w:after="0" w:line="10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By specifically tailoring our technological approach to each targeted disease, we believe we can optimize our programs to achieve the highest likelihood of having therapeutic impact. We target genetically defined indications in specific sub-groups of patients that offer the potential to demonstrate therapeutic impact through improvement in functional endpoints or biomarkers, have high unmet need and large market opportunities, have established proof-of-concept in relevant preclinical models, and have organized patient advocacy groups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identifiable patient populations. In addition to targeting cardiovascular diseases and APOE4-associated Alzheimer’s disease that we believe can be addressed by our current approach utilizing AAVrh10, we have ongoing discovery efforts to identify next-generation vector technologies with the best potential therapeutic profile. Finally, we continuously seek to bolster our pipeline through relationships with academic institutions, providing us access to cutting edge genetic medicines research which will include not only AAV gene therapy but also other potential therapeutic payload types and non-viral delivery systems. In August 2023, we also announced a strategic investment from Sarepta Therapeutics, Inc., which we intend to use to support the development of our cardiovascular gene therapies and to explore collaboration opportunities within our preclinical cardiovascular pipeline.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pipeline</w:t>
      </w:r>
    </w:p>
    <w:p>
      <w:pPr>
        <w:spacing w:after="0" w:line="132"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Utilizing a stepwise, capital-efficient development approach, we are leveraging early proof-of-concept functional and biomarker data to advance a deep and diverse pipeline of cardiovascular and APOE4-associated Alzheimer’s disease programs for larger-rare and prevalent indications. We retain exclusive worldwide development and commercialization rights to all of our product candidates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191135</wp:posOffset>
            </wp:positionV>
            <wp:extent cx="5186045" cy="2040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Cardiovascular programs</w:t>
      </w:r>
    </w:p>
    <w:p>
      <w:pPr>
        <w:spacing w:after="0" w:line="14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are developing a number of disease-modifying gene therapy candidates to treat larger-rare cardiovascular diseases that have significant unmet need and no approved treatments that address the underlying genetic cause of the disease. These programs include:</w:t>
      </w:r>
    </w:p>
    <w:p>
      <w:pPr>
        <w:spacing w:after="0" w:line="99" w:lineRule="exact"/>
        <w:rPr>
          <w:sz w:val="20"/>
          <w:szCs w:val="20"/>
          <w:color w:val="auto"/>
        </w:rPr>
      </w:pPr>
    </w:p>
    <w:p>
      <w:pPr>
        <w:ind w:left="340" w:right="140" w:hanging="224"/>
        <w:spacing w:after="0" w:line="272"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LX2006 </w:t>
      </w:r>
      <w:r>
        <w:rPr>
          <w:rFonts w:ascii="Arial" w:cs="Arial" w:eastAsia="Arial" w:hAnsi="Arial"/>
          <w:sz w:val="17"/>
          <w:szCs w:val="17"/>
          <w:color w:val="auto"/>
        </w:rPr>
        <w:t>is an AAVrh10-based gene therapy candidate designed to intravenously deliver a functional frataxin, 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FXN,</w:t>
      </w:r>
      <w:r>
        <w:rPr>
          <w:rFonts w:ascii="Arial" w:cs="Arial" w:eastAsia="Arial" w:hAnsi="Arial"/>
          <w:sz w:val="17"/>
          <w:szCs w:val="17"/>
          <w:b w:val="1"/>
          <w:bCs w:val="1"/>
          <w:color w:val="auto"/>
        </w:rPr>
        <w:t xml:space="preserve"> </w:t>
      </w:r>
      <w:r>
        <w:rPr>
          <w:rFonts w:ascii="Arial" w:cs="Arial" w:eastAsia="Arial" w:hAnsi="Arial"/>
          <w:sz w:val="17"/>
          <w:szCs w:val="17"/>
          <w:color w:val="auto"/>
        </w:rPr>
        <w:t>gene for the treatment of FA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cardiomyopathy. FA cardiomyopathy is the most common cause of mortality in patients with Friedreich’s ataxia and affects approximately 5,000 patients in the United States. LX2006 is designed to promote the expression of the protein frataxin to restore normal mitochondrial function and energy production in myocardial cells. In preclinical studies, LX2006 demonstrated improvement in cardiac function and survival in a severe </w:t>
      </w:r>
      <w:r>
        <w:rPr>
          <w:rFonts w:ascii="Arial" w:cs="Arial" w:eastAsia="Arial" w:hAnsi="Arial"/>
          <w:sz w:val="17"/>
          <w:szCs w:val="17"/>
          <w:i w:val="1"/>
          <w:iCs w:val="1"/>
          <w:color w:val="auto"/>
        </w:rPr>
        <w:t>FXN</w:t>
      </w:r>
      <w:r>
        <w:rPr>
          <w:rFonts w:ascii="Arial" w:cs="Arial" w:eastAsia="Arial" w:hAnsi="Arial"/>
          <w:sz w:val="17"/>
          <w:szCs w:val="17"/>
          <w:color w:val="auto"/>
        </w:rPr>
        <w:t xml:space="preserve"> knockout mouse model. Similarly, in a partial </w:t>
      </w:r>
      <w:r>
        <w:rPr>
          <w:rFonts w:ascii="Arial" w:cs="Arial" w:eastAsia="Arial" w:hAnsi="Arial"/>
          <w:sz w:val="17"/>
          <w:szCs w:val="17"/>
          <w:i w:val="1"/>
          <w:iCs w:val="1"/>
          <w:color w:val="auto"/>
        </w:rPr>
        <w:t>FXN</w:t>
      </w:r>
      <w:r>
        <w:rPr>
          <w:rFonts w:ascii="Arial" w:cs="Arial" w:eastAsia="Arial" w:hAnsi="Arial"/>
          <w:sz w:val="17"/>
          <w:szCs w:val="17"/>
          <w:color w:val="auto"/>
        </w:rPr>
        <w:t xml:space="preserve"> knockout mouse model, LX2006 was observed to restore cardiac function and reverse disease abnormalities of FA cardiomyopathy. LX2006 is currently being evaluated in an open-label, ascending dose Phase 1/2 clinical trial in patients with FA cardiomyopathy and we have observed an increase in frataxin protein expression in the heart from one patient in the low dose cohort based on a cardiac biopsy utilizing two separate analyses. We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expect to report additional interim data from this trial in mid-2024. The FDA has granted Rare Pediatric Disease designation and Orphan Drug designation to LX2006 for the treatment of FA.</w:t>
      </w:r>
    </w:p>
    <w:p>
      <w:pPr>
        <w:spacing w:after="0" w:line="103" w:lineRule="exact"/>
        <w:rPr>
          <w:sz w:val="20"/>
          <w:szCs w:val="20"/>
          <w:color w:val="auto"/>
        </w:rPr>
      </w:pPr>
    </w:p>
    <w:p>
      <w:pPr>
        <w:ind w:left="340" w:hanging="224"/>
        <w:spacing w:after="0" w:line="271"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LX2020 </w:t>
      </w:r>
      <w:r>
        <w:rPr>
          <w:rFonts w:ascii="Arial" w:cs="Arial" w:eastAsia="Arial" w:hAnsi="Arial"/>
          <w:sz w:val="17"/>
          <w:szCs w:val="17"/>
          <w:color w:val="auto"/>
        </w:rPr>
        <w:t>is an AAVrh10-based gene therapy candidate designed to intravenously deliver a functional</w:t>
      </w:r>
      <w:r>
        <w:rPr>
          <w:rFonts w:ascii="Arial" w:cs="Arial" w:eastAsia="Arial" w:hAnsi="Arial"/>
          <w:sz w:val="17"/>
          <w:szCs w:val="17"/>
          <w:i w:val="1"/>
          <w:iCs w:val="1"/>
          <w:color w:val="auto"/>
        </w:rPr>
        <w:t xml:space="preserve"> PKP2 </w:t>
      </w:r>
      <w:r>
        <w:rPr>
          <w:rFonts w:ascii="Arial" w:cs="Arial" w:eastAsia="Arial" w:hAnsi="Arial"/>
          <w:sz w:val="17"/>
          <w:szCs w:val="17"/>
          <w:color w:val="auto"/>
        </w:rPr>
        <w:t>gene to cardiac muscle for the treatment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PKP2-ACM.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are associated with approximately 75% of all genetic cases of ACM, and we estimate they affect approximately 60,000 patients in the United States.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can cause replacement of heart muscle with fibrotic tissue and fatty deposits and severe abnormal heart rhythms, or arrhythmias, that cause cardiac dysfunction and can result in sudden cardiac death. LX2020 is designed to increase desmosomal PKP2 protein levels, reassemble desmosomes and restore myocardial cell function. In our preclinical studies using a genetic mouse model of ACM harboring a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 that recapitulates the phenotype of PKP2-ACM, LX2020 resulted in fewer arrhythmias and increased survival. We received IND clearance for LX2020 in July 2023 and we expect to dose the first patient in a Phase 1/2 clinical trial in the first half of 2024 and provide an interim data readout from cohort 1 in the second half of 2024.</w:t>
      </w:r>
    </w:p>
    <w:p>
      <w:pPr>
        <w:spacing w:after="0" w:line="110" w:lineRule="exact"/>
        <w:rPr>
          <w:rFonts w:ascii="Arial" w:cs="Arial" w:eastAsia="Arial" w:hAnsi="Arial"/>
          <w:sz w:val="17"/>
          <w:szCs w:val="17"/>
          <w:color w:val="auto"/>
        </w:rPr>
      </w:pPr>
    </w:p>
    <w:p>
      <w:pPr>
        <w:ind w:left="340" w:right="20" w:hanging="224"/>
        <w:spacing w:after="0" w:line="25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LX2021 </w:t>
      </w:r>
      <w:r>
        <w:rPr>
          <w:rFonts w:ascii="Arial" w:cs="Arial" w:eastAsia="Arial" w:hAnsi="Arial"/>
          <w:sz w:val="18"/>
          <w:szCs w:val="18"/>
          <w:color w:val="auto"/>
        </w:rPr>
        <w:t>is a gene therapy candidate we are developing to intravenously deliver the coding sequence for the functional Cx43 protein for a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inherited cardiac muscle disorders associated with a high risk of sudden death, including arrhythmogenic cardiomyopathy and certain forms of dilated cardiomyopathy. We believe restoring the Cx43 protein can potentially treat multiple genetic causes of ACM because the cardiac loss of Cx43 is a molecular deficit generally observed in all ACM patient populations. Our LX2021 program is initially targeting DSP cardiomyopathy, a distinct form of ACM as well as a certain form of dilated cardiomyopathy, with a prevalence that may be as high as 4% of all inherited dilated cardiomyopathies and 4% of all ACMs, impacting up to approximately 35,000 patients in the United States. We plan to initiate IND-enabling studies for LX2021 in 2024.</w:t>
      </w:r>
    </w:p>
    <w:p>
      <w:pPr>
        <w:spacing w:after="0" w:line="127" w:lineRule="exact"/>
        <w:rPr>
          <w:rFonts w:ascii="Arial" w:cs="Arial" w:eastAsia="Arial" w:hAnsi="Arial"/>
          <w:sz w:val="18"/>
          <w:szCs w:val="18"/>
          <w:color w:val="auto"/>
        </w:rPr>
      </w:pPr>
    </w:p>
    <w:p>
      <w:pPr>
        <w:ind w:left="340" w:right="40" w:hanging="224"/>
        <w:spacing w:after="0" w:line="273"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LX2022 </w:t>
      </w:r>
      <w:r>
        <w:rPr>
          <w:rFonts w:ascii="Arial" w:cs="Arial" w:eastAsia="Arial" w:hAnsi="Arial"/>
          <w:sz w:val="17"/>
          <w:szCs w:val="17"/>
          <w:color w:val="auto"/>
        </w:rPr>
        <w:t>is a gene therapy candidate we are developing to intravenously deliver a functional</w:t>
      </w:r>
      <w:r>
        <w:rPr>
          <w:rFonts w:ascii="Arial" w:cs="Arial" w:eastAsia="Arial" w:hAnsi="Arial"/>
          <w:sz w:val="17"/>
          <w:szCs w:val="17"/>
          <w:i w:val="1"/>
          <w:iCs w:val="1"/>
          <w:color w:val="auto"/>
        </w:rPr>
        <w:t xml:space="preserve"> TNNI3 </w:t>
      </w:r>
      <w:r>
        <w:rPr>
          <w:rFonts w:ascii="Arial" w:cs="Arial" w:eastAsia="Arial" w:hAnsi="Arial"/>
          <w:sz w:val="17"/>
          <w:szCs w:val="17"/>
          <w:color w:val="auto"/>
        </w:rPr>
        <w:t>gene to myocardial cells to treat a distinct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hypertrophic cardiomyopathy, or HCM, due to mutations in the </w:t>
      </w:r>
      <w:r>
        <w:rPr>
          <w:rFonts w:ascii="Arial" w:cs="Arial" w:eastAsia="Arial" w:hAnsi="Arial"/>
          <w:sz w:val="17"/>
          <w:szCs w:val="17"/>
          <w:i w:val="1"/>
          <w:iCs w:val="1"/>
          <w:color w:val="auto"/>
        </w:rPr>
        <w:t>TNNI3</w:t>
      </w:r>
      <w:r>
        <w:rPr>
          <w:rFonts w:ascii="Arial" w:cs="Arial" w:eastAsia="Arial" w:hAnsi="Arial"/>
          <w:sz w:val="17"/>
          <w:szCs w:val="17"/>
          <w:color w:val="auto"/>
        </w:rPr>
        <w:t xml:space="preserve"> gene. Mutations in the </w:t>
      </w:r>
      <w:r>
        <w:rPr>
          <w:rFonts w:ascii="Arial" w:cs="Arial" w:eastAsia="Arial" w:hAnsi="Arial"/>
          <w:sz w:val="17"/>
          <w:szCs w:val="17"/>
          <w:i w:val="1"/>
          <w:iCs w:val="1"/>
          <w:color w:val="auto"/>
        </w:rPr>
        <w:t>TNNI3</w:t>
      </w:r>
      <w:r>
        <w:rPr>
          <w:rFonts w:ascii="Arial" w:cs="Arial" w:eastAsia="Arial" w:hAnsi="Arial"/>
          <w:sz w:val="17"/>
          <w:szCs w:val="17"/>
          <w:color w:val="auto"/>
        </w:rPr>
        <w:t xml:space="preserve"> gene often result in left ventricular hypertrophy and restrictive cardiomyopathy, leading to arrhythmias and heart failure. With an estimated prevalence of 1 in 500 people in the United States, HCM is one of the most common forms of genetic cardiomyopathy caused by mutations that affect the cardiac sarcomere in approximately 75% of cases. It is estimated that as many as 25,000 patients in the United States and 34,000 patients in the European Union are affected by HCM caused by mutations in the </w:t>
      </w:r>
      <w:r>
        <w:rPr>
          <w:rFonts w:ascii="Arial" w:cs="Arial" w:eastAsia="Arial" w:hAnsi="Arial"/>
          <w:sz w:val="17"/>
          <w:szCs w:val="17"/>
          <w:i w:val="1"/>
          <w:iCs w:val="1"/>
          <w:color w:val="auto"/>
        </w:rPr>
        <w:t>TNNI3</w:t>
      </w:r>
      <w:r>
        <w:rPr>
          <w:rFonts w:ascii="Arial" w:cs="Arial" w:eastAsia="Arial" w:hAnsi="Arial"/>
          <w:sz w:val="17"/>
          <w:szCs w:val="17"/>
          <w:color w:val="auto"/>
        </w:rPr>
        <w:t xml:space="preserve"> gene. We plan to complete candidate selection for LX2022 in 2024.</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APOE4-associated Alzheimer’s programs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a portfolio of approaches to treat the genetics underlying Alzheimer’s disease.</w:t>
      </w:r>
    </w:p>
    <w:p>
      <w:pPr>
        <w:spacing w:after="0" w:line="158" w:lineRule="exact"/>
        <w:rPr>
          <w:sz w:val="20"/>
          <w:szCs w:val="20"/>
          <w:color w:val="auto"/>
        </w:rPr>
      </w:pPr>
    </w:p>
    <w:p>
      <w:pPr>
        <w:ind w:left="340" w:right="20" w:hanging="224"/>
        <w:spacing w:after="0" w:line="269"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LX1001 </w:t>
      </w:r>
      <w:r>
        <w:rPr>
          <w:rFonts w:ascii="Arial" w:cs="Arial" w:eastAsia="Arial" w:hAnsi="Arial"/>
          <w:sz w:val="17"/>
          <w:szCs w:val="17"/>
          <w:color w:val="auto"/>
        </w:rPr>
        <w:t>is an AAVrh10-based gene therapy candidate designed to deliver into the cerebrospinal fluid, or CSF, an</w:t>
      </w:r>
      <w:r>
        <w:rPr>
          <w:rFonts w:ascii="Arial" w:cs="Arial" w:eastAsia="Arial" w:hAnsi="Arial"/>
          <w:sz w:val="17"/>
          <w:szCs w:val="17"/>
          <w:i w:val="1"/>
          <w:iCs w:val="1"/>
          <w:color w:val="auto"/>
        </w:rPr>
        <w:t xml:space="preserve"> APOE2 </w:t>
      </w:r>
      <w:r>
        <w:rPr>
          <w:rFonts w:ascii="Arial" w:cs="Arial" w:eastAsia="Arial" w:hAnsi="Arial"/>
          <w:sz w:val="17"/>
          <w:szCs w:val="17"/>
          <w:color w:val="auto"/>
        </w:rPr>
        <w:t>gene for the treatment of</w:t>
      </w:r>
      <w:r>
        <w:rPr>
          <w:rFonts w:ascii="Arial" w:cs="Arial" w:eastAsia="Arial" w:hAnsi="Arial"/>
          <w:sz w:val="17"/>
          <w:szCs w:val="17"/>
          <w:i w:val="1"/>
          <w:iCs w:val="1"/>
          <w:color w:val="auto"/>
        </w:rPr>
        <w:t xml:space="preserve"> APOE4 </w:t>
      </w:r>
      <w:r>
        <w:rPr>
          <w:rFonts w:ascii="Arial" w:cs="Arial" w:eastAsia="Arial" w:hAnsi="Arial"/>
          <w:sz w:val="17"/>
          <w:szCs w:val="17"/>
          <w:color w:val="auto"/>
        </w:rPr>
        <w:t>homozygous patients with Alzheimer’s disease. Alzheimer’s disease is the leading cause of cognitive decline in late adult life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characterized by complex underlying pathology in the central nervous system, or CNS. Individuals homozygous for </w:t>
      </w:r>
      <w:r>
        <w:rPr>
          <w:rFonts w:ascii="Arial" w:cs="Arial" w:eastAsia="Arial" w:hAnsi="Arial"/>
          <w:sz w:val="17"/>
          <w:szCs w:val="17"/>
          <w:i w:val="1"/>
          <w:iCs w:val="1"/>
          <w:color w:val="auto"/>
        </w:rPr>
        <w:t>APOE4</w:t>
      </w:r>
      <w:r>
        <w:rPr>
          <w:rFonts w:ascii="Arial" w:cs="Arial" w:eastAsia="Arial" w:hAnsi="Arial"/>
          <w:sz w:val="17"/>
          <w:szCs w:val="17"/>
          <w:color w:val="auto"/>
        </w:rPr>
        <w:t xml:space="preserve">, an allele of the gene </w:t>
      </w:r>
      <w:r>
        <w:rPr>
          <w:rFonts w:ascii="Arial" w:cs="Arial" w:eastAsia="Arial" w:hAnsi="Arial"/>
          <w:sz w:val="17"/>
          <w:szCs w:val="17"/>
          <w:i w:val="1"/>
          <w:iCs w:val="1"/>
          <w:color w:val="auto"/>
        </w:rPr>
        <w:t>APOE</w:t>
      </w:r>
      <w:r>
        <w:rPr>
          <w:rFonts w:ascii="Arial" w:cs="Arial" w:eastAsia="Arial" w:hAnsi="Arial"/>
          <w:sz w:val="17"/>
          <w:szCs w:val="17"/>
          <w:color w:val="auto"/>
        </w:rPr>
        <w:t>, are approximately 15 times more likely to develop Alzheimer’s disease than the general population, and it is estimated that there are 900,000</w:t>
      </w:r>
      <w:r>
        <w:rPr>
          <w:rFonts w:ascii="Arial" w:cs="Arial" w:eastAsia="Arial" w:hAnsi="Arial"/>
          <w:sz w:val="17"/>
          <w:szCs w:val="17"/>
          <w:i w:val="1"/>
          <w:iCs w:val="1"/>
          <w:color w:val="auto"/>
        </w:rPr>
        <w:t xml:space="preserve"> APOE4 </w:t>
      </w:r>
      <w:r>
        <w:rPr>
          <w:rFonts w:ascii="Arial" w:cs="Arial" w:eastAsia="Arial" w:hAnsi="Arial"/>
          <w:sz w:val="17"/>
          <w:szCs w:val="17"/>
          <w:color w:val="auto"/>
        </w:rPr>
        <w:t>homozygous patients with Alzheimer’s disease in the United States alone. Conversely, individuals homozygous for the</w:t>
      </w:r>
      <w:r>
        <w:rPr>
          <w:rFonts w:ascii="Arial" w:cs="Arial" w:eastAsia="Arial" w:hAnsi="Arial"/>
          <w:sz w:val="17"/>
          <w:szCs w:val="17"/>
          <w:i w:val="1"/>
          <w:iCs w:val="1"/>
          <w:color w:val="auto"/>
        </w:rPr>
        <w:t xml:space="preserve"> APOE </w:t>
      </w:r>
      <w:r>
        <w:rPr>
          <w:rFonts w:ascii="Arial" w:cs="Arial" w:eastAsia="Arial" w:hAnsi="Arial"/>
          <w:sz w:val="17"/>
          <w:szCs w:val="17"/>
          <w:color w:val="auto"/>
        </w:rPr>
        <w:t>allele</w:t>
      </w:r>
      <w:r>
        <w:rPr>
          <w:rFonts w:ascii="Arial" w:cs="Arial" w:eastAsia="Arial" w:hAnsi="Arial"/>
          <w:sz w:val="17"/>
          <w:szCs w:val="17"/>
          <w:i w:val="1"/>
          <w:iCs w:val="1"/>
          <w:color w:val="auto"/>
        </w:rPr>
        <w:t xml:space="preserve"> APOE2 </w:t>
      </w:r>
      <w:r>
        <w:rPr>
          <w:rFonts w:ascii="Arial" w:cs="Arial" w:eastAsia="Arial" w:hAnsi="Arial"/>
          <w:sz w:val="17"/>
          <w:szCs w:val="17"/>
          <w:color w:val="auto"/>
        </w:rPr>
        <w:t xml:space="preserve">are 40% less likely to develop Alzheimer’s disease than the general population. This and other evidence suggest that </w:t>
      </w:r>
      <w:r>
        <w:rPr>
          <w:rFonts w:ascii="Arial" w:cs="Arial" w:eastAsia="Arial" w:hAnsi="Arial"/>
          <w:sz w:val="17"/>
          <w:szCs w:val="17"/>
          <w:i w:val="1"/>
          <w:iCs w:val="1"/>
          <w:color w:val="auto"/>
        </w:rPr>
        <w:t>APOE2</w:t>
      </w:r>
      <w:r>
        <w:rPr>
          <w:rFonts w:ascii="Arial" w:cs="Arial" w:eastAsia="Arial" w:hAnsi="Arial"/>
          <w:sz w:val="17"/>
          <w:szCs w:val="17"/>
          <w:color w:val="auto"/>
        </w:rPr>
        <w:t xml:space="preserve"> may play a neuroprotective role. LX1001 is designed to express the protective </w:t>
      </w:r>
      <w:r>
        <w:rPr>
          <w:rFonts w:ascii="Arial" w:cs="Arial" w:eastAsia="Arial" w:hAnsi="Arial"/>
          <w:sz w:val="17"/>
          <w:szCs w:val="17"/>
          <w:i w:val="1"/>
          <w:iCs w:val="1"/>
          <w:color w:val="auto"/>
        </w:rPr>
        <w:t>APOE2</w:t>
      </w:r>
      <w:r>
        <w:rPr>
          <w:rFonts w:ascii="Arial" w:cs="Arial" w:eastAsia="Arial" w:hAnsi="Arial"/>
          <w:sz w:val="17"/>
          <w:szCs w:val="17"/>
          <w:color w:val="auto"/>
        </w:rPr>
        <w:t xml:space="preserve"> gene in the CNS of </w:t>
      </w:r>
      <w:r>
        <w:rPr>
          <w:rFonts w:ascii="Arial" w:cs="Arial" w:eastAsia="Arial" w:hAnsi="Arial"/>
          <w:sz w:val="17"/>
          <w:szCs w:val="17"/>
          <w:i w:val="1"/>
          <w:iCs w:val="1"/>
          <w:color w:val="auto"/>
        </w:rPr>
        <w:t>APOE4</w:t>
      </w:r>
      <w:r>
        <w:rPr>
          <w:rFonts w:ascii="Arial" w:cs="Arial" w:eastAsia="Arial" w:hAnsi="Arial"/>
          <w:sz w:val="17"/>
          <w:szCs w:val="17"/>
          <w:color w:val="auto"/>
        </w:rPr>
        <w:t xml:space="preserve"> homozygous patients in order to halt or slow the progression of Alzheimer’s disease. LX1001 is being evaluated in an ongoing open-label, dose-escalation Phase 1/2 clinical trial. In the first dose cohort in the trial, we observed a consistent trend towards improvement in Alzheimer’s disease CSF biomarkers, such as total tau and phosphorylated tau. We have also observed expression of the protective APOE2 protein in all patients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 xml:space="preserve">the first dose cohort with follow-up data. LX1001 has been granted Fast Track designation by the FDA for the treatment of patients with early Alzheimer’s disease who are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to slow disease progression. We expect to complete enrollment in the trial by the end of 2023 and report additional interim data from all cohorts in the Phase 1/2 clinical trial in the second half of 2024.</w:t>
      </w:r>
    </w:p>
    <w:p>
      <w:pPr>
        <w:spacing w:after="0" w:line="116" w:lineRule="exact"/>
        <w:rPr>
          <w:sz w:val="20"/>
          <w:szCs w:val="20"/>
          <w:color w:val="auto"/>
        </w:rPr>
      </w:pPr>
    </w:p>
    <w:p>
      <w:pPr>
        <w:ind w:left="340" w:right="80" w:hanging="224"/>
        <w:spacing w:after="0" w:line="293"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LX1021 </w:t>
      </w:r>
      <w:r>
        <w:rPr>
          <w:rFonts w:ascii="Arial" w:cs="Arial" w:eastAsia="Arial" w:hAnsi="Arial"/>
          <w:sz w:val="16"/>
          <w:szCs w:val="16"/>
          <w:color w:val="auto"/>
        </w:rPr>
        <w:t>is a gene therapy candidate we are developing to deliver a Christchurch mutation-modified</w:t>
      </w:r>
      <w:r>
        <w:rPr>
          <w:rFonts w:ascii="Arial" w:cs="Arial" w:eastAsia="Arial" w:hAnsi="Arial"/>
          <w:sz w:val="16"/>
          <w:szCs w:val="16"/>
          <w:i w:val="1"/>
          <w:iCs w:val="1"/>
          <w:color w:val="auto"/>
        </w:rPr>
        <w:t xml:space="preserve"> APOE2 </w:t>
      </w:r>
      <w:r>
        <w:rPr>
          <w:rFonts w:ascii="Arial" w:cs="Arial" w:eastAsia="Arial" w:hAnsi="Arial"/>
          <w:sz w:val="16"/>
          <w:szCs w:val="16"/>
          <w:color w:val="auto"/>
        </w:rPr>
        <w:t>allele for the treatment of</w:t>
      </w:r>
      <w:r>
        <w:rPr>
          <w:rFonts w:ascii="Arial" w:cs="Arial" w:eastAsia="Arial" w:hAnsi="Arial"/>
          <w:sz w:val="16"/>
          <w:szCs w:val="16"/>
          <w:i w:val="1"/>
          <w:iCs w:val="1"/>
          <w:color w:val="auto"/>
        </w:rPr>
        <w:t xml:space="preserve"> APOE4 </w:t>
      </w:r>
      <w:r>
        <w:rPr>
          <w:rFonts w:ascii="Arial" w:cs="Arial" w:eastAsia="Arial" w:hAnsi="Arial"/>
          <w:sz w:val="16"/>
          <w:szCs w:val="16"/>
          <w:color w:val="auto"/>
        </w:rPr>
        <w:t xml:space="preserve">homozygous patients with Alzheimer’s disease. The Christchurch mutation has been recognized to protect individuals against Alzheimer’s disease even in the presence of significant amyloid pathology. The mechanism of this protection may relate to the fact that APOE, in the presence of the Christchurch mutation, binds poorly to heparan sulfate proteoglycans, which are molecules found on the surface of neurons that may inhibit the spread of tau between cells. We believe this approach has the potential to enhance the protective effect of APOE2 in homozygous </w:t>
      </w:r>
      <w:r>
        <w:rPr>
          <w:rFonts w:ascii="Arial" w:cs="Arial" w:eastAsia="Arial" w:hAnsi="Arial"/>
          <w:sz w:val="16"/>
          <w:szCs w:val="16"/>
          <w:i w:val="1"/>
          <w:iCs w:val="1"/>
          <w:color w:val="auto"/>
        </w:rPr>
        <w:t>APOE4</w:t>
      </w:r>
      <w:r>
        <w:rPr>
          <w:rFonts w:ascii="Arial" w:cs="Arial" w:eastAsia="Arial" w:hAnsi="Arial"/>
          <w:sz w:val="16"/>
          <w:szCs w:val="16"/>
          <w:color w:val="auto"/>
        </w:rPr>
        <w:t>-associated Alzheimer’s disease. We plan to hold a pre-IND meeting with the FDA in 2024 to guide the next stage of development for this program.</w:t>
      </w:r>
    </w:p>
    <w:p>
      <w:pPr>
        <w:spacing w:after="0" w:line="96" w:lineRule="exact"/>
        <w:rPr>
          <w:rFonts w:ascii="Arial" w:cs="Arial" w:eastAsia="Arial" w:hAnsi="Arial"/>
          <w:sz w:val="16"/>
          <w:szCs w:val="16"/>
          <w:color w:val="auto"/>
        </w:rPr>
      </w:pPr>
    </w:p>
    <w:p>
      <w:pPr>
        <w:ind w:left="340" w:right="20" w:hanging="224"/>
        <w:spacing w:after="0" w:line="311"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LX1020 </w:t>
      </w:r>
      <w:r>
        <w:rPr>
          <w:rFonts w:ascii="Arial" w:cs="Arial" w:eastAsia="Arial" w:hAnsi="Arial"/>
          <w:sz w:val="16"/>
          <w:szCs w:val="16"/>
          <w:color w:val="auto"/>
        </w:rPr>
        <w:t>is a gene therapy candidate we are developing to deliver both the protective</w:t>
      </w:r>
      <w:r>
        <w:rPr>
          <w:rFonts w:ascii="Arial" w:cs="Arial" w:eastAsia="Arial" w:hAnsi="Arial"/>
          <w:sz w:val="16"/>
          <w:szCs w:val="16"/>
          <w:i w:val="1"/>
          <w:iCs w:val="1"/>
          <w:color w:val="auto"/>
        </w:rPr>
        <w:t xml:space="preserve"> APOE2 </w:t>
      </w:r>
      <w:r>
        <w:rPr>
          <w:rFonts w:ascii="Arial" w:cs="Arial" w:eastAsia="Arial" w:hAnsi="Arial"/>
          <w:sz w:val="16"/>
          <w:szCs w:val="16"/>
          <w:color w:val="auto"/>
        </w:rPr>
        <w:t>allele and miRNA to suppress</w:t>
      </w:r>
      <w:r>
        <w:rPr>
          <w:rFonts w:ascii="Arial" w:cs="Arial" w:eastAsia="Arial" w:hAnsi="Arial"/>
          <w:sz w:val="16"/>
          <w:szCs w:val="16"/>
          <w:i w:val="1"/>
          <w:iCs w:val="1"/>
          <w:color w:val="auto"/>
        </w:rPr>
        <w:t xml:space="preserve"> APOE4 </w:t>
      </w:r>
      <w:r>
        <w:rPr>
          <w:rFonts w:ascii="Arial" w:cs="Arial" w:eastAsia="Arial" w:hAnsi="Arial"/>
          <w:sz w:val="16"/>
          <w:szCs w:val="16"/>
          <w:color w:val="auto"/>
        </w:rPr>
        <w:t>for the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We believe delivery of </w:t>
      </w:r>
      <w:r>
        <w:rPr>
          <w:rFonts w:ascii="Arial" w:cs="Arial" w:eastAsia="Arial" w:hAnsi="Arial"/>
          <w:sz w:val="16"/>
          <w:szCs w:val="16"/>
          <w:i w:val="1"/>
          <w:iCs w:val="1"/>
          <w:color w:val="auto"/>
        </w:rPr>
        <w:t>APOE2</w:t>
      </w:r>
      <w:r>
        <w:rPr>
          <w:rFonts w:ascii="Arial" w:cs="Arial" w:eastAsia="Arial" w:hAnsi="Arial"/>
          <w:sz w:val="16"/>
          <w:szCs w:val="16"/>
          <w:color w:val="auto"/>
        </w:rPr>
        <w:t xml:space="preserve"> with concurrent suppression of </w:t>
      </w:r>
      <w:r>
        <w:rPr>
          <w:rFonts w:ascii="Arial" w:cs="Arial" w:eastAsia="Arial" w:hAnsi="Arial"/>
          <w:sz w:val="16"/>
          <w:szCs w:val="16"/>
          <w:i w:val="1"/>
          <w:iCs w:val="1"/>
          <w:color w:val="auto"/>
        </w:rPr>
        <w:t>APOE4</w:t>
      </w:r>
      <w:r>
        <w:rPr>
          <w:rFonts w:ascii="Arial" w:cs="Arial" w:eastAsia="Arial" w:hAnsi="Arial"/>
          <w:sz w:val="16"/>
          <w:szCs w:val="16"/>
          <w:color w:val="auto"/>
        </w:rPr>
        <w:t xml:space="preserve"> will achieve a higher degree of conversion to the </w:t>
      </w:r>
      <w:r>
        <w:rPr>
          <w:rFonts w:ascii="Arial" w:cs="Arial" w:eastAsia="Arial" w:hAnsi="Arial"/>
          <w:sz w:val="16"/>
          <w:szCs w:val="16"/>
          <w:i w:val="1"/>
          <w:iCs w:val="1"/>
          <w:color w:val="auto"/>
        </w:rPr>
        <w:t>APOE4/E2</w:t>
      </w:r>
      <w:r>
        <w:rPr>
          <w:rFonts w:ascii="Arial" w:cs="Arial" w:eastAsia="Arial" w:hAnsi="Arial"/>
          <w:sz w:val="16"/>
          <w:szCs w:val="16"/>
          <w:color w:val="auto"/>
        </w:rPr>
        <w:t xml:space="preserve"> heterozygous profile, which should lead to greater therapeutic effect. We plan to complete candidate selection in 2024.</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company and team</w:t>
      </w:r>
    </w:p>
    <w:p>
      <w:pPr>
        <w:spacing w:after="0" w:line="13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were founded through a collaboration between the world-class gene therapy research at Weill Cornell Medicine and a team of pioneering scientists, clinicians, and business leaders with deep expertise in gene therapy. We continue to leverage our long-standing relationship with Weill Cornell Medicine through sponsored research and development efforts to progress our cardiovascular platform technology as well as our APOE4-associated Alzheimer’s disease product candidates. Through our acquisition of Stelios Therapeutics, Inc., we have an ongoing collaboration with the University of California, San Diego, or UCSD, through which we sponsor research and development designed to advance our earlier stage cardiovascular pipeline. We work with highly experienced teams at both Weill Cornell Medicine and UCSD that have deep expertise in the underlying biology of cardiovascular and APOE4-associated Alzheimer’s disease and the patient populations that they treat. We believe our ongoing work with these preeminent institutions, as well as any potential new or expanded collaborations, will continue to be a valuable aspect of our efforts as we seek to further discover and develop novel gene therapies for devastating diseases.</w:t>
      </w:r>
    </w:p>
    <w:p>
      <w:pPr>
        <w:spacing w:after="0" w:line="18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led by pioneers and experts with decades of collective experience in genetic medicines, rare disease drug development, manufacturing and commercialization. Our scientific founder and Chief Scientific Advisor, Ronald G. Crystal, M.D., is a world leader in gene therapy research and development and currently serves as Professor and Chairman of Weill Cornell Medicine’s Genetic Medicine Department and Director of the Belfer Gene Therapy Core Facility. Dr. Crystal has sponsored 14 cleared gene therapy IND applications and has published more than 300 papers on gene therapy. He has more than thirty years of experience with AAVs and vector design and expertise in CNS, cardiac, pulmonary and liver-mediated diseases. Our Chief Executive Officer, R. Nolan Townsend, has spent more than a decade working in global biopharmaceutical commercial organizations, including leading Pfizer’s $1.6 billion international rare disease commercial business unit. Mr. Townsend also led Pfizer’s U.S. rare disease commercial business unit, where he oversaw the successful U.S. launch of blockbuster rare cardiovascular product Vyndaqel/Vyndamax (tafamidis), now a $2.4 billion product by revenue. He has overseen other successful rare disease product launches and been involved in business and commercial development efforts for several gene therapy programs. Eric Adler, M.D., our Chief Scientific Officer, is a pioneer in cardiovascular gene therapy, and Professor of Medicine, head of the Heart Failure Section, Director of the Strauss Center for Cardiomyopathy, and the Czarina and Humberto S. Lopez Chancellor’s Endowed Chair in Cardiology at UCSD. Our Chief Technical Officer, Paul McCormac, Ph.D., has more than 20 years of experience and a proven track record in the field of gene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therapy and biologics chemistry, manufacturing, and controls, or CMC. He previously served as Medicinal Sciences Category Lead for Pfizer Rare Disease, where he led gene therapy CMC and vector supply strategy for Pfizer’s rare disease business and research units. Our Chief Legal and Administrative Officer, Jenny R. Robertson, previously served as Chief Counsel to Pfizer’s Oncology Business Unit and held other senior legal roles across her 12-year tenure there including the Chief Counsel to Pfizer’s Rare Disease Business Unit and its Emerging Markets Business Unit. Prior to joining Pfizer, Ms. Robertson spent 10 years in private practice with a large global law firm. Our Chairman, Steven Altschuler, M.D., is currently Managing Director at Ziff Capital Partners and was formerly Chairman of the gene therapy pioneer Spark Therapeutics, Inc., which was responsible for the first FDA-approved gene therapy, voretigene neparvovec-rzyl (Luxturna), and was acquired by Roche Holding AG in 2019 for $4.3 billion. Our senior leadership is supported by the rest of our management team, which has decades of experience across research, development, manufacturing and commercialization in gene therapy and rare disease both from prominent biotechnology companies and global biopharmaceutical companies that are active in the space.</w:t>
      </w:r>
    </w:p>
    <w:p>
      <w:pPr>
        <w:spacing w:after="0" w:line="11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Since our inception, we have raised $183.7 million in capital, including from certain funds affiliated with D1 Capital Partners, Eventide Healthcare &amp; Life Sciences Fund, Janus Henderson Investors, Longitude Capital, Lundbeckfonden Ventures, Omega Funds and PBM Capital. Prospective investors should not rely on the investment decisions of our existing investors, as these investors may have different risk tolerances and have received their shares in prior offerings at prices lower than the price offered to the public in this offering. See “Business—Certain Relationships and Related Party Transactions” for more information.</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company is purpose built to amplify genetic medicine’s potential for empowering individuals by treating the underlying cause of genetic disease.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key elements of our strategy to achieve this vision are to:</w:t>
      </w:r>
    </w:p>
    <w:p>
      <w:pPr>
        <w:spacing w:after="0" w:line="143" w:lineRule="exact"/>
        <w:rPr>
          <w:sz w:val="20"/>
          <w:szCs w:val="20"/>
          <w:color w:val="auto"/>
        </w:rPr>
      </w:pPr>
    </w:p>
    <w:p>
      <w:pPr>
        <w:ind w:left="340" w:right="80" w:hanging="224"/>
        <w:spacing w:after="0" w:line="290"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Focus our AAV-based gene therapy candidates in areas of high unmet need and with substantial potential for societal impact and commercial opportunity, such as genetically defined cardiovascular diseases and APOE4-associated Alzheimer’s disease</w:t>
      </w:r>
      <w:r>
        <w:rPr>
          <w:rFonts w:ascii="Arial" w:cs="Arial" w:eastAsia="Arial" w:hAnsi="Arial"/>
          <w:sz w:val="16"/>
          <w:szCs w:val="16"/>
          <w:color w:val="auto"/>
        </w:rPr>
        <w:t>. We are focused on genetically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cardiovascular diseases and APOE4-associated Alzheimer’s disease where there are no currently approved treatments or where we believe our therapies will provide a meaningful improvement relative to existing standards of care. Furthermore, we pursue indications with commercial opportunities beyond those typically associated with gene therapy companies targeting rare monogenic diseases. Among our cardiovascular programs, LX2006 has the potential to address a prevalent population of approximately 5,000 FA cardiomyopathy patients in the United States, and LX2020 has the potential to address approximately 60,000 patients in the United States with PKP2-ACM. We believe that LX1001 has the potential to address up to approximately 900,000 patients in the United States with homozygous APOE4-associated Alzheimer’s disease.</w:t>
      </w:r>
    </w:p>
    <w:p>
      <w:pPr>
        <w:spacing w:after="0" w:line="97" w:lineRule="exact"/>
        <w:rPr>
          <w:rFonts w:ascii="Arial" w:cs="Arial" w:eastAsia="Arial" w:hAnsi="Arial"/>
          <w:sz w:val="16"/>
          <w:szCs w:val="16"/>
          <w:color w:val="auto"/>
        </w:rPr>
      </w:pPr>
    </w:p>
    <w:p>
      <w:pPr>
        <w:ind w:left="340" w:right="100" w:hanging="224"/>
        <w:spacing w:after="0" w:line="290"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Advance a deep and diverse pipeline that includes candidates that are designed to address both larger-rare and more prevalent patient populations, prioritizing conditions most likely to benefit from our therapies</w:t>
      </w:r>
      <w:r>
        <w:rPr>
          <w:rFonts w:ascii="Arial" w:cs="Arial" w:eastAsia="Arial" w:hAnsi="Arial"/>
          <w:sz w:val="16"/>
          <w:szCs w:val="16"/>
          <w:color w:val="auto"/>
        </w:rPr>
        <w:t>. Our programs are designed to target either the aspect of the disease that is most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amenable to gene therapy or the genetic sub-groups that we believe are most likely to respond to gene therapy. For example, in the case of LX2006, we are targeting the cardiac manifestation of the disease because we believe it is more amenable to gene therapy than the neurologic manifestation. For LX2020, we are targeting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sub-group that represents approximately 75% of the genetic ACM cases and presents a clinical phenotype amenable to treatment. For LX1001, we are targeting homozygous APOE4-associated Alzheimer’s disease patients, the highest risk population to develop Alzheimer’s disease and the sub-group most likely to demonstrate a treatment effect from the expression of the protective APOE2 protein and where currently approved treatments have demonstrated clinical benefit less favorable compared to other </w:t>
      </w:r>
      <w:r>
        <w:rPr>
          <w:rFonts w:ascii="Arial" w:cs="Arial" w:eastAsia="Arial" w:hAnsi="Arial"/>
          <w:sz w:val="16"/>
          <w:szCs w:val="16"/>
          <w:i w:val="1"/>
          <w:iCs w:val="1"/>
          <w:color w:val="auto"/>
        </w:rPr>
        <w:t>APOE</w:t>
      </w:r>
      <w:r>
        <w:rPr>
          <w:rFonts w:ascii="Arial" w:cs="Arial" w:eastAsia="Arial" w:hAnsi="Arial"/>
          <w:sz w:val="16"/>
          <w:szCs w:val="16"/>
          <w:color w:val="auto"/>
        </w:rPr>
        <w:t xml:space="preserve"> genotypes.</w:t>
      </w:r>
    </w:p>
    <w:p>
      <w:pPr>
        <w:spacing w:after="0" w:line="97" w:lineRule="exact"/>
        <w:rPr>
          <w:rFonts w:ascii="Arial" w:cs="Arial" w:eastAsia="Arial" w:hAnsi="Arial"/>
          <w:sz w:val="16"/>
          <w:szCs w:val="16"/>
          <w:color w:val="auto"/>
        </w:rPr>
      </w:pPr>
    </w:p>
    <w:p>
      <w:pPr>
        <w:jc w:val="both"/>
        <w:ind w:left="340" w:right="180" w:hanging="224"/>
        <w:spacing w:after="0" w:line="26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Pursue a staged, capital-efficient approach for advancing programs through clinical development and regulatory approval</w:t>
      </w:r>
      <w:r>
        <w:rPr>
          <w:rFonts w:ascii="Arial" w:cs="Arial" w:eastAsia="Arial" w:hAnsi="Arial"/>
          <w:sz w:val="18"/>
          <w:szCs w:val="18"/>
          <w:color w:val="auto"/>
        </w:rPr>
        <w:t>. We are advancing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of AAV-based gene therapies for cardiovascular and APOE4-associated Alzheimer’s disease. We expect to report additional data from our Phase 1/2 clinical trial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60"/>
        <w:spacing w:after="0" w:line="288" w:lineRule="auto"/>
        <w:rPr>
          <w:sz w:val="20"/>
          <w:szCs w:val="20"/>
          <w:color w:val="auto"/>
        </w:rPr>
      </w:pPr>
      <w:r>
        <w:rPr>
          <w:rFonts w:ascii="Arial" w:cs="Arial" w:eastAsia="Arial" w:hAnsi="Arial"/>
          <w:sz w:val="16"/>
          <w:szCs w:val="16"/>
          <w:color w:val="auto"/>
        </w:rPr>
        <w:t xml:space="preserve">LX2006 for the treatment of FA cardiomyopathy in mid-2024. We expect to complete enrollment in the ongoing Phase 1/2 trial of LX1001 for the treatment of APOE4-associated Alzheimer’s disease by the end of 2023 and report additional interim data from all cohorts in 2024. We plan to leverage key learnings from our lead programs in cardiovascular and APOE4-associated Alzheimer’s disease to guide the development of our next-generation candidates and follow-on indications. Given that there are several targets in cardiac organelles that are dysregulated in cardiomyopathy, we believe there will be read-through to similar indications following clinical proof-of-concept from our initial FA cardiomyopathy and PKP2-ACM programs. Similarly, we believe that positive clinical data from our </w:t>
      </w:r>
      <w:r>
        <w:rPr>
          <w:rFonts w:ascii="Arial" w:cs="Arial" w:eastAsia="Arial" w:hAnsi="Arial"/>
          <w:sz w:val="16"/>
          <w:szCs w:val="16"/>
          <w:i w:val="1"/>
          <w:iCs w:val="1"/>
          <w:color w:val="auto"/>
        </w:rPr>
        <w:t>APOE4</w:t>
      </w:r>
      <w:r>
        <w:rPr>
          <w:rFonts w:ascii="Arial" w:cs="Arial" w:eastAsia="Arial" w:hAnsi="Arial"/>
          <w:sz w:val="16"/>
          <w:szCs w:val="16"/>
          <w:color w:val="auto"/>
        </w:rPr>
        <w:t xml:space="preserve">-associated Alzheimer’s disease program has the potential to validate our novel approach to treating the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sub-group and can help inform the development plan of our next-generation candidates. Furthermore, we plan to leverage biomarkers for each of our development programs, potentially enabling us to rapidly validate proof-of-mechanism and support further development efforts. We believe our strategy could facilitate shorter clinical trial timelines, which, coupled with expedited global regulatory approval pathways we plan to pursue, could potentially accelerate clinical development and reduce overall development costs.</w:t>
      </w:r>
    </w:p>
    <w:p>
      <w:pPr>
        <w:spacing w:after="0" w:line="101" w:lineRule="exact"/>
        <w:rPr>
          <w:sz w:val="20"/>
          <w:szCs w:val="20"/>
          <w:color w:val="auto"/>
        </w:rPr>
      </w:pPr>
    </w:p>
    <w:p>
      <w:pPr>
        <w:ind w:left="340" w:right="300" w:hanging="224"/>
        <w:spacing w:after="0" w:line="25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Utilize a unified, high-quality manufacturing platform that can quickly respond at scale to high impact opportunities. </w:t>
      </w:r>
      <w:r>
        <w:rPr>
          <w:rFonts w:ascii="Arial" w:cs="Arial" w:eastAsia="Arial" w:hAnsi="Arial"/>
          <w:sz w:val="18"/>
          <w:szCs w:val="18"/>
          <w:color w:val="auto"/>
        </w:rPr>
        <w:t>We plan to use a unified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across all current and future programs to manufacture vector for clinical and commercial use via a proprietary platform suspension baculovirus process using Sf9 cells. This production platform has demonstrated the capability to produce high-quality, high-yield, and high-potency vectors that can accommodate demand for both larger rare and prevalent patient populations. We are currently working with third parties for our manufacturing capabilities; however, we will evaluate building out our own current good manufacturing practices, or cGMP, - compliant manufacturing facility as, and if, we achieve further clinical success or any of our product candidates ultimately receive marketing authorization.</w:t>
      </w:r>
    </w:p>
    <w:p>
      <w:pPr>
        <w:spacing w:after="0" w:line="127"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Pursue next-generation genetic medicine technologies that can enhance our capabilities and expand our impact on patients</w:t>
      </w:r>
      <w:r>
        <w:rPr>
          <w:rFonts w:ascii="Arial" w:cs="Arial" w:eastAsia="Arial" w:hAnsi="Arial"/>
          <w:sz w:val="17"/>
          <w:szCs w:val="17"/>
          <w:color w:val="auto"/>
        </w:rPr>
        <w:t>. We have combined our</w:t>
      </w:r>
      <w:r>
        <w:rPr>
          <w:rFonts w:ascii="Arial" w:cs="Arial" w:eastAsia="Arial" w:hAnsi="Arial"/>
          <w:sz w:val="17"/>
          <w:szCs w:val="17"/>
          <w:i w:val="1"/>
          <w:iCs w:val="1"/>
          <w:color w:val="auto"/>
        </w:rPr>
        <w:t xml:space="preserve"> </w:t>
      </w:r>
      <w:r>
        <w:rPr>
          <w:rFonts w:ascii="Arial" w:cs="Arial" w:eastAsia="Arial" w:hAnsi="Arial"/>
          <w:sz w:val="17"/>
          <w:szCs w:val="17"/>
          <w:color w:val="auto"/>
        </w:rPr>
        <w:t>robust expertise in vector design, regulatory and clinical strategy, and disease area knowledge to establish a deep cardiovascular gene therapy pipeline. We have chosen to use AAVrh10 across our initial programs and will continue to evaluate the latest scientific understanding of capsid technology for each of our future programs. We will continue to pursue the development of novel capsids, promoter technologies, routes of delivery and other next-generation capabilities to optimize the potential therapeutic efficacy of our programs through our own efforts and in collaboration with others. In August 2023, we announced a strategic investment from Sarepta Therapeutics, Inc., which we intend to use to support the development of our cardiovascular gene therapies and to explore collaboration opportunities within our preclinical cardiovascular pipeline. We may explore additional opportunities to forge strategic partnerships and collaborations in the future.</w:t>
      </w:r>
    </w:p>
    <w:p>
      <w:pPr>
        <w:spacing w:after="0" w:line="110" w:lineRule="exact"/>
        <w:rPr>
          <w:rFonts w:ascii="Arial" w:cs="Arial" w:eastAsia="Arial" w:hAnsi="Arial"/>
          <w:sz w:val="17"/>
          <w:szCs w:val="17"/>
          <w:color w:val="auto"/>
        </w:rPr>
      </w:pPr>
    </w:p>
    <w:p>
      <w:pPr>
        <w:ind w:left="340" w:right="200" w:hanging="224"/>
        <w:spacing w:after="0" w:line="273"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Leverage and expand upon our partnerships and exclusive licenses with world-class academic institutions</w:t>
      </w:r>
      <w:r>
        <w:rPr>
          <w:rFonts w:ascii="Arial" w:cs="Arial" w:eastAsia="Arial" w:hAnsi="Arial"/>
          <w:sz w:val="17"/>
          <w:szCs w:val="17"/>
          <w:color w:val="auto"/>
        </w:rPr>
        <w:t>. Our foundational science stems from</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partnerships and exclusive licenses with leading academic laboratories at Weill Cornell Medicine and UCSD, two preeminent institutions on the cutting edge of gene therapy research. Of note, our Chief Scientific Advisor, Ronald G. Crystal, M.D., has sponsored 14 cleared gene therapy IND applications across multiple disease areas, and researchers at UCSD led the discovery efforts of a cardiovascular gene therapy program that is expected to move into late-stage clinical trials. We will continue to draw on the scientific expertise provided by these partnerships while evaluating new opportunities for complementary research and development with other academic collaborators.</w:t>
      </w:r>
    </w:p>
    <w:p>
      <w:pPr>
        <w:spacing w:after="0" w:line="110" w:lineRule="exact"/>
        <w:rPr>
          <w:rFonts w:ascii="Arial" w:cs="Arial" w:eastAsia="Arial" w:hAnsi="Arial"/>
          <w:sz w:val="17"/>
          <w:szCs w:val="17"/>
          <w:color w:val="auto"/>
        </w:rPr>
      </w:pPr>
    </w:p>
    <w:p>
      <w:pPr>
        <w:ind w:left="340" w:hanging="224"/>
        <w:spacing w:after="0" w:line="25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Build a fully integrated genetic medicine company and selectively evaluate strategic opportunities to maximize the impact of our pipeline</w:t>
      </w:r>
      <w:r>
        <w:rPr>
          <w:rFonts w:ascii="Arial" w:cs="Arial" w:eastAsia="Arial" w:hAnsi="Arial"/>
          <w:sz w:val="18"/>
          <w:szCs w:val="18"/>
          <w:color w:val="auto"/>
        </w:rPr>
        <w:t>. We aim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 develop, manufacture, and eventually commercialize our gene therapy candidates. Despite the larger populations in most of our target indications, we believe genetically defined patient populations enable us to pursue a rare disease commercialization strategy characterized by targeted patient identification and facilitating an efficient patient journey through the diagnostic process, engagement with patient advocacy groups, the potential for value-based market access efforts, and sales, account management, and field reimbursement teams focused on the small number of centers that typically diagnose and treat genetic diseases. We may seek strategic collaborations where we believe the resources and expertise of third-party pharmaceutical or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biotechnology companies could accelerate the clinical development or maximize the market potential of our product candidates, or where such collaborations could expand our internal capabilities and platform technology. In particular, our LX1001 program may benefit from a co-development partnership to help us take the program through later stages of development.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approach</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Background and successes of gene therapy</w:t>
      </w:r>
    </w:p>
    <w:p>
      <w:pPr>
        <w:spacing w:after="0" w:line="14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Gene therapy is one of the most important emerging modalities, given its potential, in a single administration, to treat or cure life threatening diseases. Other non-genetic medicine approaches have alleviated certain symptoms and conditions associated with genetic diseases, but they do not directly address the underlying genetic cause of the disease.</w:t>
      </w:r>
    </w:p>
    <w:p>
      <w:pPr>
        <w:spacing w:after="0" w:line="116"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Gene therapies are designed to deliver transgenes, which are functional versions of the genes that are mutated or are the cause of deficient proteins that manifest in genetic diseases. These transgenes are utilized by the body’s cellular machinery to naturally produce functional proteins that were deficient or non-functional prior to treatment. The production of these functional proteins is intended to provide consistent and durable therapeutic benefit. Gene therapies are typically comprised of three key components: a vector—a vehicle that delivers a transgene to cells in the body; a transgene—a gene intended to produce a functional protein; and a promoter—a specialized DNA sequence that directs cells to initiate transcription. AAV-based gene therapy has been shown to be highly effective in targeting many organ systems and has been studied in more than 3,300 patients worldwide.</w:t>
      </w:r>
    </w:p>
    <w:p>
      <w:pPr>
        <w:spacing w:after="0" w:line="83"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Although gene therapies have been studied in human clinical trials for over 30 years, there are few AAV-based gene therapy products approved by the FDA: voretigene neparvovec rzyl (Luxturna), for the treatment of a rare ocular condition; onasemnogene abeparvovec xioi (Zolgensma), for the treatment of a rare neuromuscular condition; etranacogene dezaparvovec (Hemegenix), for the treatment of adults with Hemophilia B who currently use Factor IX prophylaxis therapy; nadofaragene firadenovec-vncg (Adstiladrin), for an unresponsive non-muscle invasive bladder cancer; valoctocogene roxaparvovec-rvox (Roctavian), for the treatment of adults with severe Hemophilia A; and delandistrogene moxeparvovec-rokl (Elevidys) for the treatment of ambulatory pediatric patients aged four through five years with Duchenne muscular dystrophy. Less than four years after its 2019 FDA approval, Zolgensma generated $1.4 billion of net product sales in 2022, highlighting the commercial viability of novel gene therapies.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Challenges associated with gene therapies</w:t>
      </w:r>
    </w:p>
    <w:p>
      <w:pPr>
        <w:spacing w:after="0" w:line="13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Although substantial advances have been made in the gene therapy field, numerous challenges remain that are associated with safety, efficacy and manufacturing, including:</w:t>
      </w:r>
    </w:p>
    <w:p>
      <w:pPr>
        <w:spacing w:after="0" w:line="103" w:lineRule="exact"/>
        <w:rPr>
          <w:sz w:val="20"/>
          <w:szCs w:val="20"/>
          <w:color w:val="auto"/>
        </w:rPr>
      </w:pPr>
    </w:p>
    <w:p>
      <w:pPr>
        <w:ind w:left="340" w:right="220" w:hanging="224"/>
        <w:spacing w:after="0" w:line="23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High doses of systemic gene therapy resulting in toxicity</w:t>
      </w:r>
      <w:r>
        <w:rPr>
          <w:rFonts w:ascii="Arial" w:cs="Arial" w:eastAsia="Arial" w:hAnsi="Arial"/>
          <w:sz w:val="18"/>
          <w:szCs w:val="18"/>
          <w:color w:val="auto"/>
        </w:rPr>
        <w:t>. Like many other drug modalities, higher doses of gene therapies have been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toxicity events. Thus far, systemic gene therapies that are intended to treat larger tissues or organ systems (such as in neuromuscular diseases) have typically required higher doses to demonstrate a therapeutic effect (1x10</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vg/kg and higher). Adverse effects such as liver toxicity and microvascular thrombosis may arise from higher doses of gene therapy, leading to direct injury to hepatocytes and activation of aversive immune responses.</w:t>
      </w:r>
    </w:p>
    <w:p>
      <w:pPr>
        <w:spacing w:after="0" w:line="134" w:lineRule="exact"/>
        <w:rPr>
          <w:rFonts w:ascii="Arial" w:cs="Arial" w:eastAsia="Arial" w:hAnsi="Arial"/>
          <w:sz w:val="18"/>
          <w:szCs w:val="18"/>
          <w:color w:val="auto"/>
        </w:rPr>
      </w:pPr>
    </w:p>
    <w:p>
      <w:pPr>
        <w:ind w:left="340" w:right="20" w:hanging="224"/>
        <w:spacing w:after="0" w:line="25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Delivery and biodistribution challenges in CNS gene therapy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Gene therapies for CNS indications may cause dorsal root ganglia pathology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preferential expression profile in dorsal root ganglia if administered to the CNS. In addition, gene therapies administered to the CNS must overcome the challenge of insufficient biodistribution to neurons and other cells of the CNS in the case of therapies that target intracellular proteins, diminishing their potential efficacy.</w:t>
      </w:r>
    </w:p>
    <w:p>
      <w:pPr>
        <w:spacing w:after="0" w:line="119" w:lineRule="exact"/>
        <w:rPr>
          <w:rFonts w:ascii="Arial" w:cs="Arial" w:eastAsia="Arial" w:hAnsi="Arial"/>
          <w:sz w:val="18"/>
          <w:szCs w:val="18"/>
          <w:color w:val="auto"/>
        </w:rPr>
      </w:pPr>
    </w:p>
    <w:p>
      <w:pPr>
        <w:ind w:left="340" w:right="260" w:hanging="224"/>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Lack of scalable, high-quality manufacturing</w:t>
      </w:r>
      <w:r>
        <w:rPr>
          <w:rFonts w:ascii="Arial" w:cs="Arial" w:eastAsia="Arial" w:hAnsi="Arial"/>
          <w:sz w:val="18"/>
          <w:szCs w:val="18"/>
          <w:color w:val="auto"/>
        </w:rPr>
        <w:t>. Early-stage manufacture of AAV gene therapy has traditionally relied on the use of HEK adherent</w:t>
      </w:r>
      <w:r>
        <w:rPr>
          <w:rFonts w:ascii="Arial" w:cs="Arial" w:eastAsia="Arial" w:hAnsi="Arial"/>
          <w:sz w:val="18"/>
          <w:szCs w:val="18"/>
          <w:i w:val="1"/>
          <w:iCs w:val="1"/>
          <w:color w:val="auto"/>
        </w:rPr>
        <w:t xml:space="preserve"> </w:t>
      </w:r>
      <w:r>
        <w:rPr>
          <w:rFonts w:ascii="Arial" w:cs="Arial" w:eastAsia="Arial" w:hAnsi="Arial"/>
          <w:sz w:val="18"/>
          <w:szCs w:val="18"/>
          <w:color w:val="auto"/>
        </w:rPr>
        <w:t>and suspension cell culture using plasmid transfection and subsequent ultracentrifugation-based purification. This approach involves the use of expensive plasmids and results in a long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production cycle. Additional issues include low yield and quality of the material produced, including incorporation of non-transgene DNA impurities, ratio of empty-to-full capsid and inefficient removal of process residuals. It has been reported that empty capsids and DNA impurities can cause innate and adaptive immune responses to AAV and even inhibit transduction by filled capsids. Furthermore, the HEK adherent and suspension cell culture approach has proven difficult to scale up.</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gene therapy approach</w:t>
      </w:r>
    </w:p>
    <w:p>
      <w:pPr>
        <w:spacing w:after="0" w:line="132"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Our integrated modular approach enables us to optimize our strategy to pursue larger-rare and prevalent genetically defined indications in specific sub-groups of patients. Our gene therapy candidates utilize the vector construct, dose and route of administration that we believe will result in the most favorable biodistribution profile for each disease. By specifically tailoring our technological approach to each targeted disease, we believe we can optimize treatments to achieve the highest likelihood of having potential therapeutic impact. Our disease area strategy is focused on defined sub-groups within selected cardiovascular diseases and APOE4-associated Alzheimer’s disease that we believe are most amenable to gene therapy. Across our portfolio, we are utilizing a scalable baculovirus/Sf9 expression system that has demonstrated the capability to produce high-quality, high-yield, and high-potency vectors that can accommodate demand for both rare and prevalent patient populations. Finally, we continuously seek to bolster our pipeline through relationships with academic institutions, providing us with access to cutting edge genetic medicines research which will include not only AAV gene therapy but also other potential therapeutics payload types and non-viral delivery systems.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technology approach</w:t>
      </w:r>
    </w:p>
    <w:p>
      <w:pPr>
        <w:spacing w:after="0" w:line="14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most advanced cardiac and APOE4-associated Alzheimer’s disease programs use the AAVrh10 vector due to its high transduction efficiency in both myocardial cells and neurons, higher ratio of cardiac to liver biodistribution, potentially lower toxicity given the ability to utilize lower doses, compared to other well-established AAV serotypes, and lower pre-existing immunity. We believe that our approach to technology has the potential to confer the following advantages over existing gene therapy technologies:</w:t>
      </w:r>
    </w:p>
    <w:p>
      <w:pPr>
        <w:spacing w:after="0" w:line="119" w:lineRule="exact"/>
        <w:rPr>
          <w:sz w:val="20"/>
          <w:szCs w:val="20"/>
          <w:color w:val="auto"/>
        </w:rPr>
      </w:pPr>
    </w:p>
    <w:p>
      <w:pPr>
        <w:ind w:left="340" w:hanging="224"/>
        <w:spacing w:after="0" w:line="287"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High Transduction Efficiency and Biodistribution</w:t>
      </w:r>
      <w:r>
        <w:rPr>
          <w:rFonts w:ascii="Arial" w:cs="Arial" w:eastAsia="Arial" w:hAnsi="Arial"/>
          <w:sz w:val="16"/>
          <w:szCs w:val="16"/>
          <w:color w:val="auto"/>
        </w:rPr>
        <w:t>. The AAVrh10 vector has been shown to be capable of transducing myocardial cells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research, and it has been shown to be capable of transducing neurons based on results from preclinical studies and our ongoing clinical trials. We believe these results demonstrate that among currently available, commonly used serotypes, AAVrh10 is an efficient vector for delivery and expression of transgenes for the treatment of the cardiovascular diseases that we are currently targeting and APOE4-associated Alzheimer’s disease. We have observed organ-specific biodistribution advantages for our AAVrh10 vector compared to AAV9, a well-known serotype that has been evaluated in several clinical trials, including one cardiovascular clinical trial. For example, we have observed vector distribution of AAVrh10 in cardiac tissue of non-human primates, or NHPs, that is two times greater than for AAV9. Additionally, our preliminary studies in Yucatan minipigs have shown that AAVrh10 has approximately 1.5 times greater biodistribution in the heart than AAV9. In addition, preclinical studies conducted by Weill Cornell Medicine have demonstrated that systemic administration of AAVrh10 promotes a ratio of cardiac-to-liver biodistribution that is more favorable than what is known of other commonly used vector serotypes. Preclinical data from a study using a murine model conducted by other researchers has demonstrated that more AAVrh10 particles transduced a single brain cell than AAV9. Additionally, third party researchers observed higher transduction efficiency of AAVrh10 compared to AAV9 in all brain regions evaluated in a preclinical murine study.</w:t>
      </w:r>
    </w:p>
    <w:p>
      <w:pPr>
        <w:spacing w:after="0" w:line="100" w:lineRule="exact"/>
        <w:rPr>
          <w:rFonts w:ascii="Arial" w:cs="Arial" w:eastAsia="Arial" w:hAnsi="Arial"/>
          <w:sz w:val="16"/>
          <w:szCs w:val="16"/>
          <w:color w:val="auto"/>
        </w:rPr>
      </w:pPr>
    </w:p>
    <w:p>
      <w:pPr>
        <w:ind w:left="340" w:right="20" w:hanging="224"/>
        <w:spacing w:after="0" w:line="233"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Reduced Toxicity</w:t>
      </w:r>
      <w:r>
        <w:rPr>
          <w:rFonts w:ascii="Arial" w:cs="Arial" w:eastAsia="Arial" w:hAnsi="Arial"/>
          <w:sz w:val="18"/>
          <w:szCs w:val="18"/>
          <w:color w:val="auto"/>
        </w:rPr>
        <w:t>. The cardiac tropism of AAVrh10 may allow our gene therapy candidates to be systemically administered at lower doses than</w:t>
      </w:r>
      <w:r>
        <w:rPr>
          <w:rFonts w:ascii="Arial" w:cs="Arial" w:eastAsia="Arial" w:hAnsi="Arial"/>
          <w:sz w:val="18"/>
          <w:szCs w:val="18"/>
          <w:i w:val="1"/>
          <w:iCs w:val="1"/>
          <w:color w:val="auto"/>
        </w:rPr>
        <w:t xml:space="preserve"> </w:t>
      </w:r>
      <w:r>
        <w:rPr>
          <w:rFonts w:ascii="Arial" w:cs="Arial" w:eastAsia="Arial" w:hAnsi="Arial"/>
          <w:sz w:val="18"/>
          <w:szCs w:val="18"/>
          <w:color w:val="auto"/>
        </w:rPr>
        <w:t>many other AAV-based therapies targeting cardiovascular or other systemic diseases. We have selected target indications that we believe will be responsive to AAVrh10-based therapies administered at comparatively lower doses, which will potentially reduce toxicities that have been reported in clinical trials of higher-dose gene therapies. For example, compared to doses used in other systemic gene therapy programs which can exceed 1x10</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genome copies per kilogram, we intend to use doses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340" w:right="100"/>
        <w:spacing w:after="0" w:line="222" w:lineRule="auto"/>
        <w:rPr>
          <w:sz w:val="20"/>
          <w:szCs w:val="20"/>
          <w:color w:val="auto"/>
        </w:rPr>
      </w:pPr>
      <w:r>
        <w:rPr>
          <w:rFonts w:ascii="Arial" w:cs="Arial" w:eastAsia="Arial" w:hAnsi="Arial"/>
          <w:sz w:val="18"/>
          <w:szCs w:val="18"/>
          <w:color w:val="auto"/>
        </w:rPr>
        <w:t>of low x10</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to low x10</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genome copies per kilogram in our Phase 1/2 clinical trial of LX2006 for the treatment of FA cardiomyopathy. Similarly, early data suggest a lower dorsal root ganglia toxicity profile than other commonly used vectors, making it amenable for treating APOE4-associated Alzheimer’s disease at potentially higher doses than other vectors.</w:t>
      </w:r>
    </w:p>
    <w:p>
      <w:pPr>
        <w:spacing w:after="0" w:line="137" w:lineRule="exact"/>
        <w:rPr>
          <w:sz w:val="20"/>
          <w:szCs w:val="20"/>
          <w:color w:val="auto"/>
        </w:rPr>
      </w:pPr>
    </w:p>
    <w:p>
      <w:pPr>
        <w:ind w:left="340" w:right="20" w:hanging="224"/>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Reduced Pre-Existing Neutralizing Antibodies</w:t>
      </w:r>
      <w:r>
        <w:rPr>
          <w:rFonts w:ascii="Arial" w:cs="Arial" w:eastAsia="Arial" w:hAnsi="Arial"/>
          <w:sz w:val="18"/>
          <w:szCs w:val="18"/>
          <w:color w:val="auto"/>
        </w:rPr>
        <w:t>. Treatments leveraging vector serotypes to which humans have pre-existing immunity tend to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Among the naturally occurring and commonly used AAV serotypes, AAVrh10 has been shown in preclinical studies to have among the lowest levels of pre-existing neutralizing antibodies.</w:t>
      </w:r>
    </w:p>
    <w:p>
      <w:pPr>
        <w:spacing w:after="0" w:line="116" w:lineRule="exact"/>
        <w:rPr>
          <w:rFonts w:ascii="Arial" w:cs="Arial" w:eastAsia="Arial" w:hAnsi="Arial"/>
          <w:sz w:val="18"/>
          <w:szCs w:val="18"/>
          <w:color w:val="auto"/>
        </w:rPr>
      </w:pPr>
    </w:p>
    <w:p>
      <w:pPr>
        <w:ind w:left="340" w:right="120" w:hanging="224"/>
        <w:spacing w:after="0" w:line="259"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Optimized Expression</w:t>
      </w:r>
      <w:r>
        <w:rPr>
          <w:rFonts w:ascii="Arial" w:cs="Arial" w:eastAsia="Arial" w:hAnsi="Arial"/>
          <w:sz w:val="18"/>
          <w:szCs w:val="18"/>
          <w:color w:val="auto"/>
        </w:rPr>
        <w:t>. We are collaborating with our academic partners to develop tissue-specific promoters and enhancers, tissue-specific codon</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and tissue-specific, miRNA-based knockdown which can be utilized to limit transgene expression in non-target organs. We are also exploring additional genetic medicine approaches to increase tissue tropism using novel capsids and developing next generation expression systems to optimize the potential therapeutic efficacy of our product candidates.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precision medicine focus</w:t>
      </w:r>
    </w:p>
    <w:p>
      <w:pPr>
        <w:spacing w:after="0" w:line="23"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We are focused on disease areas that have seen limited penetration of precision medicines, which we define as medications that treat the underlying molecular mechanism of a disease. The development of precision medicines has transformed treatment paradigms in certain therapeutic areas. For example, the top five precision medicines approved in oncology between 2016 and 2021 have a combined estimated U.S. annual peak sales of approximately $25 billion. Conversely, relatively few precision medicines have been approved for treating cardiac or central nervous system conditions; this is despite a rapid advancement in the understanding of the genetic underpinning of cardiovascular and neurologic diseases and the improved ability of viral vectors to transduce the heart and brain safely.</w:t>
      </w:r>
    </w:p>
    <w:p>
      <w:pPr>
        <w:spacing w:after="0" w:line="11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Cardiovascular disease remains the most significant cause of morbidity and mortality in the western world and is rapidly becoming a primary cause of death worldwide. We believe the current lack of precision medicines across the cardiovascular landscape is due to historical regulatory precedents focused on “hard endpoints” and delivery technology that has been insufficiently cardiotropic. However, recent approvals by the FDA suggest a willingness to approve new therapies based on biomarkers and functional endpoints. For example, a competitor recently announced FDA alignment on the design of its pivotal study for RP-A501 for the treatment of Danon disease. The 12 patient study will utilize a co-primary endpoint consisting of protein expression and a reduction in left ventricular mass, with troponin noted as a key secondary endpoint, and it will have an external comparator arm. We believe this highlights the potential to utilize similar biomarkers for other genetic cardiomyopathies with high unmet need, subject to regulatory approval.</w:t>
      </w:r>
    </w:p>
    <w:p>
      <w:pPr>
        <w:spacing w:after="0" w:line="124"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Furthermore, modern AAV delivery technology generally targets the heart and mediates the delivery of genetic payloads. These developments should foster the introduction of genetic medicines in the cardiovascular treatment landscape, offering one of the most substantial opportunities for the uptake of precision medicines in the global pharmaceutical marketplace. There is significant potential for cardiovascular precision medicine. For example, approximately 30% of cases of dilated cardiomyopathy, a common cause of heart failure, stem from genetic mutations in which more than 50 distinct genes have been implicated. Advancements in genome sequencing have led to increasing identification of these genetic mutations over the last two decades. In the majority of genetic cardiomyopathies, there is no existing disease-modifying therapeutic option. In cases where a disease-modifying treatment option is available, the current standard of care only forestalls disease progression. We believe our cardiovascular precision medicine focus offers the opportunity to treat the underlying root cause of the disease and more effectively reverse disease progression with a single dose.</w:t>
      </w:r>
    </w:p>
    <w:p>
      <w:pPr>
        <w:spacing w:after="0" w:line="9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 xml:space="preserve">Precision medicine has been more relevant across CNS disorders, in particular gene therapies for ophthalmologic and neuromuscular degeneration. However, there has been limited advancement in developing precision medicines for Alzheimer’s disease, the most significant commercial opportunity within the CNS landscape. </w:t>
      </w:r>
      <w:r>
        <w:rPr>
          <w:rFonts w:ascii="Arial" w:cs="Arial" w:eastAsia="Arial" w:hAnsi="Arial"/>
          <w:sz w:val="16"/>
          <w:szCs w:val="16"/>
          <w:i w:val="1"/>
          <w:iCs w:val="1"/>
          <w:color w:val="auto"/>
        </w:rPr>
        <w:t>APOE</w:t>
      </w:r>
      <w:r>
        <w:rPr>
          <w:rFonts w:ascii="Arial" w:cs="Arial" w:eastAsia="Arial" w:hAnsi="Arial"/>
          <w:sz w:val="16"/>
          <w:szCs w:val="16"/>
          <w:color w:val="auto"/>
        </w:rPr>
        <w:t xml:space="preserve"> is the leading genetic risk factor for Alzheimer’s disease, and, despite differences in treatment effect and safety seen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 xml:space="preserve">between subpopulations in recent clinical trials, currently-approved, disease-modifying treatments for Alzheimer’s disease utilize a “one-size-fits-all” approach, regardless of </w:t>
      </w:r>
      <w:r>
        <w:rPr>
          <w:rFonts w:ascii="Arial" w:cs="Arial" w:eastAsia="Arial" w:hAnsi="Arial"/>
          <w:sz w:val="18"/>
          <w:szCs w:val="18"/>
          <w:i w:val="1"/>
          <w:iCs w:val="1"/>
          <w:color w:val="auto"/>
        </w:rPr>
        <w:t>APOE</w:t>
      </w:r>
      <w:r>
        <w:rPr>
          <w:rFonts w:ascii="Arial" w:cs="Arial" w:eastAsia="Arial" w:hAnsi="Arial"/>
          <w:sz w:val="18"/>
          <w:szCs w:val="18"/>
          <w:color w:val="auto"/>
        </w:rPr>
        <w:t xml:space="preserve"> subpopulation. We believe this highlights the unmet need for precision medicines as the Alzheimer’s disease treatment paradigm continues to shift.</w:t>
      </w:r>
    </w:p>
    <w:p>
      <w:pPr>
        <w:spacing w:after="0" w:line="11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believe a precision medicine focus for cardiovascular diseases and APOE4-associated Alzheimer’s disease represents a compelling opportunity and the next frontier in expanding the impact of genetic medicines across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74295</wp:posOffset>
            </wp:positionV>
            <wp:extent cx="3077210" cy="19030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7721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180" w:hanging="224"/>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Precision genetic medicines target the underlying cause of the disease: </w:t>
      </w:r>
      <w:r>
        <w:rPr>
          <w:rFonts w:ascii="Arial" w:cs="Arial" w:eastAsia="Arial" w:hAnsi="Arial"/>
          <w:sz w:val="18"/>
          <w:szCs w:val="18"/>
          <w:color w:val="auto"/>
        </w:rPr>
        <w:t>next-generation, precision-based genetic medicines offer the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target the mechanisms underlying cardiovascular disease and Alzheimer’s disease.</w:t>
      </w:r>
    </w:p>
    <w:p>
      <w:pPr>
        <w:spacing w:after="0" w:line="102" w:lineRule="exact"/>
        <w:rPr>
          <w:rFonts w:ascii="Arial" w:cs="Arial" w:eastAsia="Arial" w:hAnsi="Arial"/>
          <w:sz w:val="18"/>
          <w:szCs w:val="18"/>
          <w:color w:val="auto"/>
        </w:rPr>
      </w:pPr>
    </w:p>
    <w:p>
      <w:pPr>
        <w:ind w:left="340" w:right="80" w:hanging="224"/>
        <w:spacing w:after="0" w:line="311"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Significant unmet need in cardiovascular disease and APOE4-associated Alzheimer’s disease: </w:t>
      </w:r>
      <w:r>
        <w:rPr>
          <w:rFonts w:ascii="Arial" w:cs="Arial" w:eastAsia="Arial" w:hAnsi="Arial"/>
          <w:sz w:val="16"/>
          <w:szCs w:val="16"/>
          <w:color w:val="auto"/>
        </w:rPr>
        <w:t>more than 30 million adults have been diagnosed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655,000 Americans die yearly from heart disease. Additionally, we believe there are approximately 900,000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in the United States, and current treatment options are likely to be less effective for this subpopulation of patients.</w:t>
      </w:r>
    </w:p>
    <w:p>
      <w:pPr>
        <w:spacing w:after="0" w:line="81" w:lineRule="exact"/>
        <w:rPr>
          <w:rFonts w:ascii="Arial" w:cs="Arial" w:eastAsia="Arial" w:hAnsi="Arial"/>
          <w:sz w:val="16"/>
          <w:szCs w:val="16"/>
          <w:color w:val="auto"/>
        </w:rPr>
      </w:pPr>
    </w:p>
    <w:p>
      <w:pPr>
        <w:ind w:left="340" w:right="140" w:hanging="224"/>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Improved landscape of regulatory precedents utilizing cardiac and CNS biomarkers: </w:t>
      </w:r>
      <w:r>
        <w:rPr>
          <w:rFonts w:ascii="Arial" w:cs="Arial" w:eastAsia="Arial" w:hAnsi="Arial"/>
          <w:sz w:val="16"/>
          <w:szCs w:val="16"/>
          <w:color w:val="auto"/>
        </w:rPr>
        <w:t>biomarkers can help accelerate development timelines,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patient attrition, and reduce the overall cost of drug development by providing an early read on potential efficacy and therapeutic impact.</w:t>
      </w:r>
    </w:p>
    <w:p>
      <w:pPr>
        <w:spacing w:after="0" w:line="56" w:lineRule="exact"/>
        <w:rPr>
          <w:rFonts w:ascii="Arial" w:cs="Arial" w:eastAsia="Arial" w:hAnsi="Arial"/>
          <w:sz w:val="16"/>
          <w:szCs w:val="16"/>
          <w:color w:val="auto"/>
        </w:rPr>
      </w:pPr>
    </w:p>
    <w:p>
      <w:pPr>
        <w:ind w:left="340" w:hanging="224"/>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Improved diagnostics expand market opportunity: </w:t>
      </w:r>
      <w:r>
        <w:rPr>
          <w:rFonts w:ascii="Arial" w:cs="Arial" w:eastAsia="Arial" w:hAnsi="Arial"/>
          <w:sz w:val="16"/>
          <w:szCs w:val="16"/>
          <w:color w:val="auto"/>
        </w:rPr>
        <w:t>implementation of genetic testing has the potential to help identify patients, including those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asymptomatic or at a higher likelihood of developing the disease being evaluated or who respond less favorably to currently approved treatments.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disease area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51755" cy="1911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5175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cardiovascular and APOE4-associated gene therapy programs are designed to have the following characteristics:</w:t>
      </w:r>
    </w:p>
    <w:p>
      <w:pPr>
        <w:spacing w:after="0" w:line="158" w:lineRule="exact"/>
        <w:rPr>
          <w:sz w:val="20"/>
          <w:szCs w:val="20"/>
          <w:color w:val="auto"/>
        </w:rPr>
      </w:pPr>
    </w:p>
    <w:p>
      <w:pPr>
        <w:ind w:left="340" w:right="440" w:hanging="224"/>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Indications that may be effectively treated by gene therapy.</w:t>
      </w:r>
      <w:r>
        <w:rPr>
          <w:rFonts w:ascii="Arial" w:cs="Arial" w:eastAsia="Arial" w:hAnsi="Arial"/>
          <w:sz w:val="18"/>
          <w:szCs w:val="18"/>
          <w:color w:val="auto"/>
        </w:rPr>
        <w:t> We select targets that correspond to populations with a specific genetic profile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clearly defined disease phenotype.</w:t>
      </w:r>
    </w:p>
    <w:p>
      <w:pPr>
        <w:spacing w:after="0" w:line="102"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Indications with the potential to demonstrate early evidence of meaningful clinical benefit.</w:t>
      </w:r>
      <w:r>
        <w:rPr>
          <w:rFonts w:ascii="Arial" w:cs="Arial" w:eastAsia="Arial" w:hAnsi="Arial"/>
          <w:sz w:val="17"/>
          <w:szCs w:val="17"/>
          <w:color w:val="auto"/>
        </w:rPr>
        <w:t> We pursue clearly defined biomarkers and functional</w:t>
      </w:r>
      <w:r>
        <w:rPr>
          <w:rFonts w:ascii="Arial" w:cs="Arial" w:eastAsia="Arial" w:hAnsi="Arial"/>
          <w:sz w:val="17"/>
          <w:szCs w:val="17"/>
          <w:i w:val="1"/>
          <w:iCs w:val="1"/>
          <w:color w:val="auto"/>
        </w:rPr>
        <w:t xml:space="preserve"> </w:t>
      </w:r>
      <w:r>
        <w:rPr>
          <w:rFonts w:ascii="Arial" w:cs="Arial" w:eastAsia="Arial" w:hAnsi="Arial"/>
          <w:sz w:val="17"/>
          <w:szCs w:val="17"/>
          <w:color w:val="auto"/>
        </w:rPr>
        <w:t>endpoints that can provide early proof-of-mechanism and inform clinical development decisions, including the potential to seek accelerated approval pathways. Early data regarding functional endpoints and biomarkers allows us to pursue an efficient capital allocation strategy. Certain of our clinical trials are designed to provide initial biomarker data as early as three months from the treatment date. In the case of LX2006 targeting FA cardiomyopathy and LX2020 for PKP2-ACM, we are also pursuing functional and histological endpoints that may demonstrate signs of meaningful clinical benefit as early as three months. We expect these early signals will enable us to design late-stage clinical studies with endpoints that best mirror therapeutic effects that may cure the disease. In addition, we believe these endpoints should allow us to perform trials smaller than traditional cardiac trials that can be completed in a reasonable time frame.</w:t>
      </w:r>
    </w:p>
    <w:p>
      <w:pPr>
        <w:spacing w:after="0" w:line="110" w:lineRule="exact"/>
        <w:rPr>
          <w:rFonts w:ascii="Arial" w:cs="Arial" w:eastAsia="Arial" w:hAnsi="Arial"/>
          <w:sz w:val="17"/>
          <w:szCs w:val="17"/>
          <w:color w:val="auto"/>
        </w:rPr>
      </w:pPr>
    </w:p>
    <w:p>
      <w:pPr>
        <w:ind w:left="340" w:right="320" w:hanging="224"/>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Present opportunity to address high unmet medical need</w:t>
      </w:r>
      <w:r>
        <w:rPr>
          <w:rFonts w:ascii="Arial" w:cs="Arial" w:eastAsia="Arial" w:hAnsi="Arial"/>
          <w:sz w:val="18"/>
          <w:szCs w:val="18"/>
          <w:color w:val="auto"/>
        </w:rPr>
        <w:t>. We are focused on genetically defined cardiovascular diseases and APOE4-associated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Alzheimer’s disease where there are no currently approved treatments or where we believe our therapeutic candidates will have a meaningful improvement relative to existing standards of care.</w:t>
      </w:r>
    </w:p>
    <w:p>
      <w:pPr>
        <w:spacing w:after="0" w:line="116" w:lineRule="exact"/>
        <w:rPr>
          <w:rFonts w:ascii="Arial" w:cs="Arial" w:eastAsia="Arial" w:hAnsi="Arial"/>
          <w:sz w:val="18"/>
          <w:szCs w:val="18"/>
          <w:color w:val="auto"/>
        </w:rPr>
      </w:pPr>
    </w:p>
    <w:p>
      <w:pPr>
        <w:ind w:left="340" w:right="120" w:hanging="224"/>
        <w:spacing w:after="0" w:line="25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Significant market opportunity</w:t>
      </w:r>
      <w:r>
        <w:rPr>
          <w:rFonts w:ascii="Arial" w:cs="Arial" w:eastAsia="Arial" w:hAnsi="Arial"/>
          <w:sz w:val="18"/>
          <w:szCs w:val="18"/>
          <w:color w:val="auto"/>
        </w:rPr>
        <w:t>. We pursue indications with significant commercial opportunities beyond those typically associated with gene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therapy companies targeting rare monogenic diseases. Our current focus is on targets that impact larger-rare disease populations, ranging from approximately 5,000 U.S. patients, in the case of FA cardiomyopathy, to approximately 60,000 U.S patients, in the case of PKP2-ACM, or prevalent diseases such as homozygous </w:t>
      </w:r>
      <w:r>
        <w:rPr>
          <w:rFonts w:ascii="Arial" w:cs="Arial" w:eastAsia="Arial" w:hAnsi="Arial"/>
          <w:sz w:val="18"/>
          <w:szCs w:val="18"/>
          <w:i w:val="1"/>
          <w:iCs w:val="1"/>
          <w:color w:val="auto"/>
        </w:rPr>
        <w:t>APOE4</w:t>
      </w:r>
      <w:r>
        <w:rPr>
          <w:rFonts w:ascii="Arial" w:cs="Arial" w:eastAsia="Arial" w:hAnsi="Arial"/>
          <w:sz w:val="18"/>
          <w:szCs w:val="18"/>
          <w:color w:val="auto"/>
        </w:rPr>
        <w:t>-associated Alzheimer’s disease, which has a patient population of up to approximately 900,000 in the United States.</w:t>
      </w:r>
    </w:p>
    <w:p>
      <w:pPr>
        <w:spacing w:after="0" w:line="120" w:lineRule="exact"/>
        <w:rPr>
          <w:rFonts w:ascii="Arial" w:cs="Arial" w:eastAsia="Arial" w:hAnsi="Arial"/>
          <w:sz w:val="18"/>
          <w:szCs w:val="18"/>
          <w:color w:val="auto"/>
        </w:rPr>
      </w:pPr>
    </w:p>
    <w:p>
      <w:pPr>
        <w:ind w:left="340" w:right="220" w:hanging="224"/>
        <w:spacing w:after="0" w:line="311"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Targets that have established proof-of-concept</w:t>
      </w:r>
      <w:r>
        <w:rPr>
          <w:rFonts w:ascii="Arial" w:cs="Arial" w:eastAsia="Arial" w:hAnsi="Arial"/>
          <w:sz w:val="16"/>
          <w:szCs w:val="16"/>
          <w:color w:val="auto"/>
        </w:rPr>
        <w:t>. We have leveraged our relationships with academic institutions including Weill Cornell Medicine</w:t>
      </w:r>
      <w:r>
        <w:rPr>
          <w:rFonts w:ascii="Arial" w:cs="Arial" w:eastAsia="Arial" w:hAnsi="Arial"/>
          <w:sz w:val="16"/>
          <w:szCs w:val="16"/>
          <w:i w:val="1"/>
          <w:iCs w:val="1"/>
          <w:color w:val="auto"/>
        </w:rPr>
        <w:t xml:space="preserve"> </w:t>
      </w:r>
      <w:r>
        <w:rPr>
          <w:rFonts w:ascii="Arial" w:cs="Arial" w:eastAsia="Arial" w:hAnsi="Arial"/>
          <w:sz w:val="16"/>
          <w:szCs w:val="16"/>
          <w:color w:val="auto"/>
        </w:rPr>
        <w:t>and UCSD to in-license product candidates with established proof-of-concept in relevant preclinical models that closely resemble the clinical phenotype we are pursuing. We will continue to seek additional similar opportunities via collaborations with academia and the industry.</w:t>
      </w:r>
    </w:p>
    <w:p>
      <w:pPr>
        <w:spacing w:after="0" w:line="81" w:lineRule="exact"/>
        <w:rPr>
          <w:rFonts w:ascii="Arial" w:cs="Arial" w:eastAsia="Arial" w:hAnsi="Arial"/>
          <w:sz w:val="16"/>
          <w:szCs w:val="16"/>
          <w:color w:val="auto"/>
        </w:rPr>
      </w:pPr>
    </w:p>
    <w:p>
      <w:pPr>
        <w:ind w:left="340" w:hanging="224"/>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Targeted disease areas best treated by optimal delivery technologies</w:t>
      </w:r>
      <w:r>
        <w:rPr>
          <w:rFonts w:ascii="Arial" w:cs="Arial" w:eastAsia="Arial" w:hAnsi="Arial"/>
          <w:sz w:val="18"/>
          <w:szCs w:val="18"/>
          <w:color w:val="auto"/>
        </w:rPr>
        <w:t>. Our current gene therapy candidates utilize the AAVrh10 vector due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tropism for the heart and its observed tolerability in clinical trials for CNS disorders. We will pursue the optimal technology to address the diseases of interest for future indications while ensuring sufficient preclinical or clinical validation for any novel approaches.</w:t>
      </w:r>
    </w:p>
    <w:p>
      <w:pPr>
        <w:spacing w:after="0" w:line="116" w:lineRule="exact"/>
        <w:rPr>
          <w:rFonts w:ascii="Arial" w:cs="Arial" w:eastAsia="Arial" w:hAnsi="Arial"/>
          <w:sz w:val="18"/>
          <w:szCs w:val="18"/>
          <w:color w:val="auto"/>
        </w:rPr>
      </w:pPr>
    </w:p>
    <w:p>
      <w:pPr>
        <w:ind w:left="340" w:right="20" w:hanging="224"/>
        <w:spacing w:after="0" w:line="279"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Readily accessible patients</w:t>
      </w:r>
      <w:r>
        <w:rPr>
          <w:rFonts w:ascii="Arial" w:cs="Arial" w:eastAsia="Arial" w:hAnsi="Arial"/>
          <w:sz w:val="17"/>
          <w:szCs w:val="17"/>
          <w:color w:val="auto"/>
        </w:rPr>
        <w:t>. Our goal is to accelerate patient recruitment for our clinical trials and increase the likelihood of commercial success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potential products by focusing on diseases with established patient advocacy groups and university researchers who maintain registries of potentially eligible patients. Where possible, we leverage existing natural history studies to better define target patient phenotypes associated with the disease and may utilize these natural history datasets as a control group in future studies.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manufacturing approach</w:t>
      </w:r>
    </w:p>
    <w:p>
      <w:pPr>
        <w:spacing w:after="0" w:line="14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are developing gene therapy candidates for larger-rare and prevalent disease patient populations that require a high-quality process that can produce vectors in relatively large quantities while utilizing traditional biologics manufacturing infrastructure. We utilize a baculovirus/Sf9 expression system to manufacture our gene therapy candidates. Our manufacturing platform is designed to infect Sf9 cells at high densities in suspension cell culture with both an AAVrh10 and baculovirus containing the transgene. The output is coupled with a chromatography-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based purification process which allows for efficient AAV purification, resulting in higher yields and fewer empty AAV capsids than traditional plasmid HEK adherent cell culture approaches.</w:t>
      </w:r>
    </w:p>
    <w:p>
      <w:pPr>
        <w:spacing w:after="0" w:line="10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Traditional adherent HEK manufacturing approaches, which use plasmid transfection to produce viral vectors, are based on mammalian-derived cell lines and cellular components that replicate in mammalian cells. We believe our process has an improved safety profile over these manufacturing approaches for the following reasons: through our sponsored next-generation PacBio and Illumina sequencing analyses performed by one of our contract research organizations, we have observed reduced incorporation of non-transgene DNA plasmid DNA impurities, from 15% observed in the adherent HEK system used by the Belfer Gene Therapy Core Facility to 0.2% in our process; our cellular components are non-replicating in mammalian cells; we have eliminated potentially immunogenic or toxic animal-derived proteins; and our cells are grown under serum-free conditions, leading to reduced risk of contamination from animal-derived products.</w:t>
      </w:r>
    </w:p>
    <w:p>
      <w:pPr>
        <w:spacing w:after="0" w:line="11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believe our manufacturing process enables us to efficiently pursue our goal of targeting larger-rare and prevalent patient populations. Historically, manufacturing challenges, largely driven by the quantity of vector required to pursue large commercial opportunities have limited the utility of gene therapy for large patient populations. We believe our proprietary SF9 baculovirus process will allow us to produce vectors at the necessary scale to support the patient populations we are targeting at a cost-of-goods profile similar to what the pharmaceutical marketplace has seen with biologics.</w:t>
      </w:r>
    </w:p>
    <w:p>
      <w:pPr>
        <w:spacing w:after="0" w:line="7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 xml:space="preserve">First generation SF9 baculovirus platforms have historically been less infectious than traditional HEK systems, which is associated with lower levels of the capsid viral protein 1, or VP1, one of the three viral proteins that make up the AAV capsid. However, we have implemented the Virovek “Bac to AAV” technology which enables wild type levels of VP1 allowing us to achieve potency levels largely in-line with a HEK approach. This is shown in the graphic below from an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potency assessment of two lots of LX2006 comparing HEK and SF9 manufacturing approaches which resulted in an equivalent potency between manufacturing methods.</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Relative Potency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111760</wp:posOffset>
            </wp:positionV>
            <wp:extent cx="3642995" cy="2228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4299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Multiplicity of Infection</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 xml:space="preserve">(Multiplicity of infectivity measures the ratio of AAV per cell in the </w:t>
      </w:r>
      <w:r>
        <w:rPr>
          <w:rFonts w:ascii="Arial" w:cs="Arial" w:eastAsia="Arial" w:hAnsi="Arial"/>
          <w:sz w:val="18"/>
          <w:szCs w:val="18"/>
          <w:color w:val="auto"/>
        </w:rPr>
        <w:t>in vitro</w:t>
      </w:r>
      <w:r>
        <w:rPr>
          <w:rFonts w:ascii="Arial" w:cs="Arial" w:eastAsia="Arial" w:hAnsi="Arial"/>
          <w:sz w:val="18"/>
          <w:szCs w:val="18"/>
          <w:i w:val="1"/>
          <w:iCs w:val="1"/>
          <w:color w:val="auto"/>
        </w:rPr>
        <w:t xml:space="preserve"> potency assay)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1" w:lineRule="auto"/>
        <w:rPr>
          <w:sz w:val="20"/>
          <w:szCs w:val="20"/>
          <w:color w:val="auto"/>
        </w:rPr>
      </w:pPr>
      <w:r>
        <w:rPr>
          <w:rFonts w:ascii="Arial" w:cs="Arial" w:eastAsia="Arial" w:hAnsi="Arial"/>
          <w:sz w:val="17"/>
          <w:szCs w:val="17"/>
          <w:color w:val="auto"/>
        </w:rPr>
        <w:t>As a representative example of our process, we achieved purified yield levels of greater than 1x10</w:t>
      </w:r>
      <w:r>
        <w:rPr>
          <w:rFonts w:ascii="Arial" w:cs="Arial" w:eastAsia="Arial" w:hAnsi="Arial"/>
          <w:sz w:val="25"/>
          <w:szCs w:val="25"/>
          <w:color w:val="auto"/>
          <w:vertAlign w:val="superscript"/>
        </w:rPr>
        <w:t>14</w:t>
      </w:r>
      <w:r>
        <w:rPr>
          <w:rFonts w:ascii="Arial" w:cs="Arial" w:eastAsia="Arial" w:hAnsi="Arial"/>
          <w:sz w:val="17"/>
          <w:szCs w:val="17"/>
          <w:color w:val="auto"/>
        </w:rPr>
        <w:t xml:space="preserve"> vector genomes per liter of cell culture in a 50-liter run manufactured for our LX2020 IND-enabling NHP safety studies with full capsid levels of approximately 70%. In a triple transfection HEK suspension manufacturing process for AAVrh10 produced by a third party contract manufacturing organization, or CMO, publicly available data demonstrated purified yields of approximately 1x10</w:t>
      </w:r>
      <w:r>
        <w:rPr>
          <w:rFonts w:ascii="Arial" w:cs="Arial" w:eastAsia="Arial" w:hAnsi="Arial"/>
          <w:sz w:val="25"/>
          <w:szCs w:val="25"/>
          <w:color w:val="auto"/>
          <w:vertAlign w:val="superscript"/>
        </w:rPr>
        <w:t>13</w:t>
      </w:r>
      <w:r>
        <w:rPr>
          <w:rFonts w:ascii="Arial" w:cs="Arial" w:eastAsia="Arial" w:hAnsi="Arial"/>
          <w:sz w:val="17"/>
          <w:szCs w:val="17"/>
          <w:color w:val="auto"/>
        </w:rPr>
        <w:t xml:space="preserve"> vector genomes per liter of cell culture, which we believe is a reasonable estimate of industry norms. Our manufacturing results are approximately 10 times more yield efficient than these levels. We believe this demonstrates the feasibility of our process and our ability to provide late-stage clinical and commercial material in a cost-efficient manner.</w:t>
      </w:r>
    </w:p>
    <w:p>
      <w:pPr>
        <w:spacing w:after="0" w:line="13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Based on our approach, we expect that our existing partnerships can supply material for all of our currently ongoing and planned clinical trials as well as potential commercial production of some of our programs. We have secured relationships with Virovek, Inc. for its “Bac-to-AAV” system, Millipore Corporation for its RVN Sf9 cell line, and Fujifilm Diosynth Biotechnologies U.S.A., Inc. for viral vector process development and cGMP manufacture of viral vectors. We will own the intellectual property created by our manufacturing process development activities or have the ability to license it and will maintain the option to transfer the process to other CDMOs in the future and/or to our own potential facility to ensure ongoing redundancy and reliability.</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Academic collaborations</w:t>
      </w:r>
    </w:p>
    <w:p>
      <w:pPr>
        <w:spacing w:after="0" w:line="15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To support our integrated modular approach, we have partnered with leading academic institutions who are on the cutting edge of gene therapy research. Our relationships with Weill Cornell Medicine and UCSD have provided us with access to the latest gene therapy research. Our collaboration efforts with Weill Cornell Medicine currently focus on the discovery of second- and third generation cardiac vector technology and novel cardiac transcriptional promoters, all of which have the potential to be deployed in our early-stage research efforts. Our collaboration with UCSD focuses on preclinical candidate selection and translational research in several larger-rare cardiovascular disease indications. Both institutions are recognized leaders in gene therapy, and the collaborations are designed to best leverage their respective skill sets. We may seek additional academic collaborations where such collaborations could expand our internal capabilities and platform technology.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cardiovascular gene therapy programs</w:t>
      </w:r>
    </w:p>
    <w:p>
      <w:pPr>
        <w:spacing w:after="0" w:line="15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We have combined our robust expertise in cardiac-targeted vector design, regulatory and clinical strategy, and disease area knowledge to establish a deep cardiovascular gene therapy pipeline. We are developing a number of disease-modifying gene therapy candidates to treat larger-rare cardiovascular diseases that have significant unmet need and no approved disease-modifying treatments. Our most advanced program, LX2006, is an AAVrh10-based gene therapy candidate for the treatment of FA cardiomyopathy caused by mutations in the </w:t>
      </w:r>
      <w:r>
        <w:rPr>
          <w:rFonts w:ascii="Arial" w:cs="Arial" w:eastAsia="Arial" w:hAnsi="Arial"/>
          <w:sz w:val="16"/>
          <w:szCs w:val="16"/>
          <w:i w:val="1"/>
          <w:iCs w:val="1"/>
          <w:color w:val="auto"/>
        </w:rPr>
        <w:t>FXN</w:t>
      </w:r>
      <w:r>
        <w:rPr>
          <w:rFonts w:ascii="Arial" w:cs="Arial" w:eastAsia="Arial" w:hAnsi="Arial"/>
          <w:sz w:val="16"/>
          <w:szCs w:val="16"/>
          <w:color w:val="auto"/>
        </w:rPr>
        <w:t xml:space="preserve"> gene. We are also advancing several other AAV-based gene therapy programs to treat additional genetically defined cardiac diseases, including LX2020 to treat ACM caused by mutations in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LX2021 to treat DSP cardiomyopathy associated with Cx43 deficiency, and LX2022 to treat HCM associated with mutations in the </w:t>
      </w:r>
      <w:r>
        <w:rPr>
          <w:rFonts w:ascii="Arial" w:cs="Arial" w:eastAsia="Arial" w:hAnsi="Arial"/>
          <w:sz w:val="16"/>
          <w:szCs w:val="16"/>
          <w:i w:val="1"/>
          <w:iCs w:val="1"/>
          <w:color w:val="auto"/>
        </w:rPr>
        <w:t>TNNI3</w:t>
      </w:r>
      <w:r>
        <w:rPr>
          <w:rFonts w:ascii="Arial" w:cs="Arial" w:eastAsia="Arial" w:hAnsi="Arial"/>
          <w:sz w:val="16"/>
          <w:szCs w:val="16"/>
          <w:color w:val="auto"/>
        </w:rPr>
        <w:t xml:space="preserve"> gene. We plan to leverage our experience and learnings from LX2006 and LX2020 and apply them to our earlier-stage cardiac programs.</w:t>
      </w:r>
    </w:p>
    <w:p>
      <w:pPr>
        <w:spacing w:after="0" w:line="9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shown in the graphic below, our cardiovascular genetic medicine strategy is focused on initial candidates that target a range of critical organelles that are dysregulated in various genetic cardiomyopathies, including the mitochondria, the desmosome, gap junctions, and the sarcomere. We believe that the learnings from our initial development efforts will provide the basis for us to pursue additional discovery efforts targeting other cardiac indications implicated in these tissues.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Several targets in cardiac organelles are dysregulated in various cardiomyopathies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54475" cy="2057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544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LX2006 for the treatment of FA cardiomyopathy</w:t>
      </w:r>
    </w:p>
    <w:p>
      <w:pPr>
        <w:spacing w:after="0" w:line="14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We are developing LX2006, an AAVrh10-based gene therapy candidate for the treatment of FA cardiomyopathy that is designed to deliver functional </w:t>
      </w:r>
      <w:r>
        <w:rPr>
          <w:rFonts w:ascii="Arial" w:cs="Arial" w:eastAsia="Arial" w:hAnsi="Arial"/>
          <w:sz w:val="16"/>
          <w:szCs w:val="16"/>
          <w:i w:val="1"/>
          <w:iCs w:val="1"/>
          <w:color w:val="auto"/>
        </w:rPr>
        <w:t xml:space="preserve">FXN </w:t>
      </w:r>
      <w:r>
        <w:rPr>
          <w:rFonts w:ascii="Arial" w:cs="Arial" w:eastAsia="Arial" w:hAnsi="Arial"/>
          <w:sz w:val="16"/>
          <w:szCs w:val="16"/>
          <w:color w:val="auto"/>
        </w:rPr>
        <w:t>intravenously to promote the expression of frataxin in order to restore normal mitochondrial function in myocardial cells. Cardiomyopathy is the</w:t>
      </w:r>
      <w:r>
        <w:rPr>
          <w:rFonts w:ascii="Arial" w:cs="Arial" w:eastAsia="Arial" w:hAnsi="Arial"/>
          <w:sz w:val="16"/>
          <w:szCs w:val="16"/>
          <w:i w:val="1"/>
          <w:iCs w:val="1"/>
          <w:color w:val="auto"/>
        </w:rPr>
        <w:t xml:space="preserve"> </w:t>
      </w:r>
      <w:r>
        <w:rPr>
          <w:rFonts w:ascii="Arial" w:cs="Arial" w:eastAsia="Arial" w:hAnsi="Arial"/>
          <w:sz w:val="16"/>
          <w:szCs w:val="16"/>
          <w:color w:val="auto"/>
        </w:rPr>
        <w:t>most common cause of mortality in patients with FA. The FDA has granted Rare Pediatric Disease designation and Orphan Drug designation to LX2006 for the treatment of FA cardiomyopathy. LX2006 is currently being evaluated in an open-label, dose-escalation Phase 1/2 clinical trial in patients with FA cardiomyopathy and we have observed an increase in frataxin protein expression in the heart from one patient in the low dose cohort based on a cardiac biopsy utilizing two separate analyses. We expect to report additional interim data from this trial in mid-2024.</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Friedreich’s ataxia</w:t>
      </w:r>
    </w:p>
    <w:p>
      <w:pPr>
        <w:spacing w:after="0" w:line="14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Friedreich’s ataxia is a genetic, progressive, and degenerative multi-system disorder with a prevalence of 1:50,000 or approximately 6,600 people in the United States. It is estimated that approximately 80%, or 5,000 of these patients, will develop FA cardiomyopathy. In the European Union, FA affects approximately 9,000 people, with approximately 7,000 of these cases projected to include FA cardiomyopathy. FA is caused by a mutation in the </w:t>
      </w:r>
      <w:r>
        <w:rPr>
          <w:rFonts w:ascii="Arial" w:cs="Arial" w:eastAsia="Arial" w:hAnsi="Arial"/>
          <w:sz w:val="16"/>
          <w:szCs w:val="16"/>
          <w:i w:val="1"/>
          <w:iCs w:val="1"/>
          <w:color w:val="auto"/>
        </w:rPr>
        <w:t>FXN</w:t>
      </w:r>
      <w:r>
        <w:rPr>
          <w:rFonts w:ascii="Arial" w:cs="Arial" w:eastAsia="Arial" w:hAnsi="Arial"/>
          <w:sz w:val="16"/>
          <w:szCs w:val="16"/>
          <w:color w:val="auto"/>
        </w:rPr>
        <w:t xml:space="preserve"> gene that disrupts the normal production of the protein frataxin, which is critical to the function of mitochondria in a cell and to the maintenance of cardiac function. The most common FA phenotype presents with significantly reduced frataxin levels compared to healthy individuals.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research evaluating frataxin protein levels in non-cardiac tissues, such as buccal cells, peripheral blood mononuclear cells and whole blood, demonstrates that FA heterozygote carriers, who present with no disease symptoms, exhibit an approximately 2.5-fold increase in frataxin compared to FA patients. However, the levels of the protein in the cardiac tissue of heterozygote carriers compared to FA patients has not yet been determined. Third-party researchers recently developed a new FA murine model with approximately 800 guanine-adenine-adenine repeats, the YG8-800 model, which has approximately 5% of normal frataxin levels in the heart yet displays near normal cardiac function. We believe this model demonstrates that relatively low levels of frataxin in the heart may be sufficient to maintain cardiac function. The frataxin deficiency in the mitochondria of myocardial cells in FA patients causes disruption of normal iron-sulfur cluster biosynthesis leading to mitochondrial dysfunction and deficient energy production, as shown below.</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 of FA cardiomyopathy disease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111760</wp:posOffset>
            </wp:positionV>
            <wp:extent cx="5186045" cy="1148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neurologic disease and cardiac disease are two distinct manifestations of FA. The disease is inherited in an autosomal recessive manner, where both inherited genes are abnormal, and symptoms usually begin in childhood. Absence of fully functional frataxin leads to damage to peripheral nerves and the parts of the brain that controls movement and balance, leading to neurological symptoms that include impaired muscle coordination, or ataxia, that worsen over time. Initial symptoms may include unsteady posture, frequent falling, and progressive difficulty in walking due to impaired ability to coordinate voluntary movements. Affected individuals often develop slurred speech, hearing loss, scoliosis, diabetes, characteristic foot deformities, and an irregular curvature of the spine. The typical age of onset of neurological symptoms is five to 15 years old. As the disease progresses, patients typically experience various heart conditions, including thickening of the heart muscle, or hypertrophic cardiomyopathy, and arrhythmias. Hypertrophic cardiomyopathy, fibrosis, heart failure and arrhythmias are the cause of death in approximately two-thirds of FA patients. Typical onset of the cardiac disease is 15 to 30 years old.</w:t>
      </w:r>
    </w:p>
    <w:p>
      <w:pPr>
        <w:spacing w:after="0" w:line="11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By the time the cardiac disease of FA emerges, the neurologic disease is generally significantly advanced and may not be amenable to gene therapy. The optimal patient age for treatment of the neurologic disease is between five and 15 years of age while the optimal patient age for demonstrating treatment effect of the cardiac disease is 15 to 30 years of age. There are currently no approved treatments for the cardiac manifestations of FA. </w:t>
      </w:r>
      <w:r>
        <w:rPr>
          <w:rFonts w:ascii="Arial" w:cs="Arial" w:eastAsia="Arial" w:hAnsi="Arial"/>
          <w:sz w:val="17"/>
          <w:szCs w:val="17"/>
          <w:i w:val="1"/>
          <w:iCs w:val="1"/>
          <w:color w:val="auto"/>
        </w:rPr>
        <w:t>Skyclarys</w:t>
      </w:r>
      <w:r>
        <w:rPr>
          <w:rFonts w:ascii="Arial" w:cs="Arial" w:eastAsia="Arial" w:hAnsi="Arial"/>
          <w:sz w:val="17"/>
          <w:szCs w:val="17"/>
          <w:color w:val="auto"/>
        </w:rPr>
        <w:t>, the only approved treatment for FA, is an Nrf2 activator which only targets the CNS component of the disease. As a result, patients with FA have significant unmet need due to cardiovascular complications associated with the disease.</w:t>
      </w:r>
    </w:p>
    <w:p>
      <w:pPr>
        <w:spacing w:after="0" w:line="91" w:lineRule="exact"/>
        <w:rPr>
          <w:sz w:val="20"/>
          <w:szCs w:val="20"/>
          <w:color w:val="auto"/>
        </w:rPr>
      </w:pPr>
    </w:p>
    <w:p>
      <w:pPr>
        <w:jc w:val="center"/>
        <w:ind w:left="440" w:right="300"/>
        <w:spacing w:after="0" w:line="282" w:lineRule="auto"/>
        <w:rPr>
          <w:sz w:val="20"/>
          <w:szCs w:val="20"/>
          <w:color w:val="auto"/>
        </w:rPr>
      </w:pPr>
      <w:r>
        <w:rPr>
          <w:rFonts w:ascii="Arial" w:cs="Arial" w:eastAsia="Arial" w:hAnsi="Arial"/>
          <w:sz w:val="18"/>
          <w:szCs w:val="18"/>
          <w:b w:val="1"/>
          <w:bCs w:val="1"/>
          <w:color w:val="auto"/>
        </w:rPr>
        <w:t>Neurological disease and cardiac disease are distinct manifestations of Friedreich’s ataxia with different potential therapeutic treatment windows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71120</wp:posOffset>
            </wp:positionV>
            <wp:extent cx="5151755" cy="19888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5175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LX2006</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We are developing LX2006 as an AAVrh10-based gene therapy delivered intravenously for the treatment of FA cardiomyopathy. LX2006 is designed to deliver the </w:t>
      </w:r>
      <w:r>
        <w:rPr>
          <w:rFonts w:ascii="Arial" w:cs="Arial" w:eastAsia="Arial" w:hAnsi="Arial"/>
          <w:sz w:val="18"/>
          <w:szCs w:val="18"/>
          <w:i w:val="1"/>
          <w:iCs w:val="1"/>
          <w:color w:val="auto"/>
        </w:rPr>
        <w:t>FXN</w:t>
      </w:r>
      <w:r>
        <w:rPr>
          <w:rFonts w:ascii="Arial" w:cs="Arial" w:eastAsia="Arial" w:hAnsi="Arial"/>
          <w:sz w:val="18"/>
          <w:szCs w:val="18"/>
          <w:color w:val="auto"/>
        </w:rPr>
        <w:t xml:space="preserve"> gene under the transcriptional control of the CAG promoter, a strong synthetic promotor frequently used in viral vectors. LX2006 utilizes AAVrh10 based on its favorable cardiac affinity and vector distribution profile observed in preclinical studies, as compared to AAV9. In preclinical studies, vector distribution in cardiac tissue with AAVrh10 has been observed to be between 1.5 to 2 times the distribution associated with the use of AAV9.</w:t>
      </w:r>
    </w:p>
    <w:p>
      <w:pPr>
        <w:spacing w:after="0" w:line="12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LX2006 is designed to transfer the </w:t>
      </w:r>
      <w:r>
        <w:rPr>
          <w:rFonts w:ascii="Arial" w:cs="Arial" w:eastAsia="Arial" w:hAnsi="Arial"/>
          <w:sz w:val="18"/>
          <w:szCs w:val="18"/>
          <w:i w:val="1"/>
          <w:iCs w:val="1"/>
          <w:color w:val="auto"/>
        </w:rPr>
        <w:t>FXN</w:t>
      </w:r>
      <w:r>
        <w:rPr>
          <w:rFonts w:ascii="Arial" w:cs="Arial" w:eastAsia="Arial" w:hAnsi="Arial"/>
          <w:sz w:val="18"/>
          <w:szCs w:val="18"/>
          <w:color w:val="auto"/>
        </w:rPr>
        <w:t xml:space="preserve"> gene to myocardial cells and increase frataxin levels in the mitochondria. The increase in frataxin levels in the mitochondria restores mitochondrial function and energy production in cardiac myocytes, as shown below.</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LX2006 is designed to deliver functional frataxin in order to restore normal mitochondrial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111760</wp:posOffset>
            </wp:positionV>
            <wp:extent cx="5186045" cy="1148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AAVrh10 demonstrates cardiac tropism</w:t>
      </w:r>
    </w:p>
    <w:p>
      <w:pPr>
        <w:spacing w:after="0" w:line="23"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We have conducted preliminary studies in Yucatan minipigs which have shown that AAVrh10 has a greater biodistribution in the heart compared to AAV9 in this model. The porcine heart is very similar in size, anatomy, and function to the human heart, and we believe it represents an excellent animal model to compare biodistribution across vectors in the heart. A reporter protein, green fluorescent protein, or GFP, is the most commonly used tool to evaluate the biodistribution and expression of a vector in a preclinical study and has well established assays to track the protein. By making GFP constructs in AAVrh10 and AAV9, we are able to evaluate the biodistribution and transgene expression throughout the different regions of the heart for each vector serotype. AAVrh10-GFP and AAV9-GFP (approximately 1x10</w:t>
      </w:r>
      <w:r>
        <w:rPr>
          <w:rFonts w:ascii="Arial" w:cs="Arial" w:eastAsia="Arial" w:hAnsi="Arial"/>
          <w:sz w:val="23"/>
          <w:szCs w:val="23"/>
          <w:color w:val="auto"/>
          <w:vertAlign w:val="superscript"/>
        </w:rPr>
        <w:t>13</w:t>
      </w:r>
      <w:r>
        <w:rPr>
          <w:rFonts w:ascii="Arial" w:cs="Arial" w:eastAsia="Arial" w:hAnsi="Arial"/>
          <w:sz w:val="16"/>
          <w:szCs w:val="16"/>
          <w:color w:val="auto"/>
        </w:rPr>
        <w:t xml:space="preserve"> vg/kg) were intravenously administered to three minipigs per group and evaluated two weeks after injection. Vector biodistribution in various regions of the heart were evaluated with qPCR using GFP-specific primers. As shown in the graphic below, AAVrh10 demonstrated higher distribution to the heart compared to AAV9.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Biodistribution of AAVrh10 and AAV9 in Yucatan minipigs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111760</wp:posOffset>
            </wp:positionV>
            <wp:extent cx="2606040" cy="22542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60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Previous preclinical studies in NHPs conducted by Weill Cornell Medicine demonstrated that biodistribution to the heart was approximately two times higher with AAVrh10 than AAV9. We believe findings from NHP models, the Yucatan minipig model, and murine models conducted by UCSD support our belief that AAVrh10 is a better vector than AAV9 for the cardiovascular diseases we are targeting.</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in FA mouse models</w:t>
      </w:r>
    </w:p>
    <w:p>
      <w:pPr>
        <w:spacing w:after="0" w:line="15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LX2006 has demonstrated the ability to significantly reverse the cardiac phenotype in preclinical studies. The ability to restore </w:t>
      </w:r>
      <w:r>
        <w:rPr>
          <w:rFonts w:ascii="Arial" w:cs="Arial" w:eastAsia="Arial" w:hAnsi="Arial"/>
          <w:sz w:val="18"/>
          <w:szCs w:val="18"/>
          <w:i w:val="1"/>
          <w:iCs w:val="1"/>
          <w:color w:val="auto"/>
        </w:rPr>
        <w:t>FXN</w:t>
      </w:r>
      <w:r>
        <w:rPr>
          <w:rFonts w:ascii="Arial" w:cs="Arial" w:eastAsia="Arial" w:hAnsi="Arial"/>
          <w:sz w:val="18"/>
          <w:szCs w:val="18"/>
          <w:color w:val="auto"/>
        </w:rPr>
        <w:t xml:space="preserve"> expression levels using an AAVrh10 vector has been established in numerous preclinical studies of FA conducted internally and by third parties. The most frequently used preclinical mouse models for FA are the MCK model which represents the most severe phenotype of FA cardiomyopathy, and the Myosin heavy chain, aisoform, or aMyHC, model, which represents a milder phenotype.</w:t>
      </w:r>
    </w:p>
    <w:p>
      <w:pPr>
        <w:spacing w:after="0" w:line="11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preclinical studies conducted by Weill Cornell Medicine and third-party researchers utilizing the MCK model, LX2006 reduced left ventricle mass, increased shortening fraction, or pumping ability of the heart, and increased survival, as shown in the graphic below. The MCK model completely lacks the myocardial FXN protein, and untreated mice have a lifespan of approximately 11 weeks of age due to heart failure. The untreated mice cohort developed left ventricular hypertrophy starting at four to five weeks of age, which is associated with a rapid and progressive geometric remodeling of the heart. This cohort exhibited decreased systolic function at eight weeks of age, which led to a severe decrease in resting cardiac output. When administered to the MCK model at three weeks, LX2006 prevented the onset of the disease. In addition, when administered at seven weeks, LX2006 reduced hypertrophy and normalized heart function, based on shortening fraction, within five weeks, and improved survival, as shown in the graphic below. Based on these results, we believe LX2006 has the potential to improve cardiac function and reverse the disease abnormalities in FA cardiomyopathy patients.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LX2006 improved cardiac function and survival in severe </w:t>
      </w:r>
      <w:r>
        <w:rPr>
          <w:rFonts w:ascii="Arial" w:cs="Arial" w:eastAsia="Arial" w:hAnsi="Arial"/>
          <w:sz w:val="18"/>
          <w:szCs w:val="18"/>
          <w:b w:val="1"/>
          <w:bCs w:val="1"/>
          <w:i w:val="1"/>
          <w:iCs w:val="1"/>
          <w:color w:val="auto"/>
        </w:rPr>
        <w:t>FXN</w:t>
      </w:r>
      <w:r>
        <w:rPr>
          <w:rFonts w:ascii="Arial" w:cs="Arial" w:eastAsia="Arial" w:hAnsi="Arial"/>
          <w:sz w:val="18"/>
          <w:szCs w:val="18"/>
          <w:b w:val="1"/>
          <w:bCs w:val="1"/>
          <w:color w:val="auto"/>
        </w:rPr>
        <w:t xml:space="preserve"> knockout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43500" cy="17316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280"/>
        <w:spacing w:after="0" w:line="211" w:lineRule="auto"/>
        <w:rPr>
          <w:sz w:val="20"/>
          <w:szCs w:val="20"/>
          <w:color w:val="auto"/>
        </w:rPr>
      </w:pPr>
      <w:r>
        <w:rPr>
          <w:rFonts w:ascii="Arial" w:cs="Arial" w:eastAsia="Arial" w:hAnsi="Arial"/>
          <w:sz w:val="18"/>
          <w:szCs w:val="18"/>
          <w:i w:val="1"/>
          <w:iCs w:val="1"/>
          <w:color w:val="auto"/>
        </w:rPr>
        <w:t>Wild type mice, n=10; untreated MCK mice, n=9; and treated MCK mice, n=9. The treated MCK mice were given a dose of 5.4 x10</w:t>
      </w:r>
      <w:r>
        <w:rPr>
          <w:rFonts w:ascii="Arial" w:cs="Arial" w:eastAsia="Arial" w:hAnsi="Arial"/>
          <w:sz w:val="26"/>
          <w:szCs w:val="26"/>
          <w:i w:val="1"/>
          <w:iCs w:val="1"/>
          <w:color w:val="auto"/>
          <w:vertAlign w:val="superscript"/>
        </w:rPr>
        <w:t>13</w:t>
      </w:r>
      <w:r>
        <w:rPr>
          <w:rFonts w:ascii="Arial" w:cs="Arial" w:eastAsia="Arial" w:hAnsi="Arial"/>
          <w:sz w:val="18"/>
          <w:szCs w:val="18"/>
          <w:i w:val="1"/>
          <w:iCs w:val="1"/>
          <w:color w:val="auto"/>
        </w:rPr>
        <w:t xml:space="preserve"> vg/kg at seven weeks of age.</w:t>
      </w:r>
    </w:p>
    <w:p>
      <w:pPr>
        <w:spacing w:after="0" w:line="13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Additionally, we have completed preclinical studies of LX2006 using an aMyHC mouse model. The aMyHC model has myocardial frataxin protein levels that are less than 50% of normal frataxin expression levels and present with a milder cardiac phenotype. When the mouse is given dobutamine to induce cardiac stress, the cardiac disease becomes apparent, similar to the mild phenotype in FA cardiomyopathy patients at an early stage of their cardiac disease.</w:t>
      </w:r>
    </w:p>
    <w:p>
      <w:pPr>
        <w:spacing w:after="0" w:line="10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figure below shows that aMyHC mouse models displayed ejection fraction and fractional shortening levels similar to the wild type phenotype when at rest. However, when both wild type and aMyHC animals are stressed by the administration of dobutamine, the model demonstrated that ejection fraction and fractional shortening levels for the aMyHC mice were below wild type levels.</w:t>
      </w: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MyHC mouse model demonstrated diminished cardiac function in response to induced 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111760</wp:posOffset>
            </wp:positionV>
            <wp:extent cx="2674620" cy="22542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7462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260"/>
        <w:spacing w:after="0" w:line="234" w:lineRule="auto"/>
        <w:rPr>
          <w:sz w:val="20"/>
          <w:szCs w:val="20"/>
          <w:color w:val="auto"/>
        </w:rPr>
      </w:pPr>
      <w:r>
        <w:rPr>
          <w:rFonts w:ascii="Arial" w:cs="Arial" w:eastAsia="Arial" w:hAnsi="Arial"/>
          <w:sz w:val="17"/>
          <w:szCs w:val="17"/>
          <w:color w:val="auto"/>
        </w:rPr>
        <w:t>In the aMyHC mouse model, as demonstrated in the graphic below, intravenous administration of LX2006 at a dose of 4 x10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vg/kg resulted in improvements in the cardiac phenotype as indicated by correction of dobutamine stress-induced ejection fraction and fractional shortening as well as improvement in treadmill performance. These results show that LX2006 improved key cardiac function measures to wild type levels,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helping reverse the pathology of FA cardiomyopathy and suggesting that it could potentially improve cardiac function in FA patients.</w:t>
      </w:r>
    </w:p>
    <w:p>
      <w:pPr>
        <w:spacing w:after="0" w:line="30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 xml:space="preserve">LX2006 reversed </w:t>
      </w:r>
      <w:r>
        <w:rPr>
          <w:rFonts w:ascii="Arial" w:cs="Arial" w:eastAsia="Arial" w:hAnsi="Arial"/>
          <w:sz w:val="18"/>
          <w:szCs w:val="18"/>
          <w:color w:val="auto"/>
        </w:rPr>
        <w:t>a</w:t>
      </w:r>
      <w:r>
        <w:rPr>
          <w:rFonts w:ascii="Arial" w:cs="Arial" w:eastAsia="Arial" w:hAnsi="Arial"/>
          <w:sz w:val="18"/>
          <w:szCs w:val="18"/>
          <w:b w:val="1"/>
          <w:bCs w:val="1"/>
          <w:color w:val="auto"/>
        </w:rPr>
        <w:t>MyHC cardiac phenotype in key cardiac functional measures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111760</wp:posOffset>
            </wp:positionV>
            <wp:extent cx="3420110" cy="21170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011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dose range finding study</w:t>
      </w:r>
    </w:p>
    <w:p>
      <w:pPr>
        <w:spacing w:after="0" w:line="23" w:lineRule="exact"/>
        <w:rPr>
          <w:sz w:val="20"/>
          <w:szCs w:val="20"/>
          <w:color w:val="auto"/>
        </w:rPr>
      </w:pPr>
    </w:p>
    <w:p>
      <w:pPr>
        <w:ind w:left="120" w:right="120"/>
        <w:spacing w:after="0" w:line="214" w:lineRule="auto"/>
        <w:rPr>
          <w:sz w:val="20"/>
          <w:szCs w:val="20"/>
          <w:color w:val="auto"/>
        </w:rPr>
      </w:pPr>
      <w:r>
        <w:rPr>
          <w:rFonts w:ascii="Arial" w:cs="Arial" w:eastAsia="Arial" w:hAnsi="Arial"/>
          <w:sz w:val="17"/>
          <w:szCs w:val="17"/>
          <w:color w:val="auto"/>
        </w:rPr>
        <w:t>Seven-week-old MCK mice were administered increasing doses of 5.6 x10</w:t>
      </w:r>
      <w:r>
        <w:rPr>
          <w:rFonts w:ascii="Arial" w:cs="Arial" w:eastAsia="Arial" w:hAnsi="Arial"/>
          <w:sz w:val="25"/>
          <w:szCs w:val="25"/>
          <w:color w:val="auto"/>
          <w:vertAlign w:val="superscript"/>
        </w:rPr>
        <w:t>10</w:t>
      </w:r>
      <w:r>
        <w:rPr>
          <w:rFonts w:ascii="Arial" w:cs="Arial" w:eastAsia="Arial" w:hAnsi="Arial"/>
          <w:sz w:val="17"/>
          <w:szCs w:val="17"/>
          <w:color w:val="auto"/>
        </w:rPr>
        <w:t xml:space="preserve"> vg/kg, 1.8 x10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vg/kg and 5.6 x10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vg/kg of LX2006 and evaluated for efficacy as a measure of body weight improvement, survival and cardiac function, and associated myocardial </w:t>
      </w:r>
      <w:r>
        <w:rPr>
          <w:rFonts w:ascii="Arial" w:cs="Arial" w:eastAsia="Arial" w:hAnsi="Arial"/>
          <w:sz w:val="17"/>
          <w:szCs w:val="17"/>
          <w:i w:val="1"/>
          <w:iCs w:val="1"/>
          <w:color w:val="auto"/>
        </w:rPr>
        <w:t>FXN</w:t>
      </w:r>
      <w:r>
        <w:rPr>
          <w:rFonts w:ascii="Arial" w:cs="Arial" w:eastAsia="Arial" w:hAnsi="Arial"/>
          <w:sz w:val="17"/>
          <w:szCs w:val="17"/>
          <w:color w:val="auto"/>
        </w:rPr>
        <w:t xml:space="preserve"> expression at one month post dose. MCK mice showed a dose-dependent improvement in efficacy measures with LX2006. In these mice, the dose of 1.8 x10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vg/kg resulted in trends of improvement in body weight and survival. The dose of 5.6 x10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vg/kg resulted in statistically significant improvements in body weight, cardiac function, and survival, and resulted in an approximately five-fold increase in FXN protein compared to the 1.8x10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vg/kg dose, suggesting the relationship between dose and protein expression may not be linear.</w:t>
      </w:r>
    </w:p>
    <w:p>
      <w:pPr>
        <w:spacing w:after="0" w:line="138"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 xml:space="preserve">Since the myocardial </w:t>
      </w:r>
      <w:r>
        <w:rPr>
          <w:rFonts w:ascii="Arial" w:cs="Arial" w:eastAsia="Arial" w:hAnsi="Arial"/>
          <w:sz w:val="16"/>
          <w:szCs w:val="16"/>
          <w:i w:val="1"/>
          <w:iCs w:val="1"/>
          <w:color w:val="auto"/>
        </w:rPr>
        <w:t>FXN</w:t>
      </w:r>
      <w:r>
        <w:rPr>
          <w:rFonts w:ascii="Arial" w:cs="Arial" w:eastAsia="Arial" w:hAnsi="Arial"/>
          <w:sz w:val="16"/>
          <w:szCs w:val="16"/>
          <w:color w:val="auto"/>
        </w:rPr>
        <w:t xml:space="preserve"> expression in response to LX2006 treatment in a FA patient’s stressed heart is expected to be similar to the high level of expression in MCK mice observed upon administration of LX2006, dose selection for first-in-human study was based on the MCK mouse data. The 1.8 x10</w:t>
      </w:r>
      <w:r>
        <w:rPr>
          <w:rFonts w:ascii="Arial" w:cs="Arial" w:eastAsia="Arial" w:hAnsi="Arial"/>
          <w:sz w:val="23"/>
          <w:szCs w:val="23"/>
          <w:color w:val="auto"/>
          <w:vertAlign w:val="superscript"/>
        </w:rPr>
        <w:t>11</w:t>
      </w:r>
      <w:r>
        <w:rPr>
          <w:rFonts w:ascii="Arial" w:cs="Arial" w:eastAsia="Arial" w:hAnsi="Arial"/>
          <w:sz w:val="16"/>
          <w:szCs w:val="16"/>
          <w:color w:val="auto"/>
        </w:rPr>
        <w:t xml:space="preserve"> vg/kg dose was identified as the minimally effective dose, and the 5.6 x10</w:t>
      </w:r>
      <w:r>
        <w:rPr>
          <w:rFonts w:ascii="Arial" w:cs="Arial" w:eastAsia="Arial" w:hAnsi="Arial"/>
          <w:sz w:val="23"/>
          <w:szCs w:val="23"/>
          <w:color w:val="auto"/>
          <w:vertAlign w:val="superscript"/>
        </w:rPr>
        <w:t>11</w:t>
      </w:r>
      <w:r>
        <w:rPr>
          <w:rFonts w:ascii="Arial" w:cs="Arial" w:eastAsia="Arial" w:hAnsi="Arial"/>
          <w:sz w:val="16"/>
          <w:szCs w:val="16"/>
          <w:color w:val="auto"/>
        </w:rPr>
        <w:t xml:space="preserve"> vg/kg dose was identified as the significantly effective dose.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safety studies</w:t>
      </w:r>
    </w:p>
    <w:p>
      <w:pPr>
        <w:spacing w:after="0" w:line="158" w:lineRule="exact"/>
        <w:rPr>
          <w:sz w:val="20"/>
          <w:szCs w:val="20"/>
          <w:color w:val="auto"/>
        </w:rPr>
      </w:pPr>
    </w:p>
    <w:p>
      <w:pPr>
        <w:ind w:left="120" w:right="180"/>
        <w:spacing w:after="0" w:line="241" w:lineRule="auto"/>
        <w:rPr>
          <w:sz w:val="20"/>
          <w:szCs w:val="20"/>
          <w:color w:val="auto"/>
        </w:rPr>
      </w:pPr>
      <w:r>
        <w:rPr>
          <w:rFonts w:ascii="Arial" w:cs="Arial" w:eastAsia="Arial" w:hAnsi="Arial"/>
          <w:sz w:val="17"/>
          <w:szCs w:val="17"/>
          <w:color w:val="auto"/>
        </w:rPr>
        <w:t>In a safety study of African green monkeys, increasing doses of LX2006 1.2 x10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vg/kg and 3.9 x10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vg/kg resulted in dose-dependent increases in myocardial frataxin expression three months post dose. Both doses demonstrated favorable safety profiles, including no effects on cardiac pathology, physiology and echocardiography. The liver showed minimal to moderate vacuoles, or membrane-enclosed spaces in cells, not considered clinically significant, with no evidence of liver injury. No dorsal root ganglia toxicity was observed.</w:t>
      </w:r>
    </w:p>
    <w:p>
      <w:pPr>
        <w:spacing w:after="0" w:line="121" w:lineRule="exact"/>
        <w:rPr>
          <w:sz w:val="20"/>
          <w:szCs w:val="20"/>
          <w:color w:val="auto"/>
        </w:rPr>
      </w:pPr>
    </w:p>
    <w:p>
      <w:pPr>
        <w:ind w:left="120" w:right="220"/>
        <w:spacing w:after="0" w:line="248" w:lineRule="auto"/>
        <w:rPr>
          <w:sz w:val="20"/>
          <w:szCs w:val="20"/>
          <w:color w:val="auto"/>
        </w:rPr>
      </w:pPr>
      <w:r>
        <w:rPr>
          <w:rFonts w:ascii="Arial" w:cs="Arial" w:eastAsia="Arial" w:hAnsi="Arial"/>
          <w:sz w:val="16"/>
          <w:szCs w:val="16"/>
          <w:color w:val="auto"/>
        </w:rPr>
        <w:t>The safety of LX2006 was also tested in seven-week-old wild type mice administered 1.2 x10</w:t>
      </w:r>
      <w:r>
        <w:rPr>
          <w:rFonts w:ascii="Arial" w:cs="Arial" w:eastAsia="Arial" w:hAnsi="Arial"/>
          <w:sz w:val="23"/>
          <w:szCs w:val="23"/>
          <w:color w:val="auto"/>
          <w:vertAlign w:val="superscript"/>
        </w:rPr>
        <w:t>12</w:t>
      </w:r>
      <w:r>
        <w:rPr>
          <w:rFonts w:ascii="Arial" w:cs="Arial" w:eastAsia="Arial" w:hAnsi="Arial"/>
          <w:sz w:val="16"/>
          <w:szCs w:val="16"/>
          <w:color w:val="auto"/>
        </w:rPr>
        <w:t>, 3.7 x10</w:t>
      </w:r>
      <w:r>
        <w:rPr>
          <w:rFonts w:ascii="Arial" w:cs="Arial" w:eastAsia="Arial" w:hAnsi="Arial"/>
          <w:sz w:val="23"/>
          <w:szCs w:val="23"/>
          <w:color w:val="auto"/>
          <w:vertAlign w:val="superscript"/>
        </w:rPr>
        <w:t>12</w:t>
      </w:r>
      <w:r>
        <w:rPr>
          <w:rFonts w:ascii="Arial" w:cs="Arial" w:eastAsia="Arial" w:hAnsi="Arial"/>
          <w:sz w:val="16"/>
          <w:szCs w:val="16"/>
          <w:color w:val="auto"/>
        </w:rPr>
        <w:t>, and 1.2 x10</w:t>
      </w:r>
      <w:r>
        <w:rPr>
          <w:rFonts w:ascii="Arial" w:cs="Arial" w:eastAsia="Arial" w:hAnsi="Arial"/>
          <w:sz w:val="23"/>
          <w:szCs w:val="23"/>
          <w:color w:val="auto"/>
          <w:vertAlign w:val="superscript"/>
        </w:rPr>
        <w:t>13</w:t>
      </w:r>
      <w:r>
        <w:rPr>
          <w:rFonts w:ascii="Arial" w:cs="Arial" w:eastAsia="Arial" w:hAnsi="Arial"/>
          <w:sz w:val="16"/>
          <w:szCs w:val="16"/>
          <w:color w:val="auto"/>
        </w:rPr>
        <w:t xml:space="preserve"> vg/kg for one and three months, and 5.6 x10</w:t>
      </w:r>
      <w:r>
        <w:rPr>
          <w:rFonts w:ascii="Arial" w:cs="Arial" w:eastAsia="Arial" w:hAnsi="Arial"/>
          <w:sz w:val="23"/>
          <w:szCs w:val="23"/>
          <w:color w:val="auto"/>
          <w:vertAlign w:val="superscript"/>
        </w:rPr>
        <w:t>11</w:t>
      </w:r>
      <w:r>
        <w:rPr>
          <w:rFonts w:ascii="Arial" w:cs="Arial" w:eastAsia="Arial" w:hAnsi="Arial"/>
          <w:sz w:val="16"/>
          <w:szCs w:val="16"/>
          <w:color w:val="auto"/>
        </w:rPr>
        <w:t>, 1.8 x10</w:t>
      </w:r>
      <w:r>
        <w:rPr>
          <w:rFonts w:ascii="Arial" w:cs="Arial" w:eastAsia="Arial" w:hAnsi="Arial"/>
          <w:sz w:val="23"/>
          <w:szCs w:val="23"/>
          <w:color w:val="auto"/>
          <w:vertAlign w:val="superscript"/>
        </w:rPr>
        <w:t>12</w:t>
      </w:r>
      <w:r>
        <w:rPr>
          <w:rFonts w:ascii="Arial" w:cs="Arial" w:eastAsia="Arial" w:hAnsi="Arial"/>
          <w:sz w:val="16"/>
          <w:szCs w:val="16"/>
          <w:color w:val="auto"/>
        </w:rPr>
        <w:t>, and 5.6 x10</w:t>
      </w:r>
      <w:r>
        <w:rPr>
          <w:rFonts w:ascii="Arial" w:cs="Arial" w:eastAsia="Arial" w:hAnsi="Arial"/>
          <w:sz w:val="23"/>
          <w:szCs w:val="23"/>
          <w:color w:val="auto"/>
          <w:vertAlign w:val="superscript"/>
        </w:rPr>
        <w:t>12</w:t>
      </w:r>
      <w:r>
        <w:rPr>
          <w:rFonts w:ascii="Arial" w:cs="Arial" w:eastAsia="Arial" w:hAnsi="Arial"/>
          <w:sz w:val="16"/>
          <w:szCs w:val="16"/>
          <w:color w:val="auto"/>
        </w:rPr>
        <w:t xml:space="preserve"> vg/kg for 10 months. Animals in the one- and three-month cohorts survived to their scheduled terminations, while those in the 10-month cohort had body weight loss at two time periods that necessitated early euthanasia. The first timepoint was approximately six weeks for four of 12 males in the 5.6 x10</w:t>
      </w:r>
      <w:r>
        <w:rPr>
          <w:rFonts w:ascii="Arial" w:cs="Arial" w:eastAsia="Arial" w:hAnsi="Arial"/>
          <w:sz w:val="23"/>
          <w:szCs w:val="23"/>
          <w:color w:val="auto"/>
          <w:vertAlign w:val="superscript"/>
        </w:rPr>
        <w:t>12</w:t>
      </w:r>
      <w:r>
        <w:rPr>
          <w:rFonts w:ascii="Arial" w:cs="Arial" w:eastAsia="Arial" w:hAnsi="Arial"/>
          <w:sz w:val="16"/>
          <w:szCs w:val="16"/>
          <w:color w:val="auto"/>
        </w:rPr>
        <w:t xml:space="preserve"> vg/kg 10-month cohort; the weight loss was attributed to liver toxicity, which</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9" w:right="5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35" w:lineRule="auto"/>
        <w:rPr>
          <w:sz w:val="20"/>
          <w:szCs w:val="20"/>
          <w:color w:val="auto"/>
        </w:rPr>
      </w:pPr>
      <w:r>
        <w:rPr>
          <w:rFonts w:ascii="Arial" w:cs="Arial" w:eastAsia="Arial" w:hAnsi="Arial"/>
          <w:sz w:val="16"/>
          <w:szCs w:val="16"/>
          <w:color w:val="auto"/>
        </w:rPr>
        <w:t>may have been related to high levels of liver hFXN, although hFXN levels were not measured in these mice. No adverse effects occurred in females up to three months post-dose. At 30 weeks post dose, the remaining animals in the high dose (5.6 x10</w:t>
      </w:r>
      <w:r>
        <w:rPr>
          <w:rFonts w:ascii="Arial" w:cs="Arial" w:eastAsia="Arial" w:hAnsi="Arial"/>
          <w:sz w:val="23"/>
          <w:szCs w:val="23"/>
          <w:color w:val="auto"/>
          <w:vertAlign w:val="superscript"/>
        </w:rPr>
        <w:t>12</w:t>
      </w:r>
      <w:r>
        <w:rPr>
          <w:rFonts w:ascii="Arial" w:cs="Arial" w:eastAsia="Arial" w:hAnsi="Arial"/>
          <w:sz w:val="16"/>
          <w:szCs w:val="16"/>
          <w:color w:val="auto"/>
        </w:rPr>
        <w:t xml:space="preserve"> vg/kg) group and six of 12 female mice in the mid-dose (1.8 x10</w:t>
      </w:r>
      <w:r>
        <w:rPr>
          <w:rFonts w:ascii="Arial" w:cs="Arial" w:eastAsia="Arial" w:hAnsi="Arial"/>
          <w:sz w:val="23"/>
          <w:szCs w:val="23"/>
          <w:color w:val="auto"/>
          <w:vertAlign w:val="superscript"/>
        </w:rPr>
        <w:t>12</w:t>
      </w:r>
      <w:r>
        <w:rPr>
          <w:rFonts w:ascii="Arial" w:cs="Arial" w:eastAsia="Arial" w:hAnsi="Arial"/>
          <w:sz w:val="16"/>
          <w:szCs w:val="16"/>
          <w:color w:val="auto"/>
        </w:rPr>
        <w:t xml:space="preserve"> vg/kg) group had minimal to moderate hepatic changes and weight loss necessitating early euthanasia. It is possible that both hepatic and possibly cardiac frataxin levels may have contributed to the weight loss. No dorsal root ganglia toxicity was observed at any doses in any animals.</w:t>
      </w:r>
    </w:p>
    <w:p>
      <w:pPr>
        <w:spacing w:after="0" w:line="134" w:lineRule="exact"/>
        <w:rPr>
          <w:sz w:val="20"/>
          <w:szCs w:val="20"/>
          <w:color w:val="auto"/>
        </w:rPr>
      </w:pPr>
    </w:p>
    <w:p>
      <w:pPr>
        <w:ind w:left="120"/>
        <w:spacing w:after="0" w:line="220" w:lineRule="auto"/>
        <w:rPr>
          <w:sz w:val="20"/>
          <w:szCs w:val="20"/>
          <w:color w:val="auto"/>
        </w:rPr>
      </w:pPr>
      <w:r>
        <w:rPr>
          <w:rFonts w:ascii="Arial" w:cs="Arial" w:eastAsia="Arial" w:hAnsi="Arial"/>
          <w:sz w:val="18"/>
          <w:szCs w:val="18"/>
          <w:color w:val="auto"/>
        </w:rPr>
        <w:t>The dose of 5.6 x10</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vg/kg in the 10-month cohort was generally well tolerated with no treatment-related clinical signs, body weight changes, hematologic or clinical chemistry findings, nor histopathology findings, except for hepatocellular carcinoma, or HCC, which was observed in one of six males at 5.6 x10</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vg/kg and in three of six males at 1.8 x10</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vg/kg. While this finding was considered adverse in the context of the study, data reported by the FDA Cellular, Tissue, and Gene Therapies Advisory Committee in September 2021 suggests that HCC observed in mice after AAV treatment is unlikely to translate to risks for humans, as it has not been observed in higher species or humans. The incidence of HCC has been seen in multiple long-term mouse studies with systemic administration of other AAVs.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LEXEO-sponsored LX2006 clinical development and trial design</w:t>
      </w:r>
    </w:p>
    <w:p>
      <w:pPr>
        <w:spacing w:after="0" w:line="14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LX2006 is currently being evaluated in an ongoing Phase 1/2 clinical trial (SUNRISE-FA) in patients with FA cardiomyopathy. SUNRISE-FA is a first-in-human, 52-week, dose-ascending, and open-label trial of LX2006 in patients who have FA cardiomyopathy. LX2006 is administered as a one-time intravenous infusion to patients in three dose-ascending cohorts with prednisone utilized for immune suppression. The trial consists of at least three patients in each cohort, with the potential for cohort expansion. There will be a long-term follow-up for patients who receive LX2006 to monitor ongoing safety for a total of five years, per FDA requirement. We initiated dosing in the second dose cohort in May 2023 and have dosed two patients in this cohort to date.</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Design of Phase 1/2 clinical trial of LX2006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154305</wp:posOffset>
            </wp:positionV>
            <wp:extent cx="4208780" cy="20148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0878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Key patient inclusion criteria for the study include genotyping, left ventricular hypertrophy and echocardiography, or ECHO, changes, and ejection fraction ≥40%. The primary endpoint of the Phase 1/2 trial is to assess the safety and tolerability of one-time administration of LX2006 for the purpose of selecting the appropriate dose for further clinical development. Exploratory endpoints assess biomarkers, including cardiac frataxin expression levels, and preliminary functional efficacy assessments relevant in evaluating the ability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LX2006 to stop progression and improve FA cardiomyopathy. The following biomarker, functional and imaging efficacy assessments will be conducted:</w:t>
      </w:r>
    </w:p>
    <w:p>
      <w:pPr>
        <w:spacing w:after="0" w:line="181" w:lineRule="exact"/>
        <w:rPr>
          <w:sz w:val="20"/>
          <w:szCs w:val="20"/>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CPET</w:t>
      </w:r>
      <w:r>
        <w:rPr>
          <w:rFonts w:ascii="Arial" w:cs="Arial" w:eastAsia="Arial" w:hAnsi="Arial"/>
          <w:sz w:val="18"/>
          <w:szCs w:val="18"/>
          <w:color w:val="auto"/>
        </w:rPr>
        <w:t>: Peak VO2 and other functional measures will be performed at regular intervals.</w:t>
      </w:r>
    </w:p>
    <w:p>
      <w:pPr>
        <w:spacing w:after="0" w:line="157" w:lineRule="exact"/>
        <w:rPr>
          <w:rFonts w:ascii="Arial" w:cs="Arial" w:eastAsia="Arial" w:hAnsi="Arial"/>
          <w:sz w:val="18"/>
          <w:szCs w:val="18"/>
          <w:color w:val="auto"/>
        </w:rPr>
      </w:pPr>
    </w:p>
    <w:p>
      <w:pPr>
        <w:ind w:left="340" w:right="140" w:hanging="224"/>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Cardiac MRI</w:t>
      </w:r>
      <w:r>
        <w:rPr>
          <w:rFonts w:ascii="Arial" w:cs="Arial" w:eastAsia="Arial" w:hAnsi="Arial"/>
          <w:sz w:val="18"/>
          <w:szCs w:val="18"/>
          <w:color w:val="auto"/>
        </w:rPr>
        <w:t>: All patients undergo MRI scans of the heart to measure left ventricular mass index, left ventricular ejection fraction, stroke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strain, and fibrosis.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Cardiac ECHO</w:t>
      </w:r>
      <w:r>
        <w:rPr>
          <w:rFonts w:ascii="Arial" w:cs="Arial" w:eastAsia="Arial" w:hAnsi="Arial"/>
          <w:sz w:val="18"/>
          <w:szCs w:val="18"/>
          <w:color w:val="auto"/>
        </w:rPr>
        <w:t>: All patients undergo cardiac ECHO to measure left ventricular mass index, left ventricular ejection fraction and strain.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Cardiac biopsy</w:t>
      </w:r>
      <w:r>
        <w:rPr>
          <w:rFonts w:ascii="Arial" w:cs="Arial" w:eastAsia="Arial" w:hAnsi="Arial"/>
          <w:sz w:val="18"/>
          <w:szCs w:val="18"/>
          <w:color w:val="auto"/>
        </w:rPr>
        <w:t>: Biopsies will measure, among other things, frataxin protein expression.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Biomarkers</w:t>
      </w:r>
      <w:r>
        <w:rPr>
          <w:rFonts w:ascii="Arial" w:cs="Arial" w:eastAsia="Arial" w:hAnsi="Arial"/>
          <w:sz w:val="18"/>
          <w:szCs w:val="18"/>
          <w:color w:val="auto"/>
        </w:rPr>
        <w:t>: Serum cardiac biomarkers, including troponin.</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Cardiac Biopsy Results from Cohort 1 of SUNRISE-FA Trial</w:t>
      </w:r>
    </w:p>
    <w:p>
      <w:pPr>
        <w:spacing w:after="0" w:line="144" w:lineRule="exact"/>
        <w:rPr>
          <w:sz w:val="20"/>
          <w:szCs w:val="20"/>
          <w:color w:val="auto"/>
        </w:rPr>
      </w:pPr>
    </w:p>
    <w:p>
      <w:pPr>
        <w:ind w:left="120" w:right="20"/>
        <w:spacing w:after="0" w:line="229" w:lineRule="auto"/>
        <w:rPr>
          <w:sz w:val="20"/>
          <w:szCs w:val="20"/>
          <w:color w:val="auto"/>
        </w:rPr>
      </w:pPr>
      <w:r>
        <w:rPr>
          <w:rFonts w:ascii="Arial" w:cs="Arial" w:eastAsia="Arial" w:hAnsi="Arial"/>
          <w:sz w:val="18"/>
          <w:szCs w:val="18"/>
          <w:color w:val="auto"/>
        </w:rPr>
        <w:t>To precisely evaluate frataxin levels in human cardiac tissue samples, we utilized a novel research grade liquid chromatography mass spectrometry assay. This assay was used to analyze cardiac biopsy samples from one FA patient in the first cohort of the SUNRISE-FA trial before and after treatment with 1.8x10</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vg/kg of LX2006. Frataxin levels were 29% higher in the cardiac biopsy sample three months post treatment compared to the patient’s pre-treatment baseline level. These results are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94615</wp:posOffset>
            </wp:positionV>
            <wp:extent cx="3154680" cy="14573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5468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 Ultrahigh performance liquid chromatography-multiple reaction monitoring/mass spectrometry, or LCMS.</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Additionally, one qualitative and two blinded quantitative immunohistochemistry, or IHC, assessments were performed by three independent labs on biopsy samples taken from the same patient. LCMS is a quantitative assessment of the amount of frataxin within the sample, whereas IHC is an anti-body based method in which frataxin protein expression can be visualized and then quantified, measured as a percent of total area stained. All three laboratories observed more FXN signal in the post-treatment sample compared to the pre-treatment sample. Blinded quantitative analysis demonstrated a 65% increase in FXN positive area in the post-treatment sample compared to the pre-treatment sample. The FXN area was calculated as a percentage of total tissue showing FXN expression which are denoted by red and green outline of lightly or darkly positive FXN area, respectively, in the images on the right. These results are shown in the graphics below.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Quantitative IHC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111760</wp:posOffset>
            </wp:positionV>
            <wp:extent cx="2828925" cy="29063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2892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 Area measurement in square microns, FXN area as a percentage of total tissue / cardiomyocyte area.</w:t>
      </w:r>
    </w:p>
    <w:p>
      <w:pPr>
        <w:spacing w:after="0" w:line="16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Furthermore, histological and transmission electron microscopy (TEM) assessments identified preserved tissue architecture and no adverse safety signals without any evidence of myocarditis.</w:t>
      </w:r>
    </w:p>
    <w:p>
      <w:pPr>
        <w:spacing w:after="0" w:line="8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summary, we have demonstrated measurable increases in frataxin in the heart of a patient after treatment with LX2006 using two different objective and quantifiable techniques. We believe that LX2006 is the first clinical-stage program for Friedreich’s ataxia to show an increase in frataxin in cardiac tissue. We believe this initial expression data, coupled with cardiac biomarker improvements observed in the Weil Cornell investigator initiated trial described below, demonstrate the potential of LX2006 to impact disease pathology at the lowest dose cohort. Based on the dose-escalation improvement in survival and cardiac functional measures we observed in our preclinical-IND enabling studies in the MCK model, we expect to see a further increase in FXN expression in cohort 2 and cohort 3. To date, we have dosed two patients in cohort 2 and expect to report additional data from SUNRISE-FA in mid-2024.</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ongoing clinical trial of AAVrh10.hFXN (LX2006 at LEXEO)</w:t>
      </w:r>
    </w:p>
    <w:p>
      <w:pPr>
        <w:spacing w:after="0" w:line="14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AAVrh10.hFXN, which we refer to as LX2006, is currently being evaluated in an additional ongoing clinical trial conducted by Weill Cornell Medicine (NCT05302271). This is an investigator-sponsored, single-site study, and our trial (NCT05445323) is a multi-site trial sponsored by us. Both clinical studies use drug product manufactured at Weill Cornell Medicine utilizing the same process with identical doses in each study’s cohort 1 and cohort 2. Safety information is being shared across these clinical studies. Utilizing the combined safety data from patients across both studies, we initiated dosing in the second cohort of our study in May 2023.</w:t>
      </w:r>
    </w:p>
    <w:p>
      <w:pPr>
        <w:spacing w:after="0" w:line="12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 July 2023, researchers at Weill Cornell Medicine shared publicly, at a webinar sponsored by the Friedreich’s Ataxia Research Alliance, preliminary interim data from cohort 1 of its ongoing study evaluating AAVrh10.hFXN in patients with FA cardiomyopathy. The two patients with six-month follow-up data after treatment both demonstrated declines in cardiac hypertrophy as measured by cardiac MRI analyzing left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ventricular mass index, or LVMI. Increasing LVMI has been reported to be associated with progression and severity of FA cardiomyopathy. As shown in the table below, at the six-month timepoint a 10% decline in LVMI was observed in both patients treated with six-month follow-up data. Importantly, declines in cardiac hypertrophy, measured by decreases in LVMI, have been associated with clinical benefit in other cardiovascular diseases, including treatment for hypertension.</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LVMI From First Two Patients Treated with 6-Month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111760</wp:posOffset>
            </wp:positionV>
            <wp:extent cx="4345940" cy="1131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459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Additionally, at the six-month timepoint a 74% and 9% decline in troponin I was demonstrated in the two subjects treated with follow-up data at that timepoint. Troponins are cardiac structural proteins which are released into the circulation following cardiomyocyte injury or necrosis. Troponin I is specific to cardiac tissue and is itself a measure of cardiac injury; thus, a reduction in troponin I suggests a reduction in cardiac injury.</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High Sensitivity Troponin I From First Two Patients Treated with 6-Month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111760</wp:posOffset>
            </wp:positionV>
            <wp:extent cx="4345940" cy="11315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459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one subject was evaluated through the six-month timepoint utilizing cardiopulmonary exercise testing, or CPET, which is an assessment of maximum oxygen consumption, or VO2 max, and demonstrated an approximately 43% increase in VO2 max versus baseline. We believe the totality of this interim data demonstrates the potential of LX2006 to halt or reverse disease progression as measured by improvements in LVMI, troponin I levels, and CPET performance in the patients treated in the Weill Cornell Medicine study.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LX2020 for the treatment of ACM caused by </w:t>
      </w:r>
      <w:r>
        <w:rPr>
          <w:rFonts w:ascii="Arial" w:cs="Arial" w:eastAsia="Arial" w:hAnsi="Arial"/>
          <w:sz w:val="18"/>
          <w:szCs w:val="18"/>
          <w:b w:val="1"/>
          <w:bCs w:val="1"/>
          <w:color w:val="auto"/>
        </w:rPr>
        <w:t>PKP2</w:t>
      </w:r>
      <w:r>
        <w:rPr>
          <w:rFonts w:ascii="Arial" w:cs="Arial" w:eastAsia="Arial" w:hAnsi="Arial"/>
          <w:sz w:val="18"/>
          <w:szCs w:val="18"/>
          <w:b w:val="1"/>
          <w:bCs w:val="1"/>
          <w:i w:val="1"/>
          <w:iCs w:val="1"/>
          <w:color w:val="auto"/>
        </w:rPr>
        <w:t xml:space="preserve"> mutations</w:t>
      </w:r>
    </w:p>
    <w:p>
      <w:pPr>
        <w:spacing w:after="0" w:line="16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 xml:space="preserve">We are developing LX2020 as an AAVrh10-based gene therapy for the treatment of ACM caused by mutations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or PKP2-ACM. LX2020 is designed to provide a functional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to increase desmosomal PKP2 protein levels, reassemble desmosomes, and prevent cardiac arrhythmias and prevent or treat cardiac dysfunction.</w:t>
      </w:r>
    </w:p>
    <w:p>
      <w:pPr>
        <w:spacing w:after="0" w:line="11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i w:val="1"/>
          <w:iCs w:val="1"/>
          <w:color w:val="auto"/>
        </w:rPr>
        <w:t xml:space="preserve">PKP2 </w:t>
      </w:r>
      <w:r>
        <w:rPr>
          <w:rFonts w:ascii="Arial" w:cs="Arial" w:eastAsia="Arial" w:hAnsi="Arial"/>
          <w:sz w:val="18"/>
          <w:szCs w:val="18"/>
          <w:color w:val="auto"/>
        </w:rPr>
        <w:t>is the most frequently mutated desmosomal gene, and we believe there are more than 60,000 ACM patients affected by the</w:t>
      </w:r>
      <w:r>
        <w:rPr>
          <w:rFonts w:ascii="Arial" w:cs="Arial" w:eastAsia="Arial" w:hAnsi="Arial"/>
          <w:sz w:val="18"/>
          <w:szCs w:val="18"/>
          <w:i w:val="1"/>
          <w:iCs w:val="1"/>
          <w:color w:val="auto"/>
        </w:rPr>
        <w:t xml:space="preserve"> PKP2 </w:t>
      </w:r>
      <w:r>
        <w:rPr>
          <w:rFonts w:ascii="Arial" w:cs="Arial" w:eastAsia="Arial" w:hAnsi="Arial"/>
          <w:sz w:val="18"/>
          <w:szCs w:val="18"/>
          <w:color w:val="auto"/>
        </w:rPr>
        <w:t>mutation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We received IND clearance from the FDA for LX2020 in July 2023 and expect to dose the first patient in the planned Phase 1/2 trial in the first half of 2024 and provide an interim data readout from cohort 1 in the second half of 2024.</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ACM</w:t>
      </w:r>
    </w:p>
    <w:p>
      <w:pPr>
        <w:spacing w:after="0" w:line="15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ACM is a genetic heart disease primarily characterized by myocardial cell loss and the replacement of heart muscle with fibrotic tissue and fatty deposits. ACM can result from mutations in several desmosomal genes. These genetic mutations impair the structure and function of cardiac desmosomes, which are membrane protein complexes engaged in cell-to-cell adhesion and the structural integrity of the ventricular myocardium. Lack of functioning cardiac desmosomes can lead to myocardial cell death and fibrosis, heart dysfunction, rhythm abnormalities, and sudden death. Standard of care may include antiarrhythmics, implantable cardioverter-defibrillators, and ablation procedures; however, none of these therapies address the underlying cause of myocardial dysfunction and ACM.</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figure below shows the role of the PKP2 protein in the formation of the desmosome.</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Overview of ACM disease mechanism caused by deficient </w:t>
      </w:r>
      <w:r>
        <w:rPr>
          <w:rFonts w:ascii="Arial" w:cs="Arial" w:eastAsia="Arial" w:hAnsi="Arial"/>
          <w:sz w:val="18"/>
          <w:szCs w:val="18"/>
          <w:b w:val="1"/>
          <w:bCs w:val="1"/>
          <w:i w:val="1"/>
          <w:iCs w:val="1"/>
          <w:color w:val="auto"/>
        </w:rPr>
        <w:t>PKP2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51755" cy="18516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5175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We estimate that ACM has a prevalence of approximately 130,000 patients in the United States and estimate that over half of all ACM patients have a genetic form of the disease with five desmosomal genes accounting for nearly all of the identified genetic causes of ACM. We have initially targeted the </w:t>
      </w:r>
      <w:r>
        <w:rPr>
          <w:rFonts w:ascii="Arial" w:cs="Arial" w:eastAsia="Arial" w:hAnsi="Arial"/>
          <w:sz w:val="16"/>
          <w:szCs w:val="16"/>
          <w:i w:val="1"/>
          <w:iCs w:val="1"/>
          <w:color w:val="auto"/>
        </w:rPr>
        <w:t xml:space="preserve">PKP2 </w:t>
      </w:r>
      <w:r>
        <w:rPr>
          <w:rFonts w:ascii="Arial" w:cs="Arial" w:eastAsia="Arial" w:hAnsi="Arial"/>
          <w:sz w:val="16"/>
          <w:szCs w:val="16"/>
          <w:color w:val="auto"/>
        </w:rPr>
        <w:t>gene because mutations in this gene are the most commonly known genetic cause of ACM. We believe that mutations in the</w:t>
      </w:r>
      <w:r>
        <w:rPr>
          <w:rFonts w:ascii="Arial" w:cs="Arial" w:eastAsia="Arial" w:hAnsi="Arial"/>
          <w:sz w:val="16"/>
          <w:szCs w:val="16"/>
          <w:i w:val="1"/>
          <w:iCs w:val="1"/>
          <w:color w:val="auto"/>
        </w:rPr>
        <w:t xml:space="preserve"> PKP2 </w:t>
      </w:r>
      <w:r>
        <w:rPr>
          <w:rFonts w:ascii="Arial" w:cs="Arial" w:eastAsia="Arial" w:hAnsi="Arial"/>
          <w:sz w:val="16"/>
          <w:szCs w:val="16"/>
          <w:color w:val="auto"/>
        </w:rPr>
        <w:t>gene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associated with approximately 75% of all genetic cases of ACM, resulting in approximately 60,000 and 75,000 ACM patients affected by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mutation in the United States and European Union, respectively. Most familial cases of the disease have an autosomal dominant pattern of inheritance, meaning one copy of an altered gene in each cell is sufficient to cause the disorder. Since having only one functioning copy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is insufficient to produce the wild-type phenotype, this results in a phenomenon in genetics known as haploinsufficiency.</w:t>
      </w:r>
    </w:p>
    <w:p>
      <w:pPr>
        <w:spacing w:after="0" w:line="85"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Symptoms of the disease can include palpitations, dizziness, heart failure and sudden death. Abnormal function of the right ventricle, fatty or fibrotic infiltrates in the myocardium, abnormal electrocardiogram, or ECG, arrhythmias, or a family history of ACM can all lead physicians to diagnose the disease. No effective treatments or cures for PKP2-ACM exist.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LX2020</w:t>
      </w:r>
    </w:p>
    <w:p>
      <w:pPr>
        <w:spacing w:after="0" w:line="14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We are developing LX2020 as an AAVrh10-based gene therapy candidate for the treatment of PKP2-ACM. LX2020 is designed to intravenously deliver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to cardiac muscle to increase desmosomal PKP2 protein levels and restore myocardial cell function. We believe that by delivering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LX2020 has the potential to address the underlying cause of PKP2-ACM for many patients and have a significant effect on lifespan by reassembling the cardiac desmosomes, preventing cardiac arrhythmias and preventing or treating cardiac dysfunction.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LX2020 is designed to deliver functional </w:t>
      </w:r>
      <w:r>
        <w:rPr>
          <w:rFonts w:ascii="Arial" w:cs="Arial" w:eastAsia="Arial" w:hAnsi="Arial"/>
          <w:sz w:val="18"/>
          <w:szCs w:val="18"/>
          <w:b w:val="1"/>
          <w:bCs w:val="1"/>
          <w:i w:val="1"/>
          <w:iCs w:val="1"/>
          <w:color w:val="auto"/>
        </w:rPr>
        <w:t>PKP2</w:t>
      </w:r>
      <w:r>
        <w:rPr>
          <w:rFonts w:ascii="Arial" w:cs="Arial" w:eastAsia="Arial" w:hAnsi="Arial"/>
          <w:sz w:val="18"/>
          <w:szCs w:val="18"/>
          <w:b w:val="1"/>
          <w:bCs w:val="1"/>
          <w:color w:val="auto"/>
        </w:rPr>
        <w:t xml:space="preserve"> to restore normal desmosomal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111760</wp:posOffset>
            </wp:positionV>
            <wp:extent cx="4817745" cy="17659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1774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4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 xml:space="preserve">Our preclinical mice studies have demonstrated that delivery of LX2020 </w:t>
      </w:r>
      <w:r>
        <w:rPr>
          <w:rFonts w:ascii="Arial" w:cs="Arial" w:eastAsia="Arial" w:hAnsi="Arial"/>
          <w:sz w:val="18"/>
          <w:szCs w:val="18"/>
          <w:i w:val="1"/>
          <w:iCs w:val="1"/>
          <w:color w:val="auto"/>
        </w:rPr>
        <w:t>(AAVRh10-hPK2)</w:t>
      </w:r>
      <w:r>
        <w:rPr>
          <w:rFonts w:ascii="Arial" w:cs="Arial" w:eastAsia="Arial" w:hAnsi="Arial"/>
          <w:sz w:val="18"/>
          <w:szCs w:val="18"/>
          <w:color w:val="auto"/>
        </w:rPr>
        <w:t xml:space="preserve"> improves cardiac structure, function, and the survival of mice harboring a pathologic human mutation in </w:t>
      </w:r>
      <w:r>
        <w:rPr>
          <w:rFonts w:ascii="Arial" w:cs="Arial" w:eastAsia="Arial" w:hAnsi="Arial"/>
          <w:sz w:val="18"/>
          <w:szCs w:val="18"/>
          <w:i w:val="1"/>
          <w:iCs w:val="1"/>
          <w:color w:val="auto"/>
        </w:rPr>
        <w:t>PKP2</w:t>
      </w:r>
      <w:r>
        <w:rPr>
          <w:rFonts w:ascii="Arial" w:cs="Arial" w:eastAsia="Arial" w:hAnsi="Arial"/>
          <w:sz w:val="18"/>
          <w:szCs w:val="18"/>
          <w:color w:val="auto"/>
        </w:rPr>
        <w:t xml:space="preserve">. The genetic mouse model we utilize in our preclinical studies is a CRISPR Cas9-edited model constitutively expressing a mutation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found in humans with ACM. </w:t>
      </w:r>
      <w:r>
        <w:rPr>
          <w:rFonts w:ascii="Arial" w:cs="Arial" w:eastAsia="Arial" w:hAnsi="Arial"/>
          <w:sz w:val="18"/>
          <w:szCs w:val="18"/>
          <w:i w:val="1"/>
          <w:iCs w:val="1"/>
          <w:color w:val="auto"/>
        </w:rPr>
        <w:t>PKP2</w:t>
      </w:r>
      <w:r>
        <w:rPr>
          <w:rFonts w:ascii="Arial" w:cs="Arial" w:eastAsia="Arial" w:hAnsi="Arial"/>
          <w:sz w:val="18"/>
          <w:szCs w:val="18"/>
          <w:color w:val="auto"/>
        </w:rPr>
        <w:t xml:space="preserve"> RNA splicing and protein levels are impacted in this model, which recapitulates all classic PKP2-ACM disease features. We have also demonstrated that LX2020 has a favorable safety profile in a study of non-human primates with no safety signals.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efficacy studies</w:t>
      </w:r>
    </w:p>
    <w:p>
      <w:pPr>
        <w:spacing w:after="0" w:line="14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 xml:space="preserve">We have completed preclinical studies demonstrating that delivery of LX2020 led to the reassembling of the cardiac desmosome, prevented arrhythmias and cardiac dysfunction, and increased survival in a genetic murine model of ACM harboring </w:t>
      </w:r>
      <w:r>
        <w:rPr>
          <w:rFonts w:ascii="Arial" w:cs="Arial" w:eastAsia="Arial" w:hAnsi="Arial"/>
          <w:sz w:val="16"/>
          <w:szCs w:val="16"/>
          <w:i w:val="1"/>
          <w:iCs w:val="1"/>
          <w:color w:val="auto"/>
        </w:rPr>
        <w:t>PKP2</w:t>
      </w:r>
      <w:r>
        <w:rPr>
          <w:rFonts w:ascii="Arial" w:cs="Arial" w:eastAsia="Arial" w:hAnsi="Arial"/>
          <w:sz w:val="16"/>
          <w:szCs w:val="16"/>
          <w:color w:val="auto"/>
        </w:rPr>
        <w:t xml:space="preserve"> patient genetics. Three dose levels were administered to approximately three-week-old homozygous </w:t>
      </w:r>
      <w:r>
        <w:rPr>
          <w:rFonts w:ascii="Arial" w:cs="Arial" w:eastAsia="Arial" w:hAnsi="Arial"/>
          <w:sz w:val="16"/>
          <w:szCs w:val="16"/>
          <w:i w:val="1"/>
          <w:iCs w:val="1"/>
          <w:color w:val="auto"/>
        </w:rPr>
        <w:t>PKP2</w:t>
      </w:r>
      <w:r>
        <w:rPr>
          <w:rFonts w:ascii="Arial" w:cs="Arial" w:eastAsia="Arial" w:hAnsi="Arial"/>
          <w:sz w:val="16"/>
          <w:szCs w:val="16"/>
          <w:color w:val="auto"/>
        </w:rPr>
        <w:t xml:space="preserve"> mice (a more severe disease murine model) with necropsy at twelve weeks post LX2020 treatment and eight-week-old </w:t>
      </w:r>
      <w:r>
        <w:rPr>
          <w:rFonts w:ascii="Arial" w:cs="Arial" w:eastAsia="Arial" w:hAnsi="Arial"/>
          <w:sz w:val="16"/>
          <w:szCs w:val="16"/>
          <w:i w:val="1"/>
          <w:iCs w:val="1"/>
          <w:color w:val="auto"/>
        </w:rPr>
        <w:t>PKP2</w:t>
      </w:r>
      <w:r>
        <w:rPr>
          <w:rFonts w:ascii="Arial" w:cs="Arial" w:eastAsia="Arial" w:hAnsi="Arial"/>
          <w:sz w:val="16"/>
          <w:szCs w:val="16"/>
          <w:color w:val="auto"/>
        </w:rPr>
        <w:t xml:space="preserve"> heterozygous mice (a less severe murine model) with necropsy at eight weeks post LX2020 treatment. In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homozygous mouse study, 12 mice (six males and six females) in each group were treated with one of three dose cohorts (Dose 1 vg/kg, Dose 2 vg/kg, or Dose 3 vg/kg, which varied by approximately a half-log increase between each dose). As shown in the graphic below, within twelve weeks, approximately 90% of mice that received vehicle and 58% of mice that received Dose 1 vg/kg dose of LX2020 died. Conversely, 100% of mice that received the Dose 2 vg/kg dose and 83% of the mice that received the Dose 3 vg/kg dose survived until the 12-week necropsy time period. No PKP2 protein expression was found in the mice that died in the Dose 3 vg/kg dose cohort, whereas all mice that survived in this cohort expressed PKP2. This and other characteristics of the mice indicate the potential of a technical injection dosing error.</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LX2020 significantly extended survival in severe murine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111760</wp:posOffset>
            </wp:positionV>
            <wp:extent cx="4234815" cy="2588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3481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We have also performed quantitative MRI analysis which showed dose-dependent improvement in cardiac function (end-diastolic volume, or EDV, end-systolic volume, or ESV, and ejection fraction, or EF) in </w:t>
      </w:r>
      <w:r>
        <w:rPr>
          <w:rFonts w:ascii="Arial" w:cs="Arial" w:eastAsia="Arial" w:hAnsi="Arial"/>
          <w:sz w:val="16"/>
          <w:szCs w:val="16"/>
          <w:i w:val="1"/>
          <w:iCs w:val="1"/>
          <w:color w:val="auto"/>
        </w:rPr>
        <w:t>PKP2</w:t>
      </w:r>
      <w:r>
        <w:rPr>
          <w:rFonts w:ascii="Arial" w:cs="Arial" w:eastAsia="Arial" w:hAnsi="Arial"/>
          <w:sz w:val="16"/>
          <w:szCs w:val="16"/>
          <w:color w:val="auto"/>
        </w:rPr>
        <w:t xml:space="preserve"> homozygous mice, compared to vehicle-treated animals as shown in the graphic below.</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Quantitative MRI analysis showed improvement in cardiac function in homozygous murine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111760</wp:posOffset>
            </wp:positionV>
            <wp:extent cx="5083175" cy="1654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31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 xml:space="preserve">As shown in the graphic below, we also completed surface ECG analyses which showed a reduction in arrhythmias as measured by premature ventricular contractions in </w:t>
      </w:r>
      <w:r>
        <w:rPr>
          <w:rFonts w:ascii="Arial" w:cs="Arial" w:eastAsia="Arial" w:hAnsi="Arial"/>
          <w:sz w:val="18"/>
          <w:szCs w:val="18"/>
          <w:i w:val="1"/>
          <w:iCs w:val="1"/>
          <w:color w:val="auto"/>
        </w:rPr>
        <w:t>PKP2</w:t>
      </w:r>
      <w:r>
        <w:rPr>
          <w:rFonts w:ascii="Arial" w:cs="Arial" w:eastAsia="Arial" w:hAnsi="Arial"/>
          <w:sz w:val="18"/>
          <w:szCs w:val="18"/>
          <w:color w:val="auto"/>
        </w:rPr>
        <w:t xml:space="preserve"> homozygous murine models.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LX2020 treatment reduced premature ventricular contractions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43500" cy="2211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also observed an 18% reduction in the QRS interval at Dose 3 vg/kg in the PKP2 homozygous mouse model, indicating improvement in centricular depolarization abnormalities. Additional dose-dependent improvements were detected through histological evaluations, revealing decreases in heart size, diminished right ventricular wall thinning, and reduced fibrosis and calcification.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safety studies</w:t>
      </w:r>
    </w:p>
    <w:p>
      <w:pPr>
        <w:spacing w:after="0" w:line="15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a twelve week safety study of NHPs, three doses of LX2020 (Dose 2 vg/kg, Dose 3 vg/kg, or Dose 4 vg/kg, which vary by approximately a half-log increase between each dose) were administered to four monkeys per group (two males and two females) and resulted in dose-dependent increases in LX2020 biodistribution (reported as vector copy number, or VCN) in various regions of the heart as shown below. The biodistribution assay utilized qPCR technique with LX2020 transgene-specific primers.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VCN in various heart regions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111760</wp:posOffset>
            </wp:positionV>
            <wp:extent cx="4457700" cy="27946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4577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 xml:space="preserve">Additionally, in the NHP study, mRNA expression following LX2020 administration was assessed using an RT-qPCR assay with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transgene-specific mRNA primers. Data is reported as copies per nanogram of cDNA input, as shown below, and demonstrates that administration of LX2020 showed a dose-dependent increase of human PKP2 mRNA in various regions of the heart.</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PKP2 </w:t>
      </w:r>
      <w:r>
        <w:rPr>
          <w:rFonts w:ascii="Arial" w:cs="Arial" w:eastAsia="Arial" w:hAnsi="Arial"/>
          <w:sz w:val="18"/>
          <w:szCs w:val="18"/>
          <w:b w:val="1"/>
          <w:bCs w:val="1"/>
          <w:color w:val="auto"/>
        </w:rPr>
        <w:t>mRNA expression (RT-qPCR)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111760</wp:posOffset>
            </wp:positionV>
            <wp:extent cx="4509135" cy="26403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0913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Human PKP2 protein expression was assessed in the NHP hearts using an electrochemiluminescence, or ECL, immunoassay. Notably, unlike the VCN and mRNA assays shown above, where LX2020-specific primers were synthesized to eliminate the detection of endogenous NHP DNA and mRNA, the commercially available antibodies used to detect human PKP2 protein expressed by LX2020 also detect endogenous NHP PKP2. Given the high level of amino acid sequence similarity between the human and NHP PKP2 proteins, generating anti-PKP2 antibodies specific to one of the two species is impossible. Thus, the PKP2 levels measured by the ECL assay represent the sum of endogenous NHP PKP2 and exogenous human PKP2 encoded by LX2020. Data are reported as ng of PKP2 protein per mg of total protein.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PKP2 protein expression in the right ventricle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554605" cy="2065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5460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Whereas a dose-response level in DNA and RNA was observed in most heart regions in the NHPs treated with LX2020, protein levels did not correlate directly with dose. However, a dose-dependent increase in human PKP2 protein expression was seen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homozygous mouse model as shown in the graphic below that translated well to cardiac activity. Three-week-old adult, </w:t>
      </w:r>
      <w:r>
        <w:rPr>
          <w:rFonts w:ascii="Arial" w:cs="Arial" w:eastAsia="Arial" w:hAnsi="Arial"/>
          <w:sz w:val="17"/>
          <w:szCs w:val="17"/>
          <w:i w:val="1"/>
          <w:iCs w:val="1"/>
          <w:color w:val="auto"/>
        </w:rPr>
        <w:t>PKP2</w:t>
      </w:r>
      <w:r>
        <w:rPr>
          <w:rFonts w:ascii="Arial" w:cs="Arial" w:eastAsia="Arial" w:hAnsi="Arial"/>
          <w:sz w:val="17"/>
          <w:szCs w:val="17"/>
          <w:color w:val="auto"/>
        </w:rPr>
        <w:t xml:space="preserve"> homozygous mice were administered a single dose of LX2020 (Dose 1 vg/kg, Dose 2 vg/kg, and Dose 3 vg/kg) or formulation buffer (vehicle) intravenously and sacrificed twelve weeks post dose. LX2020 administration resulted in a dose-dependent increase in hPKP2 expression which was sufficient to prevent the cardiac cell-cell junction deficits of the classic proteins that make up the desmosome, including DSP, desmoglein-2, or DSG2, plakoglobin, or JUP, and N-cadherin, or Ncad, that have all been implicated in human ACM along with the gap junction protein connexin 43 (Cx43).</w:t>
      </w: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Cardiac PKP2 expression in homozygous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111760</wp:posOffset>
            </wp:positionV>
            <wp:extent cx="5168900" cy="2400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689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Possible explanations for the differences seen in mice and primate models include the following:</w:t>
      </w:r>
    </w:p>
    <w:p>
      <w:pPr>
        <w:spacing w:after="0" w:line="158" w:lineRule="exact"/>
        <w:rPr>
          <w:sz w:val="20"/>
          <w:szCs w:val="20"/>
          <w:color w:val="auto"/>
        </w:rPr>
      </w:pPr>
    </w:p>
    <w:p>
      <w:pPr>
        <w:ind w:left="340" w:hanging="224"/>
        <w:spacing w:after="0" w:line="25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Inhibited Translation/Intracellular Protein Degradation: </w:t>
      </w:r>
      <w:r>
        <w:rPr>
          <w:rFonts w:ascii="Arial" w:cs="Arial" w:eastAsia="Arial" w:hAnsi="Arial"/>
          <w:sz w:val="18"/>
          <w:szCs w:val="18"/>
          <w:color w:val="auto"/>
        </w:rPr>
        <w:t>Desmosomal proteins such as PKP2 are tightly regulated within striated muscle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intracellular homeostasis. Therefore, excessive protein levels, such as those in wild-type primates, will likely result in decreased RNA translation and PKP2 protein degradation. This has been observed in previous studies and may explain why this effect was only observed in the wild-type primates but not in the murine model of PKP2 deficiency.</w:t>
      </w:r>
    </w:p>
    <w:p>
      <w:pPr>
        <w:spacing w:after="0" w:line="119" w:lineRule="exact"/>
        <w:rPr>
          <w:rFonts w:ascii="Arial" w:cs="Arial" w:eastAsia="Arial" w:hAnsi="Arial"/>
          <w:sz w:val="18"/>
          <w:szCs w:val="18"/>
          <w:color w:val="auto"/>
        </w:rPr>
      </w:pPr>
    </w:p>
    <w:p>
      <w:pPr>
        <w:ind w:left="340" w:right="80" w:hanging="224"/>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Interference from NHP endogenous PKP2 levels: </w:t>
      </w:r>
      <w:r>
        <w:rPr>
          <w:rFonts w:ascii="Arial" w:cs="Arial" w:eastAsia="Arial" w:hAnsi="Arial"/>
          <w:sz w:val="18"/>
          <w:szCs w:val="18"/>
          <w:color w:val="auto"/>
        </w:rPr>
        <w:t>PKP2 protein is abundant in NHP cardiac muscle and can fluctuate considerably. Furthermore,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part, antibodies cannot distinguish between human and primate PKP2. Hence, the different protein levels in primates may be due to fluctuations in basal primate PKP2, not human PKP2 transcribed from LX2020.</w:t>
      </w:r>
    </w:p>
    <w:p>
      <w:pPr>
        <w:spacing w:after="0" w:line="116"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Importantly, in the NHP safety study, all LX2020 doses (Dose 2 vg/kg, Dose 3 vg/kg, and Dose 4 vg/kg) demonstrated favorable safety profiles, including no abnormal effects on clinical signs, body weight, clinical pathology, hematology, histopathology, ECHOs, cardiac biomarkers, or ECG. Collectively these data indicate LX2020 was generally well tolerated during the twelve-week duration of the study in NHPs. The maximum dose of Dose 4 vg/kg is thus recognized as the NOAEL (no observed adverse event level) in NHPs.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Vector Comparability Studies</w:t>
      </w:r>
    </w:p>
    <w:p>
      <w:pPr>
        <w:spacing w:after="0" w:line="15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 xml:space="preserve">Additionally, we have completed preclinical studies comparing AAVrh10 and AAV9 in head-to-head studies measuring cardiac function in a </w:t>
      </w:r>
      <w:r>
        <w:rPr>
          <w:rFonts w:ascii="Arial" w:cs="Arial" w:eastAsia="Arial" w:hAnsi="Arial"/>
          <w:sz w:val="17"/>
          <w:szCs w:val="17"/>
          <w:i w:val="1"/>
          <w:iCs w:val="1"/>
          <w:color w:val="auto"/>
        </w:rPr>
        <w:t>PKP2</w:t>
      </w:r>
      <w:r>
        <w:rPr>
          <w:rFonts w:ascii="Arial" w:cs="Arial" w:eastAsia="Arial" w:hAnsi="Arial"/>
          <w:sz w:val="17"/>
          <w:szCs w:val="17"/>
          <w:color w:val="auto"/>
        </w:rPr>
        <w:t xml:space="preserve"> homozygous mouse model administered with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was administered before disease onset on day two (neonatal administration) to five mice in each group, and cardiac function was measured by MRI. As shown in the graphic below, AAVrh10 demonstrated a trend of superior results compared to AAV9 as measured by improvements in ejection fraction, end-diastolic volume, and end-systolic volume.</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AAVrh10 showed greater trends of cardiac function improvement versus AAV9 in </w:t>
      </w:r>
      <w:r>
        <w:rPr>
          <w:rFonts w:ascii="Arial" w:cs="Arial" w:eastAsia="Arial" w:hAnsi="Arial"/>
          <w:sz w:val="18"/>
          <w:szCs w:val="18"/>
          <w:b w:val="1"/>
          <w:bCs w:val="1"/>
          <w:i w:val="1"/>
          <w:iCs w:val="1"/>
          <w:color w:val="auto"/>
        </w:rPr>
        <w:t>PKP2</w:t>
      </w:r>
      <w:r>
        <w:rPr>
          <w:rFonts w:ascii="Arial" w:cs="Arial" w:eastAsia="Arial" w:hAnsi="Arial"/>
          <w:sz w:val="18"/>
          <w:szCs w:val="18"/>
          <w:b w:val="1"/>
          <w:bCs w:val="1"/>
          <w:color w:val="auto"/>
        </w:rPr>
        <w:t xml:space="preserve">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43500" cy="18859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LX2020 clinical development and trial design</w:t>
      </w:r>
    </w:p>
    <w:p>
      <w:pPr>
        <w:spacing w:after="0" w:line="158"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We received IND clearance from the FDA for LX2020 in July 2023 for the treatment of PKP2-ACM. We plan to initiate a Phase 1/2 clinical trial (HEROIC-PKP2) in the first half of 2024 and provide an interim data readout from cohort 1 in the second half of 2024. HEROIC-PKP2 is expected to be a first-in-human, 52-week, open-label, dose-ascending multicenter trial to determine the safety and tolerability of LX2020 in patients with PKP2-ACM. We anticipate that preliminary efficacy measures will be myocardial protein expression, biomarkers measuring cardiac structure and function, and arrhythmia burden. Key inclusion criteria includes: patients aged 18-65 years with a confirmed diagnosis of ACM with either 2010 Task Force Criteria or 2020 International Criteria for ACM; documented PKP2 mutation; existing implantable cardioverter defibrillator (ICD) that is MRI compatible; and a minimum threshold of PVCs over a 24 hour period. LX2020 will be administered as a one-time intravenous infusion to patients in at least two ascending-dose cohorts of three patients each, with the potential for cohort expansion. Prednisone and rapamycin will be utilized for immune suppression. The starting dose will be 2x10</w:t>
      </w:r>
      <w:r>
        <w:rPr>
          <w:rFonts w:ascii="Arial" w:cs="Arial" w:eastAsia="Arial" w:hAnsi="Arial"/>
          <w:sz w:val="25"/>
          <w:szCs w:val="25"/>
          <w:color w:val="auto"/>
          <w:vertAlign w:val="superscript"/>
        </w:rPr>
        <w:t>13</w:t>
      </w:r>
      <w:r>
        <w:rPr>
          <w:rFonts w:ascii="Arial" w:cs="Arial" w:eastAsia="Arial" w:hAnsi="Arial"/>
          <w:sz w:val="17"/>
          <w:szCs w:val="17"/>
          <w:color w:val="auto"/>
        </w:rPr>
        <w:t xml:space="preserve"> vg/kg, which was selected based on the dose-response seen in our preclinical studies. A second cohort will be evaluated with a dose of 6x10</w:t>
      </w:r>
      <w:r>
        <w:rPr>
          <w:rFonts w:ascii="Arial" w:cs="Arial" w:eastAsia="Arial" w:hAnsi="Arial"/>
          <w:sz w:val="25"/>
          <w:szCs w:val="25"/>
          <w:color w:val="auto"/>
          <w:vertAlign w:val="superscript"/>
        </w:rPr>
        <w:t>13</w:t>
      </w:r>
      <w:r>
        <w:rPr>
          <w:rFonts w:ascii="Arial" w:cs="Arial" w:eastAsia="Arial" w:hAnsi="Arial"/>
          <w:sz w:val="17"/>
          <w:szCs w:val="17"/>
          <w:color w:val="auto"/>
        </w:rPr>
        <w:t xml:space="preserve"> vg/kg. There will be a long-term follow-up for patients who receive LX2020 to monitor ongoing safety for a total of five years, per FDA requirement.</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cardiovascular gene therapy programs: LX2021 and LX2022</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there are additional targets in genetically defined cardiac disease that have the potential to be addressed through AAV-based gene therapies.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plan to continue to innovate with novel capsids, promoters, and delivery methods to optimize our early-stage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LX2021 for the treatment of DSP cardiomyopathy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 xml:space="preserve">LX2021 </w:t>
      </w:r>
      <w:r>
        <w:rPr>
          <w:rFonts w:ascii="Arial" w:cs="Arial" w:eastAsia="Arial" w:hAnsi="Arial"/>
          <w:sz w:val="18"/>
          <w:szCs w:val="18"/>
          <w:color w:val="auto"/>
        </w:rPr>
        <w:t>is a gene therapy candidate we are developing to intravenously deliver the coding sequence for the functional Cx43 protein for a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inherited cardiac muscle disorders associated with a high risk of sudden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death, including ACM and certain forms of dilated cardiomyopathy, which are typically due to abnormalities or deficits in cardiac desmosomes. Cx43 is an integral protein component of gap junctions, and functionally allows small molecules and ions to flow directly between cells to allow for electrical synchronization of muscle contraction. In patients with heart disease, including heart failure, Cx43 is often relocalized in the lateral walls of myocardial cells. As a result, it is significantly reduced at cardiac muscle cell junctions, especially in ACM populations. Restoring Cx43 protein to cardiac muscle cell-cell junctions can potentially treat multiple genetic causes of ACM because the cardiac loss of Cx43 is a molecular deficit generally observed in all ACM patient populations. Desmoplakin, or DSP, is a structural protein critical for force transmission in heart muscle. Mutations in DSP cause a distinct form of ACM and a certain form of dilated cardiomyopathy (aka DSP cardiomyopathy). Unlike many forms of ACM that predominantly affect the right side of the heart, DSP cardiomyopathy frequently affects the left side of the heart. The prevalence of DSP cardiomyopathy is unknown but may be as high as 4% of all inherited dilated cardiomyopathies and 4% of ACM, impacting up to 35,000 individuals in the U.S. Given the role of Cx43 in other forms of heart failure, we are also evaluating LX 2021 for the treatment of additional indications beyond DSP cardiomyopathy.</w:t>
      </w:r>
    </w:p>
    <w:p>
      <w:pPr>
        <w:spacing w:after="0" w:line="10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conducted a preclinical study in a cardiac-specific DSP loss-of-function mouse model, or DSP-cKO mice, which is a genetic model of ACM. DSP-cKO mice develop molecular, histological and physiological features of ACM and ultimately die prematurely from heart failure. In this study, we observed that severely diseased mice treated with AAV-based gene therapy expressing Cx43 display fewer arrhythmias, have improved cardiac mechanical function, and experience an almost two-fold increase in lifespan when compared to untreated DSP-cKO adult mice. We plan to initiate IND-enabling studies for LX2021 in 2024.</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5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preclinical studies have demonstrated that mice harboring DSP cardiomyopathy experience a nearly two-fold increase in lifespan when treated with an AAV-based gene therapy candidate expressing Cx43 compared to controls. A single dose of an AAV-based gene therapy candidate representing Cx43 was administered intravenously to the cardiac-specific DSP-cKO mice, at four to six weeks of age. DSP-cKO mice are a genetic model of ACM harboring severe structural disease and loss of Cx43. RNA analysis of the treated mice revealed that cardiac-specific Cx43 gene delivery increased Cx43 RNA levels. Additionally, the Cx43-treated DSP-cKO mice showed a re-expression of mechanical junction proteins in their hearts compared to controls. Essential basement membrane proteins, including N-cadherin, as well as desmosomal proteins, PKP2 and junction plakoglobin, were also restored to cell-cell junctions in Cx43-treated DSP-cKO hearts compared to end-stage untreated DSP-cKO hearts, which had limited localization of junctional proteins at cell-cell junctions. These findings further validate the ability of Cx43 to resurrect the cardiac mechanical muscle junction complex in diseased hearts.</w:t>
      </w: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Administration of AAV-based therapy expressing Cx43 improved survival</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severe ACM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99695</wp:posOffset>
            </wp:positionV>
            <wp:extent cx="2434590" cy="1611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3459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These findings demonstrate that restoration of Cx43 has the potential to positively impact cardiomyocyte physiology and lifespan in the DSP-cKO mice and provide direction for our ongoing development efforts, including the evaluation of other vector serotypes. We plan to initiate IND-enabling studies for LX2021 in 2024.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LX2022 for the treatment of HCM caused by TNNI3 mutations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 xml:space="preserve">LX2022 is a gene therapy candidate we are developing to intravenously deliver a functional </w:t>
      </w:r>
      <w:r>
        <w:rPr>
          <w:rFonts w:ascii="Arial" w:cs="Arial" w:eastAsia="Arial" w:hAnsi="Arial"/>
          <w:sz w:val="18"/>
          <w:szCs w:val="18"/>
          <w:i w:val="1"/>
          <w:iCs w:val="1"/>
          <w:color w:val="auto"/>
        </w:rPr>
        <w:t>TNNI3</w:t>
      </w:r>
      <w:r>
        <w:rPr>
          <w:rFonts w:ascii="Arial" w:cs="Arial" w:eastAsia="Arial" w:hAnsi="Arial"/>
          <w:sz w:val="18"/>
          <w:szCs w:val="18"/>
          <w:color w:val="auto"/>
        </w:rPr>
        <w:t xml:space="preserve"> gene to myocardial cells to treat a distinct form of HCM due to mutations in the </w:t>
      </w:r>
      <w:r>
        <w:rPr>
          <w:rFonts w:ascii="Arial" w:cs="Arial" w:eastAsia="Arial" w:hAnsi="Arial"/>
          <w:sz w:val="18"/>
          <w:szCs w:val="18"/>
          <w:i w:val="1"/>
          <w:iCs w:val="1"/>
          <w:color w:val="auto"/>
        </w:rPr>
        <w:t>TNNI3</w:t>
      </w:r>
      <w:r>
        <w:rPr>
          <w:rFonts w:ascii="Arial" w:cs="Arial" w:eastAsia="Arial" w:hAnsi="Arial"/>
          <w:sz w:val="18"/>
          <w:szCs w:val="18"/>
          <w:color w:val="auto"/>
        </w:rPr>
        <w:t xml:space="preserve"> gene. With an estimated prevalence of 1 in 500 people in the United States, HCM is one of the most common forms of genetic cardiomyopathy caused by mutations that affect the cardiac sarcomere in approximately 75% of cases. It is estimated that as many as 25,000 patients in the United States and 34,000 patients in the European Union are affected by HCM caused by mutations in the gene </w:t>
      </w:r>
      <w:r>
        <w:rPr>
          <w:rFonts w:ascii="Arial" w:cs="Arial" w:eastAsia="Arial" w:hAnsi="Arial"/>
          <w:sz w:val="18"/>
          <w:szCs w:val="18"/>
          <w:i w:val="1"/>
          <w:iCs w:val="1"/>
          <w:color w:val="auto"/>
        </w:rPr>
        <w:t>TNNI3</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TNNI3 </w:t>
      </w:r>
      <w:r>
        <w:rPr>
          <w:rFonts w:ascii="Arial" w:cs="Arial" w:eastAsia="Arial" w:hAnsi="Arial"/>
          <w:sz w:val="18"/>
          <w:szCs w:val="18"/>
          <w:color w:val="auto"/>
        </w:rPr>
        <w:t>gene encodes troponin I, an essential protein in the thin filament of the sarcomere, which is involved in cardiac contraction and relaxation.</w:t>
      </w:r>
      <w:r>
        <w:rPr>
          <w:rFonts w:ascii="Arial" w:cs="Arial" w:eastAsia="Arial" w:hAnsi="Arial"/>
          <w:sz w:val="18"/>
          <w:szCs w:val="18"/>
          <w:i w:val="1"/>
          <w:iCs w:val="1"/>
          <w:color w:val="auto"/>
        </w:rPr>
        <w:t xml:space="preserve"> </w:t>
      </w:r>
      <w:r>
        <w:rPr>
          <w:rFonts w:ascii="Arial" w:cs="Arial" w:eastAsia="Arial" w:hAnsi="Arial"/>
          <w:sz w:val="18"/>
          <w:szCs w:val="18"/>
          <w:color w:val="auto"/>
        </w:rPr>
        <w:t>Mutations</w:t>
      </w:r>
    </w:p>
    <w:p>
      <w:pPr>
        <w:spacing w:after="0" w:line="1"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in the gene often result in left ventricular hypertrophy and restrictive cardiomyopathy, leading to arrhythmias and heart failure. We plan to complete candidate selection for LX2022 in 2024.</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HCM caused by TNNI3 Mutations</w:t>
      </w:r>
    </w:p>
    <w:p>
      <w:pPr>
        <w:spacing w:after="0" w:line="15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 xml:space="preserve">HCM is a genetic disorder characterized by left ventricular hypertrophy and one of the most common forms of genetic cardiomyopathy. Mutations in over a dozen genes encoding the thick and thin filaments of the cardiac sarcomere have been linked to HCM. </w:t>
      </w:r>
      <w:r>
        <w:rPr>
          <w:rFonts w:ascii="Arial" w:cs="Arial" w:eastAsia="Arial" w:hAnsi="Arial"/>
          <w:sz w:val="18"/>
          <w:szCs w:val="18"/>
          <w:i w:val="1"/>
          <w:iCs w:val="1"/>
          <w:color w:val="auto"/>
        </w:rPr>
        <w:t>TNNI3</w:t>
      </w:r>
      <w:r>
        <w:rPr>
          <w:rFonts w:ascii="Arial" w:cs="Arial" w:eastAsia="Arial" w:hAnsi="Arial"/>
          <w:sz w:val="18"/>
          <w:szCs w:val="18"/>
          <w:color w:val="auto"/>
        </w:rPr>
        <w:t xml:space="preserve">, a critical component of the thin filament of the sarcomere, accounts for approximately 5% of all HCM cases. Genetic mutations may affect any portion of the sarcomere, including thin and thick filaments, ultimately leading to cardiac muscle dysfunction. While thick filament mutations are the most common and best characterized, thin filament mutations remain clinically relevant. Some evidence suggests thin filament mutations are associated with more arrhythmias and earlier progression to advanced heart failure due to a disease mechanism distinct from other forms of inherited cardiomyopathy. In addition, </w:t>
      </w:r>
      <w:r>
        <w:rPr>
          <w:rFonts w:ascii="Arial" w:cs="Arial" w:eastAsia="Arial" w:hAnsi="Arial"/>
          <w:sz w:val="18"/>
          <w:szCs w:val="18"/>
          <w:i w:val="1"/>
          <w:iCs w:val="1"/>
          <w:color w:val="auto"/>
        </w:rPr>
        <w:t>TNNI3</w:t>
      </w:r>
      <w:r>
        <w:rPr>
          <w:rFonts w:ascii="Arial" w:cs="Arial" w:eastAsia="Arial" w:hAnsi="Arial"/>
          <w:sz w:val="18"/>
          <w:szCs w:val="18"/>
          <w:color w:val="auto"/>
        </w:rPr>
        <w:t xml:space="preserve"> mutations are less likely to cause cardiac obstruction and hence less likely to benefit from surgical (myectomy) and medical interventions (myosin inhibitors) targeting obstruction.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5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Our preclinical data from an A157V </w:t>
      </w:r>
      <w:r>
        <w:rPr>
          <w:rFonts w:ascii="Arial" w:cs="Arial" w:eastAsia="Arial" w:hAnsi="Arial"/>
          <w:sz w:val="18"/>
          <w:szCs w:val="18"/>
          <w:i w:val="1"/>
          <w:iCs w:val="1"/>
          <w:color w:val="auto"/>
        </w:rPr>
        <w:t>TNNI3</w:t>
      </w:r>
      <w:r>
        <w:rPr>
          <w:rFonts w:ascii="Arial" w:cs="Arial" w:eastAsia="Arial" w:hAnsi="Arial"/>
          <w:sz w:val="18"/>
          <w:szCs w:val="18"/>
          <w:color w:val="auto"/>
        </w:rPr>
        <w:t xml:space="preserve"> murine model, a model which results in cardiac dysfunction, was generated to validate the delivery of an AAV-based therapy candidate expressing human </w:t>
      </w:r>
      <w:r>
        <w:rPr>
          <w:rFonts w:ascii="Arial" w:cs="Arial" w:eastAsia="Arial" w:hAnsi="Arial"/>
          <w:sz w:val="18"/>
          <w:szCs w:val="18"/>
          <w:i w:val="1"/>
          <w:iCs w:val="1"/>
          <w:color w:val="auto"/>
        </w:rPr>
        <w:t>TNNI3</w:t>
      </w:r>
      <w:r>
        <w:rPr>
          <w:rFonts w:ascii="Arial" w:cs="Arial" w:eastAsia="Arial" w:hAnsi="Arial"/>
          <w:sz w:val="18"/>
          <w:szCs w:val="18"/>
          <w:color w:val="auto"/>
        </w:rPr>
        <w:t xml:space="preserve"> regulated by a cardiac-specific promoter. At four weeks post injection, the level and specificity of </w:t>
      </w:r>
      <w:r>
        <w:rPr>
          <w:rFonts w:ascii="Arial" w:cs="Arial" w:eastAsia="Arial" w:hAnsi="Arial"/>
          <w:sz w:val="18"/>
          <w:szCs w:val="18"/>
          <w:i w:val="1"/>
          <w:iCs w:val="1"/>
          <w:color w:val="auto"/>
        </w:rPr>
        <w:t>TNNI3</w:t>
      </w:r>
      <w:r>
        <w:rPr>
          <w:rFonts w:ascii="Arial" w:cs="Arial" w:eastAsia="Arial" w:hAnsi="Arial"/>
          <w:sz w:val="18"/>
          <w:szCs w:val="18"/>
          <w:color w:val="auto"/>
        </w:rPr>
        <w:t xml:space="preserve"> gene expression were evaluated in the liver, skeletal muscle, and heart tissue. Endogenous TNNT2 protein expression indicates cardiomyocyte-specific tissue, whereas ACTN2 indicates expression in only myocytes. HSPA8-1 and HSPA8-2 were blotted as housekeeping gene controls. As </w:t>
      </w:r>
      <w:r>
        <w:rPr>
          <w:rFonts w:ascii="Arial" w:cs="Arial" w:eastAsia="Arial" w:hAnsi="Arial"/>
          <w:sz w:val="18"/>
          <w:szCs w:val="18"/>
          <w:i w:val="1"/>
          <w:iCs w:val="1"/>
          <w:color w:val="auto"/>
        </w:rPr>
        <w:t>TNNI3</w:t>
      </w:r>
      <w:r>
        <w:rPr>
          <w:rFonts w:ascii="Arial" w:cs="Arial" w:eastAsia="Arial" w:hAnsi="Arial"/>
          <w:sz w:val="18"/>
          <w:szCs w:val="18"/>
          <w:color w:val="auto"/>
        </w:rPr>
        <w:t xml:space="preserve"> was regulated by a cardiac-specific promoter, expression of </w:t>
      </w:r>
      <w:r>
        <w:rPr>
          <w:rFonts w:ascii="Arial" w:cs="Arial" w:eastAsia="Arial" w:hAnsi="Arial"/>
          <w:sz w:val="18"/>
          <w:szCs w:val="18"/>
          <w:i w:val="1"/>
          <w:iCs w:val="1"/>
          <w:color w:val="auto"/>
        </w:rPr>
        <w:t>TNNI3</w:t>
      </w:r>
      <w:r>
        <w:rPr>
          <w:rFonts w:ascii="Arial" w:cs="Arial" w:eastAsia="Arial" w:hAnsi="Arial"/>
          <w:sz w:val="18"/>
          <w:szCs w:val="18"/>
          <w:color w:val="auto"/>
        </w:rPr>
        <w:t xml:space="preserve"> was only detected in the heart tissue, as shown in the figure below.</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TNNI3 Expression in Liver, Skeletal Muscle, and Heart Tissue in A157V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111760</wp:posOffset>
            </wp:positionV>
            <wp:extent cx="3660140" cy="2065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601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Additionally, retro-orbital injection of AAV9-hTNNI3 expressing A157V mutation was performed on three- month-old mice euthanized four weeks later. The hearts were dissected and immunostained. Immunostaining revealed robust expression of human </w:t>
      </w:r>
      <w:r>
        <w:rPr>
          <w:rFonts w:ascii="Arial" w:cs="Arial" w:eastAsia="Arial" w:hAnsi="Arial"/>
          <w:sz w:val="18"/>
          <w:szCs w:val="18"/>
          <w:i w:val="1"/>
          <w:iCs w:val="1"/>
          <w:color w:val="auto"/>
        </w:rPr>
        <w:t>TNNI3</w:t>
      </w:r>
      <w:r>
        <w:rPr>
          <w:rFonts w:ascii="Arial" w:cs="Arial" w:eastAsia="Arial" w:hAnsi="Arial"/>
          <w:sz w:val="18"/>
          <w:szCs w:val="18"/>
          <w:color w:val="auto"/>
        </w:rPr>
        <w:t xml:space="preserve"> in the cardiomyocyte after treatment with AAV-based </w:t>
      </w:r>
      <w:r>
        <w:rPr>
          <w:rFonts w:ascii="Arial" w:cs="Arial" w:eastAsia="Arial" w:hAnsi="Arial"/>
          <w:sz w:val="18"/>
          <w:szCs w:val="18"/>
          <w:i w:val="1"/>
          <w:iCs w:val="1"/>
          <w:color w:val="auto"/>
        </w:rPr>
        <w:t>TNNI3</w:t>
      </w:r>
      <w:r>
        <w:rPr>
          <w:rFonts w:ascii="Arial" w:cs="Arial" w:eastAsia="Arial" w:hAnsi="Arial"/>
          <w:sz w:val="18"/>
          <w:szCs w:val="18"/>
          <w:color w:val="auto"/>
        </w:rPr>
        <w:t>.</w:t>
      </w:r>
    </w:p>
    <w:p>
      <w:pPr>
        <w:spacing w:after="0" w:line="11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 xml:space="preserve">Additionally, high magnification imaging demonstrated the incorporation of </w:t>
      </w:r>
      <w:r>
        <w:rPr>
          <w:rFonts w:ascii="Arial" w:cs="Arial" w:eastAsia="Arial" w:hAnsi="Arial"/>
          <w:sz w:val="18"/>
          <w:szCs w:val="18"/>
          <w:i w:val="1"/>
          <w:iCs w:val="1"/>
          <w:color w:val="auto"/>
        </w:rPr>
        <w:t>TNNI3</w:t>
      </w:r>
      <w:r>
        <w:rPr>
          <w:rFonts w:ascii="Arial" w:cs="Arial" w:eastAsia="Arial" w:hAnsi="Arial"/>
          <w:sz w:val="18"/>
          <w:szCs w:val="18"/>
          <w:color w:val="auto"/>
        </w:rPr>
        <w:t xml:space="preserve"> within the cardiac sarcomere. These preclinical findings demonstrate that AAV-based therapy expressing </w:t>
      </w:r>
      <w:r>
        <w:rPr>
          <w:rFonts w:ascii="Arial" w:cs="Arial" w:eastAsia="Arial" w:hAnsi="Arial"/>
          <w:sz w:val="18"/>
          <w:szCs w:val="18"/>
          <w:i w:val="1"/>
          <w:iCs w:val="1"/>
          <w:color w:val="auto"/>
        </w:rPr>
        <w:t>TNNI3</w:t>
      </w:r>
      <w:r>
        <w:rPr>
          <w:rFonts w:ascii="Arial" w:cs="Arial" w:eastAsia="Arial" w:hAnsi="Arial"/>
          <w:sz w:val="18"/>
          <w:szCs w:val="18"/>
          <w:color w:val="auto"/>
        </w:rPr>
        <w:t xml:space="preserve"> can be administered to achieve transgene expression in heart tissue and guide our ongoing development efforts, including evaluation of other vector serotypes. We have also developed a novel CRISPR CAS9-edited novel porcine model of HCM that resembles the human phenotype. This model will allow us to perform preclinical testing in a system to resemble the human condition and perform physiological assays to evaluate efficacy.</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APOE4-associated Alzheimer’s disease programs</w:t>
      </w:r>
    </w:p>
    <w:p>
      <w:pPr>
        <w:spacing w:after="0" w:line="114"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Alzheimer’s disease is a progressive neurodegenerative disorder that is the leading cause of cognitive decline in late adult life. The Alzheimer’s Association estimates that there were 6.2 million patients living in the United States with Alzheimer’s disease in 2021, with costs to the nation exceeding $350 billion. Aging of the population is expected to significantly increase the socioeconomic burden of this disease in the coming decades, and the Alzheimer’s Association further estimates that as many as 12.4 million patients in the United States could have the disease by 2050.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Alzheimer’s disease franchise</w:t>
      </w:r>
    </w:p>
    <w:p>
      <w:pPr>
        <w:spacing w:after="0" w:line="144"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 xml:space="preserve">In a similar theme to the cardiovascular treatment landscape, we see an opportunity of a comparable magnitude in precision therapies treating Alzheimer’s disease. There is only one fully approved drug (lecanemab) that has demonstrated slowing of disease progression in patients with early Alzheimer’s disease. However, within the prevalent population of 6.2 million patients in the United States suffering from Alzheimer’s disease, there are number of subpopulations: importantly, </w:t>
      </w:r>
      <w:r>
        <w:rPr>
          <w:rFonts w:ascii="Arial" w:cs="Arial" w:eastAsia="Arial" w:hAnsi="Arial"/>
          <w:sz w:val="16"/>
          <w:szCs w:val="16"/>
          <w:i w:val="1"/>
          <w:iCs w:val="1"/>
          <w:color w:val="auto"/>
        </w:rPr>
        <w:t>APOE4</w:t>
      </w:r>
      <w:r>
        <w:rPr>
          <w:rFonts w:ascii="Arial" w:cs="Arial" w:eastAsia="Arial" w:hAnsi="Arial"/>
          <w:sz w:val="16"/>
          <w:szCs w:val="16"/>
          <w:color w:val="auto"/>
        </w:rPr>
        <w:t xml:space="preserve"> patients who comprise approximately 2-3% of the U.S. population but comprise approximately 15% of Alzheimer’s disease patients. We believe they represent a unique subpopulation within the broader disease space. In clinical trials of lecanemab and donanemab, a different side effect profile (a higher incidence of amyloid-related imaging abnormalities, or ARIA) was observed for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compared to other patient genotypes. In fact, the lecanemab label has a warning for ARIA and states that the risk is higher in </w:t>
      </w:r>
      <w:r>
        <w:rPr>
          <w:rFonts w:ascii="Arial" w:cs="Arial" w:eastAsia="Arial" w:hAnsi="Arial"/>
          <w:sz w:val="16"/>
          <w:szCs w:val="16"/>
          <w:i w:val="1"/>
          <w:iCs w:val="1"/>
          <w:color w:val="auto"/>
        </w:rPr>
        <w:t xml:space="preserve">APOE4 </w:t>
      </w:r>
      <w:r>
        <w:rPr>
          <w:rFonts w:ascii="Arial" w:cs="Arial" w:eastAsia="Arial" w:hAnsi="Arial"/>
          <w:sz w:val="16"/>
          <w:szCs w:val="16"/>
          <w:color w:val="auto"/>
        </w:rPr>
        <w:t>homozygous patients. Additionally, in both clinical trials, APOE4 homozygous patients demonstrated lower efficacy results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heterozygotes and noncarriers in terms of a reduction in clinical dementia rating. We believe this points to the unmet need within the </w:t>
      </w:r>
      <w:r>
        <w:rPr>
          <w:rFonts w:ascii="Arial" w:cs="Arial" w:eastAsia="Arial" w:hAnsi="Arial"/>
          <w:sz w:val="16"/>
          <w:szCs w:val="16"/>
          <w:i w:val="1"/>
          <w:iCs w:val="1"/>
          <w:color w:val="auto"/>
        </w:rPr>
        <w:t>APOE4</w:t>
      </w:r>
      <w:r>
        <w:rPr>
          <w:rFonts w:ascii="Arial" w:cs="Arial" w:eastAsia="Arial" w:hAnsi="Arial"/>
          <w:sz w:val="16"/>
          <w:szCs w:val="16"/>
          <w:color w:val="auto"/>
        </w:rPr>
        <w:t xml:space="preserve"> population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and also raises questions of whether there is a unique disease pathology that </w:t>
      </w:r>
      <w:r>
        <w:rPr>
          <w:rFonts w:ascii="Arial" w:cs="Arial" w:eastAsia="Arial" w:hAnsi="Arial"/>
          <w:sz w:val="18"/>
          <w:szCs w:val="18"/>
          <w:i w:val="1"/>
          <w:iCs w:val="1"/>
          <w:color w:val="auto"/>
        </w:rPr>
        <w:t>APOE4</w:t>
      </w:r>
      <w:r>
        <w:rPr>
          <w:rFonts w:ascii="Arial" w:cs="Arial" w:eastAsia="Arial" w:hAnsi="Arial"/>
          <w:sz w:val="18"/>
          <w:szCs w:val="18"/>
          <w:color w:val="auto"/>
        </w:rPr>
        <w:t xml:space="preserve"> genetics confer to Alzheimer’s disease patients. Because of this differentiated treatment effect, we believe precision therapies, particularly those focused on the underlying genetics of Alzheimer’s disease, may have a substantial impact on this treatment landscape.</w:t>
      </w:r>
    </w:p>
    <w:p>
      <w:pPr>
        <w:spacing w:after="0" w:line="11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We are building a portfolio of approaches aimed at treating the genetics underlying Alzheimer’s disease. In our lead Alzheimer’s disease program, LX1001, we are initially targeting homozygous APOE4-associated Alzheimer’s disease patients by administering AAVrh10 containing the </w:t>
      </w:r>
      <w:r>
        <w:rPr>
          <w:rFonts w:ascii="Arial" w:cs="Arial" w:eastAsia="Arial" w:hAnsi="Arial"/>
          <w:sz w:val="16"/>
          <w:szCs w:val="16"/>
          <w:i w:val="1"/>
          <w:iCs w:val="1"/>
          <w:color w:val="auto"/>
        </w:rPr>
        <w:t>APOE2</w:t>
      </w:r>
      <w:r>
        <w:rPr>
          <w:rFonts w:ascii="Arial" w:cs="Arial" w:eastAsia="Arial" w:hAnsi="Arial"/>
          <w:sz w:val="16"/>
          <w:szCs w:val="16"/>
          <w:color w:val="auto"/>
        </w:rPr>
        <w:t xml:space="preserve"> gene. Our approach to treating Alzheimer’s disease is predicated on the belief that expressing the protective APOE2 in the CNS of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will halt or slow the progression of Alzheimer’s disease. We believe these patients represent an ideal target for gene therapy because the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profile is the most common genetic driver of Alzheimer’s disease. We believe LX1001 is the only clinical-stage gene therapy candidate designed to treat this genetic cause of Alzheimer’s disease. We plan to leverage biomarkers for LX1001 to potentially enable us to rapidly validate proof-of-mechanism and support further development efforts. We believe that positive clinical data from our ongoing Phase 1/2 trial has the potential to validate our novel approach to treating the </w:t>
      </w:r>
      <w:r>
        <w:rPr>
          <w:rFonts w:ascii="Arial" w:cs="Arial" w:eastAsia="Arial" w:hAnsi="Arial"/>
          <w:sz w:val="16"/>
          <w:szCs w:val="16"/>
          <w:i w:val="1"/>
          <w:iCs w:val="1"/>
          <w:color w:val="auto"/>
        </w:rPr>
        <w:t>APOE4</w:t>
      </w:r>
      <w:r>
        <w:rPr>
          <w:rFonts w:ascii="Arial" w:cs="Arial" w:eastAsia="Arial" w:hAnsi="Arial"/>
          <w:sz w:val="16"/>
          <w:szCs w:val="16"/>
          <w:color w:val="auto"/>
        </w:rPr>
        <w:t xml:space="preserve"> sub-group and can help inform the development plan of our next generation candidates LX1021 and LX1020 which we believe could demonstrate an even more dramatic effect to slow or halt the progression of Alzheimer’s disease. Importantly, we believe gene therapy allows for a unique approach to treating the genetics of Alzheimer’s disease by delivering a therapeutic which acts upstream of both the amyloid-b and tau-driven pathology of Alzheimer’s disease. This treatment strategy is designed to impact multiple pathways, as opposed to most other treatments in development which target a single mechanism of Alzheimer’s disease.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gene therapy programs under development for the treatment of Alzheimer’s disease are:</w:t>
      </w:r>
    </w:p>
    <w:p>
      <w:pPr>
        <w:spacing w:after="0" w:line="158" w:lineRule="exact"/>
        <w:rPr>
          <w:sz w:val="20"/>
          <w:szCs w:val="20"/>
          <w:color w:val="auto"/>
        </w:rPr>
      </w:pPr>
    </w:p>
    <w:p>
      <w:pPr>
        <w:ind w:left="1320" w:hanging="1200"/>
        <w:spacing w:after="0" w:line="259" w:lineRule="auto"/>
        <w:tabs>
          <w:tab w:leader="none" w:pos="1300" w:val="left"/>
        </w:tabs>
        <w:rPr>
          <w:sz w:val="20"/>
          <w:szCs w:val="20"/>
          <w:color w:val="auto"/>
        </w:rPr>
      </w:pPr>
      <w:r>
        <w:rPr>
          <w:rFonts w:ascii="Arial" w:cs="Arial" w:eastAsia="Arial" w:hAnsi="Arial"/>
          <w:sz w:val="18"/>
          <w:szCs w:val="18"/>
          <w:i w:val="1"/>
          <w:iCs w:val="1"/>
          <w:color w:val="auto"/>
        </w:rPr>
        <w:t>• LX1001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an AAVrh10-based gene therapy candidate that is designed to express the protective APOE2 protein in the CNS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In our ongoing Phase 1/2 clinical trial of LX1001, three patients from the first dose cohort have demonstrated a consistent trend towards improvement in CSF tau biomarkers at the 12-month visit. We have also observed expression of the protective APOE2 protein in all patients in the first dose cohort with follow-up data.</w:t>
      </w:r>
    </w:p>
    <w:p>
      <w:pPr>
        <w:spacing w:after="0" w:line="119" w:lineRule="exact"/>
        <w:rPr>
          <w:sz w:val="20"/>
          <w:szCs w:val="20"/>
          <w:color w:val="auto"/>
        </w:rPr>
      </w:pPr>
    </w:p>
    <w:p>
      <w:pPr>
        <w:jc w:val="both"/>
        <w:ind w:left="1320" w:hanging="1200"/>
        <w:spacing w:after="0" w:line="263" w:lineRule="auto"/>
        <w:tabs>
          <w:tab w:leader="none" w:pos="1300" w:val="left"/>
        </w:tabs>
        <w:rPr>
          <w:sz w:val="20"/>
          <w:szCs w:val="20"/>
          <w:color w:val="auto"/>
        </w:rPr>
      </w:pPr>
      <w:r>
        <w:rPr>
          <w:rFonts w:ascii="Arial" w:cs="Arial" w:eastAsia="Arial" w:hAnsi="Arial"/>
          <w:sz w:val="18"/>
          <w:szCs w:val="18"/>
          <w:i w:val="1"/>
          <w:iCs w:val="1"/>
          <w:color w:val="auto"/>
        </w:rPr>
        <w:t>• LX1021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an AAVrh10-based gene therapy candidate that is designed to express the Christchurch-modified APOE2 protein in the CNS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The Christchurch mutation has been observed to protect patients against Alzheimer’s disease even in the presence of significant amyloid pathology.</w:t>
      </w:r>
    </w:p>
    <w:p>
      <w:pPr>
        <w:spacing w:after="0" w:line="116" w:lineRule="exact"/>
        <w:rPr>
          <w:sz w:val="20"/>
          <w:szCs w:val="20"/>
          <w:color w:val="auto"/>
        </w:rPr>
      </w:pPr>
    </w:p>
    <w:p>
      <w:pPr>
        <w:jc w:val="both"/>
        <w:ind w:left="1320" w:hanging="1200"/>
        <w:spacing w:after="0" w:line="277" w:lineRule="auto"/>
        <w:tabs>
          <w:tab w:leader="none" w:pos="1300" w:val="left"/>
        </w:tabs>
        <w:rPr>
          <w:sz w:val="20"/>
          <w:szCs w:val="20"/>
          <w:color w:val="auto"/>
        </w:rPr>
      </w:pPr>
      <w:r>
        <w:rPr>
          <w:rFonts w:ascii="Arial" w:cs="Arial" w:eastAsia="Arial" w:hAnsi="Arial"/>
          <w:sz w:val="18"/>
          <w:szCs w:val="18"/>
          <w:i w:val="1"/>
          <w:iCs w:val="1"/>
          <w:color w:val="auto"/>
        </w:rPr>
        <w:t>• LX1020</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an AAVrh10-based gene therapy candidate that is designed to express the protective APOE2 protein in the CNS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while concurrently delivering miRNA to suppress the expression of the APOE4 protein.</w:t>
      </w:r>
    </w:p>
    <w:p>
      <w:pPr>
        <w:spacing w:after="0" w:line="8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We are developing LX1001 to target homozygous APOE4-associated Alzheimer’s disease patients, the highest risk population to develop Alzheimer’s disease and the sub-group we believe will be the most likely to demonstrate a potential treatment effect from APOE2-based gene therapy. We expect to complete enrollment in the trial by the end of 2023 and report additional interim data from all cohorts in the Phase 1/2 trial in 2024.</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 of Alzheimer’s disease</w:t>
      </w:r>
    </w:p>
    <w:p>
      <w:pPr>
        <w:spacing w:after="0" w:line="144"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Alzheimer’s disease is characterized by a complex underlying pathology in the CNS, including accumulation of Aß plaques, abnormal phosphorylation of tau, development of tau tangles, inflammation, and progressive loss of neurons, all of which combine to precipitate a progressive decline in cognitive function. APOE, a lipid transport protein, is the major transporter of cholesterol in the brain and is involved in synaptic integrity and plasticity, glucose metabolism, and cerebrovascular function.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Extracellular amyloid beta plaques and tau neurofibrillary tangles are the principle pathological hallmarks of Alzheimer’s disease. Therapeutics that modulate plaques and tangles historically have been the focus of substantial research and development efforts; however, there is currently no treatment for Alzheimer’s disease that is approved as disease modifying. The FDA granted accelerated approval to the anti-amyloid antibody intravenous infusion therapies aducanumab (Aduhelm) and lecanemab (Leqembi), for the treatment of patients with either the mild cognitive impairment or mild dementia stage of Alzheimer’s disease. These recent approvals demonstrate that the FDA has utilized an accelerated approval pathway for Alzheimer’s disease therapies.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 on homozygous APOE4-associated Alzheimer’s disease</w:t>
      </w:r>
    </w:p>
    <w:p>
      <w:pPr>
        <w:spacing w:after="0" w:line="14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 xml:space="preserve">Presence of </w:t>
      </w:r>
      <w:r>
        <w:rPr>
          <w:rFonts w:ascii="Arial" w:cs="Arial" w:eastAsia="Arial" w:hAnsi="Arial"/>
          <w:sz w:val="16"/>
          <w:szCs w:val="16"/>
          <w:i w:val="1"/>
          <w:iCs w:val="1"/>
          <w:color w:val="auto"/>
        </w:rPr>
        <w:t>APOE4</w:t>
      </w:r>
      <w:r>
        <w:rPr>
          <w:rFonts w:ascii="Arial" w:cs="Arial" w:eastAsia="Arial" w:hAnsi="Arial"/>
          <w:sz w:val="16"/>
          <w:szCs w:val="16"/>
          <w:color w:val="auto"/>
        </w:rPr>
        <w:t xml:space="preserve"> is the most common genetic risk factor for Alzheimer’s disease. The prevalent </w:t>
      </w:r>
      <w:r>
        <w:rPr>
          <w:rFonts w:ascii="Arial" w:cs="Arial" w:eastAsia="Arial" w:hAnsi="Arial"/>
          <w:sz w:val="16"/>
          <w:szCs w:val="16"/>
          <w:i w:val="1"/>
          <w:iCs w:val="1"/>
          <w:color w:val="auto"/>
        </w:rPr>
        <w:t>APOE</w:t>
      </w:r>
      <w:r>
        <w:rPr>
          <w:rFonts w:ascii="Arial" w:cs="Arial" w:eastAsia="Arial" w:hAnsi="Arial"/>
          <w:sz w:val="16"/>
          <w:szCs w:val="16"/>
          <w:color w:val="auto"/>
        </w:rPr>
        <w:t xml:space="preserve"> alleles are </w:t>
      </w:r>
      <w:r>
        <w:rPr>
          <w:rFonts w:ascii="Arial" w:cs="Arial" w:eastAsia="Arial" w:hAnsi="Arial"/>
          <w:sz w:val="16"/>
          <w:szCs w:val="16"/>
          <w:i w:val="1"/>
          <w:iCs w:val="1"/>
          <w:color w:val="auto"/>
        </w:rPr>
        <w:t>APOE4, APOE3</w:t>
      </w:r>
      <w:r>
        <w:rPr>
          <w:rFonts w:ascii="Arial" w:cs="Arial" w:eastAsia="Arial" w:hAnsi="Arial"/>
          <w:sz w:val="16"/>
          <w:szCs w:val="16"/>
          <w:color w:val="auto"/>
        </w:rPr>
        <w:t xml:space="preserve"> and </w:t>
      </w:r>
      <w:r>
        <w:rPr>
          <w:rFonts w:ascii="Arial" w:cs="Arial" w:eastAsia="Arial" w:hAnsi="Arial"/>
          <w:sz w:val="16"/>
          <w:szCs w:val="16"/>
          <w:i w:val="1"/>
          <w:iCs w:val="1"/>
          <w:color w:val="auto"/>
        </w:rPr>
        <w:t>APOE2</w:t>
      </w:r>
      <w:r>
        <w:rPr>
          <w:rFonts w:ascii="Arial" w:cs="Arial" w:eastAsia="Arial" w:hAnsi="Arial"/>
          <w:sz w:val="16"/>
          <w:szCs w:val="16"/>
          <w:color w:val="auto"/>
        </w:rPr>
        <w:t xml:space="preserve">, with the </w:t>
      </w:r>
      <w:r>
        <w:rPr>
          <w:rFonts w:ascii="Arial" w:cs="Arial" w:eastAsia="Arial" w:hAnsi="Arial"/>
          <w:sz w:val="16"/>
          <w:szCs w:val="16"/>
          <w:i w:val="1"/>
          <w:iCs w:val="1"/>
          <w:color w:val="auto"/>
        </w:rPr>
        <w:t>E4</w:t>
      </w:r>
      <w:r>
        <w:rPr>
          <w:rFonts w:ascii="Arial" w:cs="Arial" w:eastAsia="Arial" w:hAnsi="Arial"/>
          <w:sz w:val="16"/>
          <w:szCs w:val="16"/>
          <w:color w:val="auto"/>
        </w:rPr>
        <w:t xml:space="preserve"> allele increasing risk and reducing the age of onset and the </w:t>
      </w:r>
      <w:r>
        <w:rPr>
          <w:rFonts w:ascii="Arial" w:cs="Arial" w:eastAsia="Arial" w:hAnsi="Arial"/>
          <w:sz w:val="16"/>
          <w:szCs w:val="16"/>
          <w:i w:val="1"/>
          <w:iCs w:val="1"/>
          <w:color w:val="auto"/>
        </w:rPr>
        <w:t>E2</w:t>
      </w:r>
      <w:r>
        <w:rPr>
          <w:rFonts w:ascii="Arial" w:cs="Arial" w:eastAsia="Arial" w:hAnsi="Arial"/>
          <w:sz w:val="16"/>
          <w:szCs w:val="16"/>
          <w:color w:val="auto"/>
        </w:rPr>
        <w:t xml:space="preserve"> allele decreasing risk and markedly delaying the age of onset. </w:t>
      </w:r>
      <w:r>
        <w:rPr>
          <w:rFonts w:ascii="Arial" w:cs="Arial" w:eastAsia="Arial" w:hAnsi="Arial"/>
          <w:sz w:val="16"/>
          <w:szCs w:val="16"/>
          <w:i w:val="1"/>
          <w:iCs w:val="1"/>
          <w:color w:val="auto"/>
        </w:rPr>
        <w:t>APOE4</w:t>
      </w:r>
      <w:r>
        <w:rPr>
          <w:rFonts w:ascii="Arial" w:cs="Arial" w:eastAsia="Arial" w:hAnsi="Arial"/>
          <w:sz w:val="16"/>
          <w:szCs w:val="16"/>
          <w:color w:val="auto"/>
        </w:rPr>
        <w:t xml:space="preserve"> homozygous patients, individuals who have two copies of the </w:t>
      </w:r>
      <w:r>
        <w:rPr>
          <w:rFonts w:ascii="Arial" w:cs="Arial" w:eastAsia="Arial" w:hAnsi="Arial"/>
          <w:sz w:val="16"/>
          <w:szCs w:val="16"/>
          <w:i w:val="1"/>
          <w:iCs w:val="1"/>
          <w:color w:val="auto"/>
        </w:rPr>
        <w:t>E4</w:t>
      </w:r>
      <w:r>
        <w:rPr>
          <w:rFonts w:ascii="Arial" w:cs="Arial" w:eastAsia="Arial" w:hAnsi="Arial"/>
          <w:sz w:val="16"/>
          <w:szCs w:val="16"/>
          <w:color w:val="auto"/>
        </w:rPr>
        <w:t xml:space="preserve"> allele, are at the highest risk and are approximately fifteen times more likely to develop Alzheimer’s disease than the general population. It is estimated that approximately 60% of Alzheimer’s disease patients carry at least one </w:t>
      </w:r>
      <w:r>
        <w:rPr>
          <w:rFonts w:ascii="Arial" w:cs="Arial" w:eastAsia="Arial" w:hAnsi="Arial"/>
          <w:sz w:val="16"/>
          <w:szCs w:val="16"/>
          <w:i w:val="1"/>
          <w:iCs w:val="1"/>
          <w:color w:val="auto"/>
        </w:rPr>
        <w:t>APOE4</w:t>
      </w:r>
      <w:r>
        <w:rPr>
          <w:rFonts w:ascii="Arial" w:cs="Arial" w:eastAsia="Arial" w:hAnsi="Arial"/>
          <w:sz w:val="16"/>
          <w:szCs w:val="16"/>
          <w:color w:val="auto"/>
        </w:rPr>
        <w:t xml:space="preserve"> allele as compared with approximately 25% of age-matched and healthy controls. The </w:t>
      </w:r>
      <w:r>
        <w:rPr>
          <w:rFonts w:ascii="Arial" w:cs="Arial" w:eastAsia="Arial" w:hAnsi="Arial"/>
          <w:sz w:val="16"/>
          <w:szCs w:val="16"/>
          <w:i w:val="1"/>
          <w:iCs w:val="1"/>
          <w:color w:val="auto"/>
        </w:rPr>
        <w:t>APOE3</w:t>
      </w:r>
      <w:r>
        <w:rPr>
          <w:rFonts w:ascii="Arial" w:cs="Arial" w:eastAsia="Arial" w:hAnsi="Arial"/>
          <w:sz w:val="16"/>
          <w:szCs w:val="16"/>
          <w:color w:val="auto"/>
        </w:rPr>
        <w:t xml:space="preserve"> allele is believed to have a neutral impact on disease progression.</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Alzheimer’s disease risk by </w:t>
      </w:r>
      <w:r>
        <w:rPr>
          <w:rFonts w:ascii="Arial" w:cs="Arial" w:eastAsia="Arial" w:hAnsi="Arial"/>
          <w:sz w:val="18"/>
          <w:szCs w:val="18"/>
          <w:i w:val="1"/>
          <w:iCs w:val="1"/>
          <w:color w:val="auto"/>
        </w:rPr>
        <w:t>APOE</w:t>
      </w:r>
      <w:r>
        <w:rPr>
          <w:rFonts w:ascii="Arial" w:cs="Arial" w:eastAsia="Arial" w:hAnsi="Arial"/>
          <w:sz w:val="18"/>
          <w:szCs w:val="18"/>
          <w:b w:val="1"/>
          <w:bCs w:val="1"/>
          <w:color w:val="auto"/>
        </w:rPr>
        <w:t xml:space="preserve"> genotype (by odds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154305</wp:posOffset>
            </wp:positionV>
            <wp:extent cx="4174490" cy="18434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7449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Third-party genetic epidemiology data from humans suggest that </w:t>
      </w:r>
      <w:r>
        <w:rPr>
          <w:rFonts w:ascii="Arial" w:cs="Arial" w:eastAsia="Arial" w:hAnsi="Arial"/>
          <w:sz w:val="18"/>
          <w:szCs w:val="18"/>
          <w:i w:val="1"/>
          <w:iCs w:val="1"/>
          <w:color w:val="auto"/>
        </w:rPr>
        <w:t>APOE4</w:t>
      </w:r>
      <w:r>
        <w:rPr>
          <w:rFonts w:ascii="Arial" w:cs="Arial" w:eastAsia="Arial" w:hAnsi="Arial"/>
          <w:sz w:val="18"/>
          <w:szCs w:val="18"/>
          <w:color w:val="auto"/>
        </w:rPr>
        <w:t xml:space="preserve"> and </w:t>
      </w:r>
      <w:r>
        <w:rPr>
          <w:rFonts w:ascii="Arial" w:cs="Arial" w:eastAsia="Arial" w:hAnsi="Arial"/>
          <w:sz w:val="18"/>
          <w:szCs w:val="18"/>
          <w:i w:val="1"/>
          <w:iCs w:val="1"/>
          <w:color w:val="auto"/>
        </w:rPr>
        <w:t>APOE2</w:t>
      </w:r>
      <w:r>
        <w:rPr>
          <w:rFonts w:ascii="Arial" w:cs="Arial" w:eastAsia="Arial" w:hAnsi="Arial"/>
          <w:sz w:val="18"/>
          <w:szCs w:val="18"/>
          <w:color w:val="auto"/>
        </w:rPr>
        <w:t xml:space="preserve"> are co-dominant, or both expressed, such that </w:t>
      </w:r>
      <w:r>
        <w:rPr>
          <w:rFonts w:ascii="Arial" w:cs="Arial" w:eastAsia="Arial" w:hAnsi="Arial"/>
          <w:sz w:val="18"/>
          <w:szCs w:val="18"/>
          <w:i w:val="1"/>
          <w:iCs w:val="1"/>
          <w:color w:val="auto"/>
        </w:rPr>
        <w:t>APOE2/E4</w:t>
      </w:r>
      <w:r>
        <w:rPr>
          <w:rFonts w:ascii="Arial" w:cs="Arial" w:eastAsia="Arial" w:hAnsi="Arial"/>
          <w:sz w:val="18"/>
          <w:szCs w:val="18"/>
          <w:color w:val="auto"/>
        </w:rPr>
        <w:t xml:space="preserve"> heterozygous individuals have a substantially reduced risk of developing the disease as compared to </w:t>
      </w:r>
      <w:r>
        <w:rPr>
          <w:rFonts w:ascii="Arial" w:cs="Arial" w:eastAsia="Arial" w:hAnsi="Arial"/>
          <w:sz w:val="18"/>
          <w:szCs w:val="18"/>
          <w:i w:val="1"/>
          <w:iCs w:val="1"/>
          <w:color w:val="auto"/>
        </w:rPr>
        <w:t>APOE4/E4</w:t>
      </w:r>
      <w:r>
        <w:rPr>
          <w:rFonts w:ascii="Arial" w:cs="Arial" w:eastAsia="Arial" w:hAnsi="Arial"/>
          <w:sz w:val="18"/>
          <w:szCs w:val="18"/>
          <w:color w:val="auto"/>
        </w:rPr>
        <w:t xml:space="preserve"> homozygous individuals. Therefore, the expression of </w:t>
      </w:r>
      <w:r>
        <w:rPr>
          <w:rFonts w:ascii="Arial" w:cs="Arial" w:eastAsia="Arial" w:hAnsi="Arial"/>
          <w:sz w:val="18"/>
          <w:szCs w:val="18"/>
          <w:i w:val="1"/>
          <w:iCs w:val="1"/>
          <w:color w:val="auto"/>
        </w:rPr>
        <w:t>APOE2</w:t>
      </w:r>
      <w:r>
        <w:rPr>
          <w:rFonts w:ascii="Arial" w:cs="Arial" w:eastAsia="Arial" w:hAnsi="Arial"/>
          <w:sz w:val="18"/>
          <w:szCs w:val="18"/>
          <w:color w:val="auto"/>
        </w:rPr>
        <w:t xml:space="preserve"> appears to significantly offset the deleterious effects of the </w:t>
      </w:r>
      <w:r>
        <w:rPr>
          <w:rFonts w:ascii="Arial" w:cs="Arial" w:eastAsia="Arial" w:hAnsi="Arial"/>
          <w:sz w:val="18"/>
          <w:szCs w:val="18"/>
          <w:i w:val="1"/>
          <w:iCs w:val="1"/>
          <w:color w:val="auto"/>
        </w:rPr>
        <w:t>APOE4</w:t>
      </w:r>
      <w:r>
        <w:rPr>
          <w:rFonts w:ascii="Arial" w:cs="Arial" w:eastAsia="Arial" w:hAnsi="Arial"/>
          <w:sz w:val="18"/>
          <w:szCs w:val="18"/>
          <w:color w:val="auto"/>
        </w:rPr>
        <w:t xml:space="preserve"> allele.</w:t>
      </w:r>
    </w:p>
    <w:p>
      <w:pPr>
        <w:spacing w:after="0" w:line="11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 xml:space="preserve">We believe that administering the </w:t>
      </w:r>
      <w:r>
        <w:rPr>
          <w:rFonts w:ascii="Arial" w:cs="Arial" w:eastAsia="Arial" w:hAnsi="Arial"/>
          <w:sz w:val="18"/>
          <w:szCs w:val="18"/>
          <w:i w:val="1"/>
          <w:iCs w:val="1"/>
          <w:color w:val="auto"/>
        </w:rPr>
        <w:t>APOE2</w:t>
      </w:r>
      <w:r>
        <w:rPr>
          <w:rFonts w:ascii="Arial" w:cs="Arial" w:eastAsia="Arial" w:hAnsi="Arial"/>
          <w:sz w:val="18"/>
          <w:szCs w:val="18"/>
          <w:color w:val="auto"/>
        </w:rPr>
        <w:t xml:space="preserve"> gene to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is a promising approach because it has the potential to address several pathways that are involved in the progression of the disease.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amyloid in pathogenesis of Alzheimer’s disease and APP processing</w:t>
      </w:r>
    </w:p>
    <w:p>
      <w:pPr>
        <w:spacing w:after="0" w:line="1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i w:val="1"/>
          <w:iCs w:val="1"/>
          <w:color w:val="auto"/>
        </w:rPr>
        <w:t xml:space="preserve">APOE4 </w:t>
      </w:r>
      <w:r>
        <w:rPr>
          <w:rFonts w:ascii="Arial" w:cs="Arial" w:eastAsia="Arial" w:hAnsi="Arial"/>
          <w:sz w:val="18"/>
          <w:szCs w:val="18"/>
          <w:color w:val="auto"/>
        </w:rPr>
        <w:t>is associated with decreased clearance of Ab and increased b-amyloid (Ab) production and plaque aggregation. Amyloid-b (Ab) is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sequential cleavage of the amyloid-b precursor protein (APP) by the b-secretase beta-site APP cleaving enzyme 1 (BACE1) and g-secretase in neurons and other cell types.</w:t>
      </w:r>
    </w:p>
    <w:p>
      <w:pPr>
        <w:spacing w:after="0" w:line="11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illustrated in graphic below, cleavage of APP via this pathway results in production of Ab42 and Ab40, and Ab peptides undergo oligomerization and subsequent aggregation into insoluble plaques.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 cleavage resulting in amyloid beta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111760</wp:posOffset>
            </wp:positionV>
            <wp:extent cx="3891915" cy="21685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9191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Nature. 2018.</w:t>
      </w:r>
    </w:p>
    <w:p>
      <w:pPr>
        <w:spacing w:after="0" w:line="148"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As an alternative to cleavage by BACE1, APP can also be cleaved by a-secretases such as A Disintegrin and Metalloproteinase Domain-containing Protein 10 (ADAM10). Cleavage of APP by ADAM10 results in the formation of soluble sAPPa (sAPPa), which has been demonstrated to improve synaptic function and promote neurite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82550</wp:posOffset>
            </wp:positionV>
            <wp:extent cx="4294505" cy="265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945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a-secretase pathway results in neurotropic sAPPa, whereas the b-secretase pathway results in AD-associated Ab peptides. We believe APOE4-associated reduced ADAM10 activity and increased BACE1 activity would result in decreased sAPPa and elevated Ab levels; whereas presence of APOE2 would result in the opposite effect.</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APOE and APP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111760</wp:posOffset>
            </wp:positionV>
            <wp:extent cx="4320540" cy="1697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205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Tau in Pathogenesis of Alzheimer’s Disease</w:t>
      </w:r>
    </w:p>
    <w:p>
      <w:pPr>
        <w:spacing w:after="0" w:line="14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Tau proteins are abundant in neurons and maintain the stability of microtubules in axons. However, excessive/abnormal phosphorylation of tau results in microtubular destabilization and transformation of monomers into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paired-helical-filament, or PHF, tau and neurofibrillary tangles, or NFTs. This buildup of tau lesions throughout the brain increases with time, correlating with neurodegeneration and Alzheimer’s disease symptomatology. APOE4 effects tau indirectly via its effect on amyloid and the downstream effect of the amyloid pathway on tau. APOE4 also directly affects tau pathology as it is associated with increased tau phosphorylation and the accumulation and aggregation of neurofibrillary tangles. Importantly, we believe therapeutic intervention at the symptomatic stage could slow progression of tau pathology and neurodegeneration.</w:t>
      </w:r>
    </w:p>
    <w:p>
      <w:pPr>
        <w:spacing w:after="0" w:line="120"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Heparin sulfate proteoglycans, or HSPGs, have been extensively characterized as a major mediator of tau uptake and have been shown to mediate transcellular tau propagation. HSPGs bind to tau and colocalize with tau-based lesions in Alzheimer’s disease as shown in the figure below.</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Role of HSPGs in tau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111760</wp:posOffset>
            </wp:positionV>
            <wp:extent cx="3900170" cy="2708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0017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study using heparinase III, which removes polysaccharides on the cell surface, has demonstrated the ability to impair HSPGs. In that study, heparinase treatment led to a 50% impairment of tau oligomer uptake in general and reversed the increased accumulation of tau oligomers caused by APOE4. We believe this data demonstrates that HSPGs can mediate increased accumulation of tau observed under the APOE4 condition.</w:t>
      </w:r>
    </w:p>
    <w:p>
      <w:pPr>
        <w:spacing w:after="0" w:line="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Additionally, Cornell, through our sponsored research agreement with them, has generated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showing APOE isoforms differ in their HSPG binding characteristics, with APOE4 binding strongly to HSPGs and APOE2 with a lower binding affinity. As illustrated in the figure below, the APOE Christchurch mutation has the lowest HSPG binding affinity and is associated with protection against the development of tau pathology and Alzheimer’s disease. We believe these data demonstrate that the low HSPG binding affinity of APOE2 is associated with protective effect on tau pathology and neurodegeneration.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APOE isoforms had differential effects on heparin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205740</wp:posOffset>
            </wp:positionV>
            <wp:extent cx="4105910" cy="3188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10591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solution: LX1001</w:t>
      </w:r>
    </w:p>
    <w:p>
      <w:pPr>
        <w:spacing w:after="0" w:line="13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LX1001 is an AAVrh10-based gene therapy candidate for the treatment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It is designed to deliver the human </w:t>
      </w:r>
      <w:r>
        <w:rPr>
          <w:rFonts w:ascii="Arial" w:cs="Arial" w:eastAsia="Arial" w:hAnsi="Arial"/>
          <w:sz w:val="18"/>
          <w:szCs w:val="18"/>
          <w:i w:val="1"/>
          <w:iCs w:val="1"/>
          <w:color w:val="auto"/>
        </w:rPr>
        <w:t>APOE2</w:t>
      </w:r>
      <w:r>
        <w:rPr>
          <w:rFonts w:ascii="Arial" w:cs="Arial" w:eastAsia="Arial" w:hAnsi="Arial"/>
          <w:sz w:val="18"/>
          <w:szCs w:val="18"/>
          <w:color w:val="auto"/>
        </w:rPr>
        <w:t xml:space="preserve"> gene into the CSF to halt or slow the progression of Alzheimer’s disease.</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LX1001 is designed to address the genetic driver of Alzheimer’s disease by delivering </w:t>
      </w:r>
      <w:r>
        <w:rPr>
          <w:rFonts w:ascii="Arial" w:cs="Arial" w:eastAsia="Arial" w:hAnsi="Arial"/>
          <w:sz w:val="16"/>
          <w:szCs w:val="16"/>
          <w:b w:val="1"/>
          <w:bCs w:val="1"/>
          <w:i w:val="1"/>
          <w:iCs w:val="1"/>
          <w:color w:val="auto"/>
        </w:rPr>
        <w:t>APOE2</w:t>
      </w:r>
      <w:r>
        <w:rPr>
          <w:rFonts w:ascii="Arial" w:cs="Arial" w:eastAsia="Arial" w:hAnsi="Arial"/>
          <w:sz w:val="16"/>
          <w:szCs w:val="16"/>
          <w:b w:val="1"/>
          <w:bCs w:val="1"/>
          <w:color w:val="auto"/>
        </w:rPr>
        <w:t xml:space="preserve"> gene into CNS of </w:t>
      </w:r>
      <w:r>
        <w:rPr>
          <w:rFonts w:ascii="Arial" w:cs="Arial" w:eastAsia="Arial" w:hAnsi="Arial"/>
          <w:sz w:val="16"/>
          <w:szCs w:val="16"/>
          <w:b w:val="1"/>
          <w:bCs w:val="1"/>
          <w:i w:val="1"/>
          <w:iCs w:val="1"/>
          <w:color w:val="auto"/>
        </w:rPr>
        <w:t>APOE4</w:t>
      </w:r>
      <w:r>
        <w:rPr>
          <w:rFonts w:ascii="Arial" w:cs="Arial" w:eastAsia="Arial" w:hAnsi="Arial"/>
          <w:sz w:val="16"/>
          <w:szCs w:val="16"/>
          <w:b w:val="1"/>
          <w:bCs w:val="1"/>
          <w:color w:val="auto"/>
        </w:rPr>
        <w:t xml:space="preserve"> homozygous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126365</wp:posOffset>
            </wp:positionV>
            <wp:extent cx="5143500" cy="10972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Based on what is known regarding gene therapies delivered to the CNS, we believe LX1001 will only require a single dose because neurons are post-mitotic, or incapable of further cell division, so there will be no dilution of extra-chromosomal LX1001 caused by cell division. APOE is a secreted protein; thus, only a fraction of neurons needs to be transduced with LX1001 to secrete what we anticipate to be potentially efficacious levels of the protective isoform. We have designed LX1001 so that the protective isoform has the potential to be widely available to cells in the brain and able to compensate for non-transduced cells.</w:t>
      </w:r>
    </w:p>
    <w:p>
      <w:pPr>
        <w:spacing w:after="0" w:line="12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 xml:space="preserve">The FDA granted Fast Track designation to LX1001 for the treatment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with Alzheimer’s disease to slow disease progression. We plan to seek other regulatory designations and consider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80"/>
          </w:cols>
          <w:pgMar w:left="320" w:top="459" w:right="5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accelerated clinical development pathways based on biomarker data that may establish early proof-of-mechanism and is expected to predict clinical benefit.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4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 xml:space="preserve">Weill Cornell Medicine, independently and through our sponsored research agreement with them, has conducted preclinical studies in large and small animals that have demonstrated the potential for LX1001 to induce APOE2 expression levels that we believe will be sufficient to halt or slow the progression of Alzheimer’s disease in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The preclinical results discussed below are from those preclinical studies unless otherwise noted.</w:t>
      </w:r>
    </w:p>
    <w:p>
      <w:pPr>
        <w:spacing w:after="0" w:line="11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Preclinical murine studies of LX1001 were conducted in a widely used model of brain amyloidosis (PDAPP mice) as well as a mouse model that develops APOE4-dependent amyloid deposition (APP.PS1/TRE4 mice). APP.PS1/TRE4 triple transgenic mice develop early and robust Aß and amyloid deposition, which is dramatically reduced in the absence of APOE4. Intracerebral delivery of LX1001 led to the widespread brain expression of APOE2. Studies in the APP.PS1/TRE4 model showed an approximately 80% reduction in insoluble Aß1-42 in the hippocampus eight weeks following intrahippocampal administration of LX1001.</w:t>
      </w:r>
    </w:p>
    <w:p>
      <w:pPr>
        <w:spacing w:after="0" w:line="120"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An additional preclinical study in NHPs was conducted to determine the most active and well-tolerated route of administration for LX1001 while achieving broad CNS biodistribution and therapeutic levels of the APOE2 proteins. In these studies, we utilized an intracisternal delivery route to deliver the gene therapy vector to the CSF in order to achieve widespread biodistribution of LX1001. The intracisternal route has been shown in multiple studies in large animals to result in transgene expression throughout the CNS and involves a minimally invasive procedure to infuse into the CSF.</w:t>
      </w:r>
    </w:p>
    <w:p>
      <w:pPr>
        <w:spacing w:after="0" w:line="10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To evaluate this route of delivery, at eight weeks following intracisternal administration of total vector dose of 5 x10</w:t>
      </w:r>
      <w:r>
        <w:rPr>
          <w:rFonts w:ascii="Arial" w:cs="Arial" w:eastAsia="Arial" w:hAnsi="Arial"/>
          <w:sz w:val="26"/>
          <w:szCs w:val="26"/>
          <w:color w:val="auto"/>
          <w:vertAlign w:val="superscript"/>
        </w:rPr>
        <w:t>13</w:t>
      </w:r>
      <w:r>
        <w:rPr>
          <w:rFonts w:ascii="Arial" w:cs="Arial" w:eastAsia="Arial" w:hAnsi="Arial"/>
          <w:sz w:val="18"/>
          <w:szCs w:val="18"/>
          <w:color w:val="auto"/>
        </w:rPr>
        <w:t xml:space="preserve"> vg/ml CSF of LX1001, with the </w:t>
      </w:r>
      <w:r>
        <w:rPr>
          <w:rFonts w:ascii="Arial" w:cs="Arial" w:eastAsia="Arial" w:hAnsi="Arial"/>
          <w:sz w:val="18"/>
          <w:szCs w:val="18"/>
          <w:i w:val="1"/>
          <w:iCs w:val="1"/>
          <w:color w:val="auto"/>
        </w:rPr>
        <w:t xml:space="preserve">APOE </w:t>
      </w:r>
      <w:r>
        <w:rPr>
          <w:rFonts w:ascii="Arial" w:cs="Arial" w:eastAsia="Arial" w:hAnsi="Arial"/>
          <w:sz w:val="18"/>
          <w:szCs w:val="18"/>
          <w:color w:val="auto"/>
        </w:rPr>
        <w:t>transgene tagged with the common antibody epitope tag hemagglutinin, or APOE-HA, three NHP brains in one study were evaluated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vector APOE2-HA biodistribution, mRNA transgene expression, and APOE2-HA protein expression. To visualize the extent of vector biodistribution and transgene and protein expression, a 3D representation of one-centimeter cubes of the brain was used, as shown below in the example of one NHP. As expected for a secreted protein like APOE2, diffuse expression was observed throughout the brain. Greater-than-baseline levels of all three targets were observed in most cubes throughout the CNS, as well as in the hippocampal regions, the area of the brain most relevant in Alzheimer’s disease.</w:t>
      </w:r>
    </w:p>
    <w:p>
      <w:pPr>
        <w:spacing w:after="0" w:line="283" w:lineRule="exact"/>
        <w:rPr>
          <w:sz w:val="20"/>
          <w:szCs w:val="20"/>
          <w:color w:val="auto"/>
        </w:rPr>
      </w:pPr>
    </w:p>
    <w:p>
      <w:pPr>
        <w:jc w:val="center"/>
        <w:ind w:left="440" w:right="360"/>
        <w:spacing w:after="0" w:line="282" w:lineRule="auto"/>
        <w:rPr>
          <w:sz w:val="20"/>
          <w:szCs w:val="20"/>
          <w:color w:val="auto"/>
        </w:rPr>
      </w:pPr>
      <w:r>
        <w:rPr>
          <w:rFonts w:ascii="Arial" w:cs="Arial" w:eastAsia="Arial" w:hAnsi="Arial"/>
          <w:sz w:val="18"/>
          <w:szCs w:val="18"/>
          <w:b w:val="1"/>
          <w:bCs w:val="1"/>
          <w:color w:val="auto"/>
        </w:rPr>
        <w:t>Biodistribution of APOE2-HA vector genomic copies, transgene mRNA, and protein levels in brain of an NHP following intracisternal administration of LX1001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71120</wp:posOffset>
            </wp:positionV>
            <wp:extent cx="5186045" cy="1183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8604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 xml:space="preserve">The results from this study demonstrate that </w:t>
      </w:r>
      <w:r>
        <w:rPr>
          <w:rFonts w:ascii="Arial" w:cs="Arial" w:eastAsia="Arial" w:hAnsi="Arial"/>
          <w:sz w:val="16"/>
          <w:szCs w:val="16"/>
          <w:i w:val="1"/>
          <w:iCs w:val="1"/>
          <w:color w:val="auto"/>
        </w:rPr>
        <w:t>LX1001</w:t>
      </w:r>
      <w:r>
        <w:rPr>
          <w:rFonts w:ascii="Arial" w:cs="Arial" w:eastAsia="Arial" w:hAnsi="Arial"/>
          <w:sz w:val="16"/>
          <w:szCs w:val="16"/>
          <w:color w:val="auto"/>
        </w:rPr>
        <w:t xml:space="preserve"> was consistently expressed through the brain and achieved broad distribution in the CNS of the NHPs. In addition, administration of the HA tagged version of LX1001 directly to the CNS of NHPs exhibited a favorable safety profile.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Trial design</w:t>
      </w:r>
    </w:p>
    <w:p>
      <w:pPr>
        <w:spacing w:after="0" w:line="15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We are evaluating LX1001 in an open-label, dose-ranging Phase 1/2 clinical trial in patients who are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patients with clinical diagnoses ranging from mild cognitive impairment to mild or moderate dementia due to Alzheimer’s disease. All patients have evidence of amyloid plaque by PET scan and/or CSF biomarkers consistent with Alzheimer’s disease.</w:t>
      </w:r>
    </w:p>
    <w:p>
      <w:pPr>
        <w:spacing w:after="0" w:line="103"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 xml:space="preserve">The primary objective of the trial is to evaluate the safety of LX1001 administered to the CNS via injection between cervical vertebrae 1 and 2, or intracisternal injection, and to establish the maximum tolerated dose. The trial is also designed to evaluate the conversion of the CSF from the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profile to an </w:t>
      </w:r>
      <w:r>
        <w:rPr>
          <w:rFonts w:ascii="Arial" w:cs="Arial" w:eastAsia="Arial" w:hAnsi="Arial"/>
          <w:sz w:val="18"/>
          <w:szCs w:val="18"/>
          <w:i w:val="1"/>
          <w:iCs w:val="1"/>
          <w:color w:val="auto"/>
        </w:rPr>
        <w:t>APOE4/E2</w:t>
      </w:r>
      <w:r>
        <w:rPr>
          <w:rFonts w:ascii="Arial" w:cs="Arial" w:eastAsia="Arial" w:hAnsi="Arial"/>
          <w:sz w:val="18"/>
          <w:szCs w:val="18"/>
          <w:color w:val="auto"/>
        </w:rPr>
        <w:t xml:space="preserve"> profile. Additional secondary endpoints include CSF biomarkers, including Aß42, total tau, and phosphorylated tau, amyloid PET scan, structural MRI imaging and cognitive tests.</w:t>
      </w:r>
    </w:p>
    <w:p>
      <w:pPr>
        <w:spacing w:after="0" w:line="11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shown below, the clinical trial is a dose-ranging trial of LX1001 in four ascending dose cohorts (1.4 x10</w:t>
      </w:r>
      <w:r>
        <w:rPr>
          <w:rFonts w:ascii="Arial" w:cs="Arial" w:eastAsia="Arial" w:hAnsi="Arial"/>
          <w:sz w:val="25"/>
          <w:szCs w:val="25"/>
          <w:color w:val="auto"/>
          <w:vertAlign w:val="superscript"/>
        </w:rPr>
        <w:t>10</w:t>
      </w:r>
      <w:r>
        <w:rPr>
          <w:rFonts w:ascii="Arial" w:cs="Arial" w:eastAsia="Arial" w:hAnsi="Arial"/>
          <w:sz w:val="17"/>
          <w:szCs w:val="17"/>
          <w:color w:val="auto"/>
        </w:rPr>
        <w:t>vg/ml, 4.4 x10</w:t>
      </w:r>
      <w:r>
        <w:rPr>
          <w:rFonts w:ascii="Arial" w:cs="Arial" w:eastAsia="Arial" w:hAnsi="Arial"/>
          <w:sz w:val="25"/>
          <w:szCs w:val="25"/>
          <w:color w:val="auto"/>
          <w:vertAlign w:val="superscript"/>
        </w:rPr>
        <w:t>10</w:t>
      </w:r>
      <w:r>
        <w:rPr>
          <w:rFonts w:ascii="Arial" w:cs="Arial" w:eastAsia="Arial" w:hAnsi="Arial"/>
          <w:sz w:val="17"/>
          <w:szCs w:val="17"/>
          <w:color w:val="auto"/>
        </w:rPr>
        <w:t>vg/ml, 1.4 x10</w:t>
      </w:r>
      <w:r>
        <w:rPr>
          <w:rFonts w:ascii="Arial" w:cs="Arial" w:eastAsia="Arial" w:hAnsi="Arial"/>
          <w:sz w:val="25"/>
          <w:szCs w:val="25"/>
          <w:color w:val="auto"/>
          <w:vertAlign w:val="superscript"/>
        </w:rPr>
        <w:t>11</w:t>
      </w:r>
      <w:r>
        <w:rPr>
          <w:rFonts w:ascii="Arial" w:cs="Arial" w:eastAsia="Arial" w:hAnsi="Arial"/>
          <w:sz w:val="17"/>
          <w:szCs w:val="17"/>
          <w:color w:val="auto"/>
        </w:rPr>
        <w:t>vg/ml and 1.4x10</w:t>
      </w:r>
      <w:r>
        <w:rPr>
          <w:rFonts w:ascii="Arial" w:cs="Arial" w:eastAsia="Arial" w:hAnsi="Arial"/>
          <w:sz w:val="25"/>
          <w:szCs w:val="25"/>
          <w:color w:val="auto"/>
          <w:vertAlign w:val="superscript"/>
        </w:rPr>
        <w:t>14</w:t>
      </w:r>
      <w:r>
        <w:rPr>
          <w:rFonts w:ascii="Arial" w:cs="Arial" w:eastAsia="Arial" w:hAnsi="Arial"/>
          <w:sz w:val="17"/>
          <w:szCs w:val="17"/>
          <w:color w:val="auto"/>
        </w:rPr>
        <w:t xml:space="preserve"> total genomes), with the dose for each patient in the first three cohorts determined based on CSF volume measured by MRI and patients in the fourth cohort receiving a fixed dose. Each dose cohort will consist of approximately three to five patients for a total of approximately 15 patients in the trial. Key patient enrollment criteria include </w:t>
      </w:r>
      <w:r>
        <w:rPr>
          <w:rFonts w:ascii="Arial" w:cs="Arial" w:eastAsia="Arial" w:hAnsi="Arial"/>
          <w:sz w:val="17"/>
          <w:szCs w:val="17"/>
          <w:i w:val="1"/>
          <w:iCs w:val="1"/>
          <w:color w:val="auto"/>
        </w:rPr>
        <w:t>APOE4</w:t>
      </w:r>
      <w:r>
        <w:rPr>
          <w:rFonts w:ascii="Arial" w:cs="Arial" w:eastAsia="Arial" w:hAnsi="Arial"/>
          <w:sz w:val="17"/>
          <w:szCs w:val="17"/>
          <w:color w:val="auto"/>
        </w:rPr>
        <w:t xml:space="preserve"> homozygous genetic profile, patient age of 50 years or older, positive amyloid PET scan (for cohorts 1-3), evidence of CSF biomarkers consistent with Alzheimer’s disease, and diagnosis that ranges from mild cognitive impairment to mild or moderate dementia due to Alzheimer’s disease. Corticosteroids are utilized for immune suppression. There will be a long-term follow-up for patients who receive LX1001 to monitor ongoing safety for a total of five years, per FDA requirement.</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Design of Phase 1/2 clinical trial of LX1001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46220" cy="1800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462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Preliminary trial results</w:t>
      </w:r>
    </w:p>
    <w:p>
      <w:pPr>
        <w:spacing w:after="0" w:line="14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Preliminary data from cohort 1, which was presented at the 2022 Clinical Trials on Alzheimer’s Disease conference, showed an increase in CSF APOE2 levels, in all patients with follow-up data at three months or longer and such levels remained generally stable through the 12-month visit. These results, shown below, demonstrate that the </w:t>
      </w:r>
      <w:r>
        <w:rPr>
          <w:rFonts w:ascii="Arial" w:cs="Arial" w:eastAsia="Arial" w:hAnsi="Arial"/>
          <w:sz w:val="18"/>
          <w:szCs w:val="18"/>
          <w:i w:val="1"/>
          <w:iCs w:val="1"/>
          <w:color w:val="auto"/>
        </w:rPr>
        <w:t>APOE2</w:t>
      </w:r>
      <w:r>
        <w:rPr>
          <w:rFonts w:ascii="Arial" w:cs="Arial" w:eastAsia="Arial" w:hAnsi="Arial"/>
          <w:sz w:val="18"/>
          <w:szCs w:val="18"/>
          <w:color w:val="auto"/>
        </w:rPr>
        <w:t xml:space="preserve"> transgene is being expressed in the CNS in all patients treated with LX1001 and signal the potential for treatment to convert the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profile to a combined </w:t>
      </w:r>
      <w:r>
        <w:rPr>
          <w:rFonts w:ascii="Arial" w:cs="Arial" w:eastAsia="Arial" w:hAnsi="Arial"/>
          <w:sz w:val="18"/>
          <w:szCs w:val="18"/>
          <w:i w:val="1"/>
          <w:iCs w:val="1"/>
          <w:color w:val="auto"/>
        </w:rPr>
        <w:t>APOE2/APOE4</w:t>
      </w:r>
      <w:r>
        <w:rPr>
          <w:rFonts w:ascii="Arial" w:cs="Arial" w:eastAsia="Arial" w:hAnsi="Arial"/>
          <w:sz w:val="18"/>
          <w:szCs w:val="18"/>
          <w:color w:val="auto"/>
        </w:rPr>
        <w:t xml:space="preserve"> profile.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Interim APOE2 CSF expression levels (fmol/</w:t>
      </w:r>
      <w:r>
        <w:rPr>
          <w:rFonts w:ascii="Arial" w:cs="Arial" w:eastAsia="Arial" w:hAnsi="Arial"/>
          <w:sz w:val="18"/>
          <w:szCs w:val="18"/>
          <w:color w:val="auto"/>
        </w:rPr>
        <w:t>m</w:t>
      </w:r>
      <w:r>
        <w:rPr>
          <w:rFonts w:ascii="Arial" w:cs="Arial" w:eastAsia="Arial" w:hAnsi="Arial"/>
          <w:sz w:val="18"/>
          <w:szCs w:val="18"/>
          <w:b w:val="1"/>
          <w:bCs w:val="1"/>
          <w:color w:val="auto"/>
        </w:rPr>
        <w:t>L)</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53340</wp:posOffset>
            </wp:positionV>
            <wp:extent cx="5203190" cy="16198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0319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Additionally, in the three patients from cohort 1 with data available at 12-months post treatment, we have seen consistent trends towards improvement (reduction) in the core CSF biomarkers T-tau and P-tau that are associated with neurodegeneration and Alzheimer’s disease specifically and we have also seen declines or stabilization of Ab42, the beta-amyloid peptide associated with Alzheimer’s disease as shown below. We believe this interim data reflects evidence of proof-of-mechanism and supports our unique approach to treating the genetics of Alzheimer’s disease by delivering a therapeutic which acts upstream of both the amyloid-b and tau-driven pathology of Alzheimer’s disease.</w:t>
      </w: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Interim CSF core biomarker data in Cohort 1 patients with 12-month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9627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8604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Natural history data for T-tau and P-tau would suggest that on average these biomarkers should increase over the course of the year, versus the decline that we have seen following treatment. Among all patients, treatment with LX1001 has been well-tolerated with no serious related adverse events reported as of July 2023. In July 2023, the DSMB meeting identified no safety concerns and recommended the study proceed to cohort 4 which is currently enrolling patients. We expect to complete enrollment in the trial by the end of 2023 and report additional interim data from all cohorts in the Phase 1/2 trial in the second half of 2024.</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Next-generation gene therapy solutions for Alzheimer’s disease: LX1021 and LX1020</w:t>
      </w:r>
    </w:p>
    <w:p>
      <w:pPr>
        <w:spacing w:after="0" w:line="1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We believe that positive clinical data from our ongoing Phase 1/2 clinical trial of LX1001 has the potential to validate our novel approach to treating the </w:t>
      </w:r>
      <w:r>
        <w:rPr>
          <w:rFonts w:ascii="Arial" w:cs="Arial" w:eastAsia="Arial" w:hAnsi="Arial"/>
          <w:sz w:val="18"/>
          <w:szCs w:val="18"/>
          <w:i w:val="1"/>
          <w:iCs w:val="1"/>
          <w:color w:val="auto"/>
        </w:rPr>
        <w:t xml:space="preserve">APOE4 </w:t>
      </w:r>
      <w:r>
        <w:rPr>
          <w:rFonts w:ascii="Arial" w:cs="Arial" w:eastAsia="Arial" w:hAnsi="Arial"/>
          <w:sz w:val="18"/>
          <w:szCs w:val="18"/>
          <w:color w:val="auto"/>
        </w:rPr>
        <w:t>sub-group and can help inform the development plan of our next-generation candidates, LX1021 and LX1020.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9" w:right="5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LX1021 for the treatment of APOE4 homozygotes</w:t>
      </w:r>
    </w:p>
    <w:p>
      <w:pPr>
        <w:spacing w:after="0" w:line="2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LX1021</w:t>
      </w:r>
      <w:r>
        <w:rPr>
          <w:rFonts w:ascii="Arial" w:cs="Arial" w:eastAsia="Arial" w:hAnsi="Arial"/>
          <w:sz w:val="17"/>
          <w:szCs w:val="17"/>
          <w:color w:val="auto"/>
        </w:rPr>
        <w:t>: We are designing LX1021 to treat</w:t>
      </w:r>
      <w:r>
        <w:rPr>
          <w:rFonts w:ascii="Arial" w:cs="Arial" w:eastAsia="Arial" w:hAnsi="Arial"/>
          <w:sz w:val="17"/>
          <w:szCs w:val="17"/>
          <w:i w:val="1"/>
          <w:iCs w:val="1"/>
          <w:color w:val="auto"/>
        </w:rPr>
        <w:t xml:space="preserve"> APOE4 </w:t>
      </w:r>
      <w:r>
        <w:rPr>
          <w:rFonts w:ascii="Arial" w:cs="Arial" w:eastAsia="Arial" w:hAnsi="Arial"/>
          <w:sz w:val="17"/>
          <w:szCs w:val="17"/>
          <w:color w:val="auto"/>
        </w:rPr>
        <w:t>homozygous patients by adding a Christchurch mutation-modified</w:t>
      </w:r>
      <w:r>
        <w:rPr>
          <w:rFonts w:ascii="Arial" w:cs="Arial" w:eastAsia="Arial" w:hAnsi="Arial"/>
          <w:sz w:val="17"/>
          <w:szCs w:val="17"/>
          <w:i w:val="1"/>
          <w:iCs w:val="1"/>
          <w:color w:val="auto"/>
        </w:rPr>
        <w:t xml:space="preserve"> APOE2 </w:t>
      </w:r>
      <w:r>
        <w:rPr>
          <w:rFonts w:ascii="Arial" w:cs="Arial" w:eastAsia="Arial" w:hAnsi="Arial"/>
          <w:sz w:val="17"/>
          <w:szCs w:val="17"/>
          <w:color w:val="auto"/>
        </w:rPr>
        <w:t>to the CNS. The</w:t>
      </w:r>
      <w:r>
        <w:rPr>
          <w:rFonts w:ascii="Arial" w:cs="Arial" w:eastAsia="Arial" w:hAnsi="Arial"/>
          <w:sz w:val="17"/>
          <w:szCs w:val="17"/>
          <w:i w:val="1"/>
          <w:iCs w:val="1"/>
          <w:color w:val="auto"/>
        </w:rPr>
        <w:t xml:space="preserve"> </w:t>
      </w:r>
      <w:r>
        <w:rPr>
          <w:rFonts w:ascii="Arial" w:cs="Arial" w:eastAsia="Arial" w:hAnsi="Arial"/>
          <w:sz w:val="17"/>
          <w:szCs w:val="17"/>
          <w:color w:val="auto"/>
        </w:rPr>
        <w:t>Christchurch mutation has been recognized to protect individuals against Alzheimer’s disease even in the presence of significant amyloid pathology. The mechanism of this protection may relate to the fact that APOE, in the presence of the Christchurch mutation, binds poorly to heparan sulfate proteoglycans (HSPGs), molecules found on the surface of neurons, which may inhibit the spread of tau pathology between cells. We believe this approach has the potential to enhance the protective effect of APOE2 in homozygous APOE4-associated Alzheimer’s disease. We plan to hold a pre-IND meeting with the FDA in 2024 to provide direction for our ongoing development efforts.</w:t>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LX1021 is designed to add a Christchurch mutation-modified </w:t>
      </w:r>
      <w:r>
        <w:rPr>
          <w:rFonts w:ascii="Arial" w:cs="Arial" w:eastAsia="Arial" w:hAnsi="Arial"/>
          <w:sz w:val="18"/>
          <w:szCs w:val="18"/>
          <w:b w:val="1"/>
          <w:bCs w:val="1"/>
          <w:i w:val="1"/>
          <w:iCs w:val="1"/>
          <w:color w:val="auto"/>
        </w:rPr>
        <w:t>APOE2</w:t>
      </w:r>
      <w:r>
        <w:rPr>
          <w:rFonts w:ascii="Arial" w:cs="Arial" w:eastAsia="Arial" w:hAnsi="Arial"/>
          <w:sz w:val="18"/>
          <w:szCs w:val="18"/>
          <w:b w:val="1"/>
          <w:bCs w:val="1"/>
          <w:color w:val="auto"/>
        </w:rPr>
        <w:t xml:space="preserve"> gene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to the CNS of </w:t>
      </w:r>
      <w:r>
        <w:rPr>
          <w:rFonts w:ascii="Arial" w:cs="Arial" w:eastAsia="Arial" w:hAnsi="Arial"/>
          <w:sz w:val="18"/>
          <w:szCs w:val="18"/>
          <w:b w:val="1"/>
          <w:bCs w:val="1"/>
          <w:i w:val="1"/>
          <w:iCs w:val="1"/>
          <w:color w:val="auto"/>
        </w:rPr>
        <w:t>APOE4</w:t>
      </w:r>
      <w:r>
        <w:rPr>
          <w:rFonts w:ascii="Arial" w:cs="Arial" w:eastAsia="Arial" w:hAnsi="Arial"/>
          <w:sz w:val="18"/>
          <w:szCs w:val="18"/>
          <w:b w:val="1"/>
          <w:bCs w:val="1"/>
          <w:color w:val="auto"/>
        </w:rPr>
        <w:t xml:space="preserve"> homozygous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99695</wp:posOffset>
            </wp:positionV>
            <wp:extent cx="4860290" cy="8655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6029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4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i w:val="1"/>
          <w:iCs w:val="1"/>
          <w:color w:val="auto"/>
        </w:rPr>
        <w:t xml:space="preserve">In vitro </w:t>
      </w:r>
      <w:r>
        <w:rPr>
          <w:rFonts w:ascii="Arial" w:cs="Arial" w:eastAsia="Arial" w:hAnsi="Arial"/>
          <w:sz w:val="17"/>
          <w:szCs w:val="17"/>
          <w:color w:val="auto"/>
        </w:rPr>
        <w:t>experiments conducted by other researchers and replicated at Weill Cornell Medicine have demonstrated that Christchurch mutation-modified</w:t>
      </w:r>
      <w:r>
        <w:rPr>
          <w:rFonts w:ascii="Arial" w:cs="Arial" w:eastAsia="Arial" w:hAnsi="Arial"/>
          <w:sz w:val="17"/>
          <w:szCs w:val="17"/>
          <w:i w:val="1"/>
          <w:iCs w:val="1"/>
          <w:color w:val="auto"/>
        </w:rPr>
        <w:t xml:space="preserve"> APOE3 </w:t>
      </w:r>
      <w:r>
        <w:rPr>
          <w:rFonts w:ascii="Arial" w:cs="Arial" w:eastAsia="Arial" w:hAnsi="Arial"/>
          <w:sz w:val="17"/>
          <w:szCs w:val="17"/>
          <w:color w:val="auto"/>
        </w:rPr>
        <w:t>behaves similarly to the</w:t>
      </w:r>
      <w:r>
        <w:rPr>
          <w:rFonts w:ascii="Arial" w:cs="Arial" w:eastAsia="Arial" w:hAnsi="Arial"/>
          <w:sz w:val="17"/>
          <w:szCs w:val="17"/>
          <w:i w:val="1"/>
          <w:iCs w:val="1"/>
          <w:color w:val="auto"/>
        </w:rPr>
        <w:t xml:space="preserve"> APOE2 </w:t>
      </w:r>
      <w:r>
        <w:rPr>
          <w:rFonts w:ascii="Arial" w:cs="Arial" w:eastAsia="Arial" w:hAnsi="Arial"/>
          <w:sz w:val="17"/>
          <w:szCs w:val="17"/>
          <w:color w:val="auto"/>
        </w:rPr>
        <w:t>allele in that both isoforms bind poorly to heparin sulfate proteoglycans, or HSPGs. As shown in the figure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below, differences in one to two amino acids drive the major physiological differences between the three </w:t>
      </w:r>
      <w:r>
        <w:rPr>
          <w:rFonts w:ascii="Arial" w:cs="Arial" w:eastAsia="Arial" w:hAnsi="Arial"/>
          <w:sz w:val="17"/>
          <w:szCs w:val="17"/>
          <w:i w:val="1"/>
          <w:iCs w:val="1"/>
          <w:color w:val="auto"/>
        </w:rPr>
        <w:t>APOE</w:t>
      </w:r>
      <w:r>
        <w:rPr>
          <w:rFonts w:ascii="Arial" w:cs="Arial" w:eastAsia="Arial" w:hAnsi="Arial"/>
          <w:sz w:val="17"/>
          <w:szCs w:val="17"/>
          <w:color w:val="auto"/>
        </w:rPr>
        <w:t xml:space="preserve"> isoforms, including differences in protein structure and regulation of amyloid-ß aggregation, in addition to binding affinities to HSPGs. This increased binding to HSPGs is implicated in the propagation of tau tangles and uptake of toxic forms of tau and amyloid-ß aggregation.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Binding affinity of different </w:t>
      </w:r>
      <w:r>
        <w:rPr>
          <w:rFonts w:ascii="Arial" w:cs="Arial" w:eastAsia="Arial" w:hAnsi="Arial"/>
          <w:sz w:val="18"/>
          <w:szCs w:val="18"/>
          <w:b w:val="1"/>
          <w:bCs w:val="1"/>
          <w:i w:val="1"/>
          <w:iCs w:val="1"/>
          <w:color w:val="auto"/>
        </w:rPr>
        <w:t>APOE</w:t>
      </w:r>
      <w:r>
        <w:rPr>
          <w:rFonts w:ascii="Arial" w:cs="Arial" w:eastAsia="Arial" w:hAnsi="Arial"/>
          <w:sz w:val="18"/>
          <w:szCs w:val="18"/>
          <w:b w:val="1"/>
          <w:bCs w:val="1"/>
          <w:color w:val="auto"/>
        </w:rPr>
        <w:t xml:space="preserve"> alleles and Christchurch mutation-modified </w:t>
      </w:r>
      <w:r>
        <w:rPr>
          <w:rFonts w:ascii="Arial" w:cs="Arial" w:eastAsia="Arial" w:hAnsi="Arial"/>
          <w:sz w:val="18"/>
          <w:szCs w:val="18"/>
          <w:b w:val="1"/>
          <w:bCs w:val="1"/>
          <w:i w:val="1"/>
          <w:iCs w:val="1"/>
          <w:color w:val="auto"/>
        </w:rPr>
        <w:t>APOE3 and APOE2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111760</wp:posOffset>
            </wp:positionV>
            <wp:extent cx="4500245" cy="3497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0024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color w:val="auto"/>
        </w:rPr>
        <w:t xml:space="preserve">Interim data from preclinical studies have demonstrated that APOE4-driven amyloid and tau pathology can be suppressed by AAV-mediated delivery of Christchurch-modified </w:t>
      </w:r>
      <w:r>
        <w:rPr>
          <w:rFonts w:ascii="Arial" w:cs="Arial" w:eastAsia="Arial" w:hAnsi="Arial"/>
          <w:sz w:val="17"/>
          <w:szCs w:val="17"/>
          <w:i w:val="1"/>
          <w:iCs w:val="1"/>
          <w:color w:val="auto"/>
        </w:rPr>
        <w:t>APOE2</w:t>
      </w:r>
      <w:r>
        <w:rPr>
          <w:rFonts w:ascii="Arial" w:cs="Arial" w:eastAsia="Arial" w:hAnsi="Arial"/>
          <w:sz w:val="17"/>
          <w:szCs w:val="17"/>
          <w:color w:val="auto"/>
        </w:rPr>
        <w:t xml:space="preserve"> to the CNS in well-established murine Alzheimer’s disease models (amyloid mice, APP.PS1/TRE4 and tau mice, P301S/TRE4). In both mouse models, 2x10</w:t>
      </w:r>
      <w:r>
        <w:rPr>
          <w:rFonts w:ascii="Arial" w:cs="Arial" w:eastAsia="Arial" w:hAnsi="Arial"/>
          <w:sz w:val="25"/>
          <w:szCs w:val="25"/>
          <w:color w:val="auto"/>
          <w:vertAlign w:val="superscript"/>
        </w:rPr>
        <w:t>10</w:t>
      </w:r>
      <w:r>
        <w:rPr>
          <w:rFonts w:ascii="Arial" w:cs="Arial" w:eastAsia="Arial" w:hAnsi="Arial"/>
          <w:sz w:val="17"/>
          <w:szCs w:val="17"/>
          <w:color w:val="auto"/>
        </w:rPr>
        <w:t xml:space="preserve"> total genomes were administered directly into the hippocampus.</w:t>
      </w:r>
    </w:p>
    <w:p>
      <w:pPr>
        <w:spacing w:after="0" w:line="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the APP.PSEN1/TR4 model AAVrh.10hAPOE2 (LX1001) and AAVrh.10hAPOE2Ch (LX1021) were administered to 2.5-month old mice and resulted in significant production of APOE2 mRNA and protein expression over phosphate buffered saline, or PBS, and null-treated animals, with no significant differences between the two constructs.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9" w:right="5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APOE protein Levels (Amyloid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111760</wp:posOffset>
            </wp:positionV>
            <wp:extent cx="3625850" cy="258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258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Both constructs resulted in significant reductions in insoluble and soluble Aß42 and Aß40 levels, with no significant differences between the two constructs. Additionally, both constructs demonstrated improvement in various behavioral tests compared to PBS or null-treated animals, with no significant differences between the two constructs. These results demonstrate that LX1021 may have similar therapeutic potential as LX1001 as both treatments suppress the amyloid pathology in the APP.PSEN1/TRE4 mice.</w:t>
      </w:r>
    </w:p>
    <w:p>
      <w:pPr>
        <w:spacing w:after="0" w:line="25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Insoluble and Soluble Aß42 Levels (Amyloid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111760</wp:posOffset>
            </wp:positionV>
            <wp:extent cx="3317240" cy="2682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17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the P301S/TRE4 model, both LX1001 and LX1021 were administered to 5.5-month old mice and resulted in significant production of APOE2 mRNA and protein expression over PBS and null-treated animals, with no</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840"/>
          </w:cols>
          <w:pgMar w:left="320" w:top="459" w:right="7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significant differences between the two constructs, a similar finding to the amyloid mouse model. However, when evaluating total tau and p-tau, pathological markers of Alzheimer’s disease that are impacted in the P301S/TRE4 model, we observed significant improvement in the LX1021 treated mice compared to the LX1001 treated mice.</w:t>
      </w: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Tau Mice, Total Tau Levels (Left) and Phosphorylated Tau Levels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111760</wp:posOffset>
            </wp:positionV>
            <wp:extent cx="5203190" cy="20148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0319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Behavioral tests, including Y maze, Barnes Test, and novel object recognition showed LX1001 treatment demonstrated some behavioral improvement compared to PBS-treated animals but no significant behavioral improvement compared to null-treated animals. However, LX1021 treatment resulted in significant behavioral improvement on all assessments compared to PBS and null-treated animals, as well as significant behavioral improvement on all assessments compared to LX1001.</w:t>
      </w:r>
    </w:p>
    <w:p>
      <w:pPr>
        <w:spacing w:after="0" w:line="11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believe the data generated to date from two mouse models demonstrate that LX1021 has the potential to impact both amyloid and tau pathology, the core pathological features of Alzheimer’s disease, potentially providing for enhanced treatment effect compared to the wild-type E2 transgene. We plan to continue preclinical development efforts and hold a pre-IND meeting with the FDA in 2024 to provide direction for our ongoing development efforts.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LX1020 for the treatment of APOE4 homozygotes</w:t>
      </w:r>
    </w:p>
    <w:p>
      <w:pPr>
        <w:spacing w:after="0" w:line="158" w:lineRule="exact"/>
        <w:rPr>
          <w:sz w:val="20"/>
          <w:szCs w:val="20"/>
          <w:color w:val="auto"/>
        </w:rPr>
      </w:pPr>
    </w:p>
    <w:p>
      <w:pPr>
        <w:ind w:left="120" w:right="500"/>
        <w:spacing w:after="0" w:line="258" w:lineRule="auto"/>
        <w:rPr>
          <w:sz w:val="20"/>
          <w:szCs w:val="20"/>
          <w:color w:val="auto"/>
        </w:rPr>
      </w:pPr>
      <w:r>
        <w:rPr>
          <w:rFonts w:ascii="Arial" w:cs="Arial" w:eastAsia="Arial" w:hAnsi="Arial"/>
          <w:sz w:val="18"/>
          <w:szCs w:val="18"/>
          <w:i w:val="1"/>
          <w:iCs w:val="1"/>
          <w:color w:val="auto"/>
        </w:rPr>
        <w:t>LX1020</w:t>
      </w:r>
      <w:r>
        <w:rPr>
          <w:rFonts w:ascii="Arial" w:cs="Arial" w:eastAsia="Arial" w:hAnsi="Arial"/>
          <w:sz w:val="18"/>
          <w:szCs w:val="18"/>
          <w:color w:val="auto"/>
        </w:rPr>
        <w:t>: We are designing LX1020 to treat</w:t>
      </w:r>
      <w:r>
        <w:rPr>
          <w:rFonts w:ascii="Arial" w:cs="Arial" w:eastAsia="Arial" w:hAnsi="Arial"/>
          <w:sz w:val="18"/>
          <w:szCs w:val="18"/>
          <w:i w:val="1"/>
          <w:iCs w:val="1"/>
          <w:color w:val="auto"/>
        </w:rPr>
        <w:t xml:space="preserve"> APOE4 </w:t>
      </w:r>
      <w:r>
        <w:rPr>
          <w:rFonts w:ascii="Arial" w:cs="Arial" w:eastAsia="Arial" w:hAnsi="Arial"/>
          <w:sz w:val="18"/>
          <w:szCs w:val="18"/>
          <w:color w:val="auto"/>
        </w:rPr>
        <w:t>homozygous patients by delivering both the protective</w:t>
      </w:r>
      <w:r>
        <w:rPr>
          <w:rFonts w:ascii="Arial" w:cs="Arial" w:eastAsia="Arial" w:hAnsi="Arial"/>
          <w:sz w:val="18"/>
          <w:szCs w:val="18"/>
          <w:i w:val="1"/>
          <w:iCs w:val="1"/>
          <w:color w:val="auto"/>
        </w:rPr>
        <w:t xml:space="preserve"> APOE2 </w:t>
      </w:r>
      <w:r>
        <w:rPr>
          <w:rFonts w:ascii="Arial" w:cs="Arial" w:eastAsia="Arial" w:hAnsi="Arial"/>
          <w:sz w:val="18"/>
          <w:szCs w:val="18"/>
          <w:color w:val="auto"/>
        </w:rPr>
        <w:t>allele and miRNA to suppress</w:t>
      </w:r>
      <w:r>
        <w:rPr>
          <w:rFonts w:ascii="Arial" w:cs="Arial" w:eastAsia="Arial" w:hAnsi="Arial"/>
          <w:sz w:val="18"/>
          <w:szCs w:val="18"/>
          <w:i w:val="1"/>
          <w:iCs w:val="1"/>
          <w:color w:val="auto"/>
        </w:rPr>
        <w:t xml:space="preserve"> APOE4</w:t>
      </w:r>
      <w:r>
        <w:rPr>
          <w:rFonts w:ascii="Arial" w:cs="Arial" w:eastAsia="Arial" w:hAnsi="Arial"/>
          <w:sz w:val="18"/>
          <w:szCs w:val="18"/>
          <w:color w:val="auto"/>
        </w:rPr>
        <w:t>. We believe delivery of</w:t>
      </w:r>
      <w:r>
        <w:rPr>
          <w:rFonts w:ascii="Arial" w:cs="Arial" w:eastAsia="Arial" w:hAnsi="Arial"/>
          <w:sz w:val="18"/>
          <w:szCs w:val="18"/>
          <w:i w:val="1"/>
          <w:iCs w:val="1"/>
          <w:color w:val="auto"/>
        </w:rPr>
        <w:t xml:space="preserve"> APOE2 </w:t>
      </w:r>
      <w:r>
        <w:rPr>
          <w:rFonts w:ascii="Arial" w:cs="Arial" w:eastAsia="Arial" w:hAnsi="Arial"/>
          <w:sz w:val="18"/>
          <w:szCs w:val="18"/>
          <w:color w:val="auto"/>
        </w:rPr>
        <w:t>with concurrent suppression of</w:t>
      </w:r>
    </w:p>
    <w:p>
      <w:pPr>
        <w:spacing w:after="0" w:line="1"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i w:val="1"/>
          <w:iCs w:val="1"/>
          <w:color w:val="auto"/>
        </w:rPr>
        <w:t xml:space="preserve">APOE4 </w:t>
      </w:r>
      <w:r>
        <w:rPr>
          <w:rFonts w:ascii="Arial" w:cs="Arial" w:eastAsia="Arial" w:hAnsi="Arial"/>
          <w:sz w:val="18"/>
          <w:szCs w:val="18"/>
          <w:color w:val="auto"/>
        </w:rPr>
        <w:t>will achieve a higher degree of conversion to the</w:t>
      </w:r>
      <w:r>
        <w:rPr>
          <w:rFonts w:ascii="Arial" w:cs="Arial" w:eastAsia="Arial" w:hAnsi="Arial"/>
          <w:sz w:val="18"/>
          <w:szCs w:val="18"/>
          <w:i w:val="1"/>
          <w:iCs w:val="1"/>
          <w:color w:val="auto"/>
        </w:rPr>
        <w:t xml:space="preserve"> APOE4/E2 </w:t>
      </w:r>
      <w:r>
        <w:rPr>
          <w:rFonts w:ascii="Arial" w:cs="Arial" w:eastAsia="Arial" w:hAnsi="Arial"/>
          <w:sz w:val="18"/>
          <w:szCs w:val="18"/>
          <w:color w:val="auto"/>
        </w:rPr>
        <w:t>heterozygous profile, which should lead to greater therapeutic effect. We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candidate selection for LX1020 in 2023.</w:t>
      </w: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LX1020 is designed to add </w:t>
      </w:r>
      <w:r>
        <w:rPr>
          <w:rFonts w:ascii="Arial" w:cs="Arial" w:eastAsia="Arial" w:hAnsi="Arial"/>
          <w:sz w:val="18"/>
          <w:szCs w:val="18"/>
          <w:b w:val="1"/>
          <w:bCs w:val="1"/>
          <w:i w:val="1"/>
          <w:iCs w:val="1"/>
          <w:color w:val="auto"/>
        </w:rPr>
        <w:t>APOE2</w:t>
      </w:r>
      <w:r>
        <w:rPr>
          <w:rFonts w:ascii="Arial" w:cs="Arial" w:eastAsia="Arial" w:hAnsi="Arial"/>
          <w:sz w:val="18"/>
          <w:szCs w:val="18"/>
          <w:b w:val="1"/>
          <w:bCs w:val="1"/>
          <w:color w:val="auto"/>
        </w:rPr>
        <w:t xml:space="preserve"> gene while suppressing </w:t>
      </w:r>
      <w:r>
        <w:rPr>
          <w:rFonts w:ascii="Arial" w:cs="Arial" w:eastAsia="Arial" w:hAnsi="Arial"/>
          <w:sz w:val="18"/>
          <w:szCs w:val="18"/>
          <w:b w:val="1"/>
          <w:bCs w:val="1"/>
          <w:i w:val="1"/>
          <w:iCs w:val="1"/>
          <w:color w:val="auto"/>
        </w:rPr>
        <w:t>APOE4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111760</wp:posOffset>
            </wp:positionV>
            <wp:extent cx="4208780" cy="7715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087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In preclinical studies, AAV9 vectors expressing APOE-targeting miRNAs (AAV-mirAPOE) was administered to the hippocampus of TRE4 mice, a mouse model with murine </w:t>
      </w:r>
      <w:r>
        <w:rPr>
          <w:rFonts w:ascii="Arial" w:cs="Arial" w:eastAsia="Arial" w:hAnsi="Arial"/>
          <w:sz w:val="18"/>
          <w:szCs w:val="18"/>
          <w:i w:val="1"/>
          <w:iCs w:val="1"/>
          <w:color w:val="auto"/>
        </w:rPr>
        <w:t>APOE</w:t>
      </w:r>
      <w:r>
        <w:rPr>
          <w:rFonts w:ascii="Arial" w:cs="Arial" w:eastAsia="Arial" w:hAnsi="Arial"/>
          <w:sz w:val="18"/>
          <w:szCs w:val="18"/>
          <w:color w:val="auto"/>
        </w:rPr>
        <w:t xml:space="preserve"> gene deleted and replaced with human </w:t>
      </w:r>
      <w:r>
        <w:rPr>
          <w:rFonts w:ascii="Arial" w:cs="Arial" w:eastAsia="Arial" w:hAnsi="Arial"/>
          <w:sz w:val="18"/>
          <w:szCs w:val="18"/>
          <w:i w:val="1"/>
          <w:iCs w:val="1"/>
          <w:color w:val="auto"/>
        </w:rPr>
        <w:t>APOE4</w:t>
      </w:r>
      <w:r>
        <w:rPr>
          <w:rFonts w:ascii="Arial" w:cs="Arial" w:eastAsia="Arial" w:hAnsi="Arial"/>
          <w:sz w:val="18"/>
          <w:szCs w:val="18"/>
          <w:color w:val="auto"/>
        </w:rPr>
        <w:t xml:space="preserve">. When compared with an AAV9-mCherry (a control vehicle), the AAV-mirAPOE downregulated hippocampal APOE4 mRNA levels by 2.8-fold, suggesting that an AAV-mediated gene therapy incorporating APOE-targeting miRNA into the expression cassette may potentially reduce human </w:t>
      </w:r>
      <w:r>
        <w:rPr>
          <w:rFonts w:ascii="Arial" w:cs="Arial" w:eastAsia="Arial" w:hAnsi="Arial"/>
          <w:sz w:val="18"/>
          <w:szCs w:val="18"/>
          <w:i w:val="1"/>
          <w:iCs w:val="1"/>
          <w:color w:val="auto"/>
        </w:rPr>
        <w:t>APOE4</w:t>
      </w:r>
      <w:r>
        <w:rPr>
          <w:rFonts w:ascii="Arial" w:cs="Arial" w:eastAsia="Arial" w:hAnsi="Arial"/>
          <w:sz w:val="18"/>
          <w:szCs w:val="18"/>
          <w:color w:val="auto"/>
        </w:rPr>
        <w:t xml:space="preserve"> in the CNS. These findings demonstrate that AAV-based delivery of APOE-targeting miRNA may be able to serve as part of a therapeutic approach for treating </w:t>
      </w:r>
      <w:r>
        <w:rPr>
          <w:rFonts w:ascii="Arial" w:cs="Arial" w:eastAsia="Arial" w:hAnsi="Arial"/>
          <w:sz w:val="18"/>
          <w:szCs w:val="18"/>
          <w:i w:val="1"/>
          <w:iCs w:val="1"/>
          <w:color w:val="auto"/>
        </w:rPr>
        <w:t>APOE4</w:t>
      </w:r>
      <w:r>
        <w:rPr>
          <w:rFonts w:ascii="Arial" w:cs="Arial" w:eastAsia="Arial" w:hAnsi="Arial"/>
          <w:sz w:val="18"/>
          <w:szCs w:val="18"/>
          <w:color w:val="auto"/>
        </w:rPr>
        <w:t xml:space="preserve"> homozygous Alzheimer’s patients and provide direction for our ongoing development efforts.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plan to complete candidate selection for LX1020 in 2024.</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Program Outside of Core Focus Area</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LX1004 for the treatment of CLN2 Batten disease</w:t>
      </w:r>
    </w:p>
    <w:p>
      <w:pPr>
        <w:spacing w:after="0" w:line="14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 xml:space="preserve">LX1004 is an AAVrh10-based gene therapy candidate designed to deliver a functional </w:t>
      </w:r>
      <w:r>
        <w:rPr>
          <w:rFonts w:ascii="Arial" w:cs="Arial" w:eastAsia="Arial" w:hAnsi="Arial"/>
          <w:sz w:val="16"/>
          <w:szCs w:val="16"/>
          <w:i w:val="1"/>
          <w:iCs w:val="1"/>
          <w:color w:val="auto"/>
        </w:rPr>
        <w:t>CLN2</w:t>
      </w:r>
      <w:r>
        <w:rPr>
          <w:rFonts w:ascii="Arial" w:cs="Arial" w:eastAsia="Arial" w:hAnsi="Arial"/>
          <w:sz w:val="16"/>
          <w:szCs w:val="16"/>
          <w:color w:val="auto"/>
        </w:rPr>
        <w:t xml:space="preserve"> gene to the CNS via intracisternal injection in order to restore TPP1, the secreted protein that is deficient in CLN2 Batten disease. Batten disease is the common name for a broad class of rare, fatal, inherited disorders of the nervous system also known as neuronal ceroid lipofuscinoses. CLN2 Batten disease is caused by a defect in the </w:t>
      </w:r>
      <w:r>
        <w:rPr>
          <w:rFonts w:ascii="Arial" w:cs="Arial" w:eastAsia="Arial" w:hAnsi="Arial"/>
          <w:sz w:val="16"/>
          <w:szCs w:val="16"/>
          <w:i w:val="1"/>
          <w:iCs w:val="1"/>
          <w:color w:val="auto"/>
        </w:rPr>
        <w:t>CLN2</w:t>
      </w:r>
      <w:r>
        <w:rPr>
          <w:rFonts w:ascii="Arial" w:cs="Arial" w:eastAsia="Arial" w:hAnsi="Arial"/>
          <w:sz w:val="16"/>
          <w:szCs w:val="16"/>
          <w:color w:val="auto"/>
        </w:rPr>
        <w:t xml:space="preserve"> gene found on chromosome 11 and, based on our calculations, we believe CLN2 Batten disease affects up to approximately 900 patients in the United States and European Union. The FDA has granted Rare Pediatric Disease designation and Orphan Drug designation to LX1004 for the treatment of CLN2 disease.</w:t>
      </w:r>
    </w:p>
    <w:p>
      <w:pPr>
        <w:spacing w:after="0" w:line="9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a Phase 1/2 trial that was conducted by Weill Cornell Medicine under an IND that was subsequently transferred to us, LX1004 demonstrated an increase in TPP1 levels leading to a slower decline of motor and language function in treated patients compared to natural history controls, at 18 months post treatment. In November 2022, we held a Type C meeting with the FDA to align on the development path for LX1004 and are currently evaluating strategic alternatives to find the appropriate partner to take the program forward.</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1/2 clinical trial results</w:t>
      </w:r>
    </w:p>
    <w:p>
      <w:pPr>
        <w:spacing w:after="0" w:line="1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LX1004 was administered intraparenchymally to the CNS of eight children with CLN2 Batten disease. Seven children had follow-up visits during the 18-month duration of the study, and of these, five children had CSF samples pre and post treatment. All five of those patients had increased TPP1 levels in their CSF up to 12 months, indicating substantial expression of the protein and durability of the therapy.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LX1004 demonstrated increases in TPP1 expression levels up to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154305</wp:posOffset>
            </wp:positionV>
            <wp:extent cx="3429000" cy="28632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Additionally, as demonstrated in the below graphic, the treated patients had a statistically significant reduction in the rate of disease progression compared to natural history controls. The trial used the established CLN2 Clinical Rating Scale to assess efficacy. This scale was developed to assess the loss of function in CLN2 Batten disease patients that occurs over the course of the disease. It is a four-part assessment of language, motor function, visual function, and seizures. The rate of decline in the motor + language subscores of the treatment group was compared to two historical control groups of untreated patients: the Weill Cornell Medicine natural history cohort and the European DEM Child natural history cohort. The annual rate of decline was similar in the two control groups. In contrast, the rate of decline in the treated patients was slower than that in both control groups.</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LX1004 demonstrated a slower rate of decline relative to natural history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154305</wp:posOffset>
            </wp:positionV>
            <wp:extent cx="3308985" cy="2374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0898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Furthermore, patients in the trial reported six acute serious adverse events within two weeks of dosing and 15 chronic serious adverse events after two weeks of dosing that were deemed to be related to the study drug or its administration. The six acute serious adverse events consisted of one patient with seizures, two patients with episodes of increased abnormal movements, one patient with emesis, one patient with hematoma, and one patient with pneumocephalus. The 15 chronic serious adverse events consisted of six patients with seizures, one patient with dystonia, one patient with emesis, one patient with hematoma, one patient with hygroma, one patient with bronchospasm, one patient with aspiration, one patient with pneumonia, and two patients with elevated hepatic enzymes.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3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biotechnology and pharmaceutical industries are characterized by rapidly changing technologies, significant competition and a strong emphasis on intellectual property. This is also true for the development and commercialization of treatments for cardiovascular and neurodegenerative diseases such as Friedreich’s ataxia, PKP2-ACM, Alzheimer’s disease, CLN2 Batten disease and broadly across gene therapies. While we believe that our management and scientific team’s deep expertise in gene therapy provides us with competitive advantages, we face competition from several sources, including large and small biopharmaceutical companies, government agencies and academic and private research institutions. Not only must we compete with other companies that are focused on gene therapy technology, but any product candidates that we successfully develop and commercialize will compete with existing therapies, to the extent applicable, and new therapies that may become available in the future.</w:t>
      </w:r>
    </w:p>
    <w:p>
      <w:pPr>
        <w:spacing w:after="0" w:line="9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Drug development, particularly in the gene therapy field, is highly competitive and subject to rapid and significant technological advancements. A significant unmet medical need exists in each of the indications that we are targeting, and it is likely that additional drugs will become available in the future for the treatment of these diseases.</w:t>
      </w:r>
    </w:p>
    <w:p>
      <w:pPr>
        <w:spacing w:after="0" w:line="11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aware that our competitors are developing product candidates for the treatment of diseases that our product candidates will target. With respect to LX2006, we are aware of preclinical gene therapy programs in development at Novartis, PTC Therapeutics, Inc., Aavanti Bio, Inc., Lacerta Therapeutics, Inc. and those being developed in collaborations between Voyager Therapeutics, Inc. and Neurocrine Biosciences, Inc. and between Takeda Pharmaceutical Company Limited and StrideBio, Inc. Among other treatment modalities for FA, we are aware that Larimar Therapeutics, Inc. is developing a clinical stage product candidate, CTI-1601, Design Therapeutics, Inc. is developing a clinical stage product candidate, DT-216, and that Reata Pharmaceuticals, Inc.’s omaveloxolone (Skyclarys) was recently approved by the FDA. Additionally, on July 28, 2023, Biogen Inc. and Reata Pharmaceuticals, Inc. announced that Biogen has agreed to acquire Reata Pharmaceuticals for approximately $7.3 billion.</w:t>
      </w:r>
    </w:p>
    <w:p>
      <w:pPr>
        <w:spacing w:after="0" w:line="8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With respect to LX2020, both Rocket Pharmaceuticals Inc. and Tenaya Therapeutics Inc. are developing an AAV-based gene therapy candidate designed to deliver a functional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to patients with PKP2-ACM.</w:t>
      </w:r>
    </w:p>
    <w:p>
      <w:pPr>
        <w:spacing w:after="0" w:line="10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With respect to our portfolio of gene therapy programs for the treatment of homozygous APOE4-associated Alzheimer’s disease, we are aware that uniQure, N.V. is pursuing AMT-240, a preclinical gene therapy candidate for autosomal dominant Alzheimer’s disease intended to silence the toxic variant while expressing the protective variant and Novartis has a gene therapy candidate for Alzheimer’s disease which is in the early preclinical stages of development. Many large and small pharmaceutical companies and academic institutions are developing potential treatments for the condition given the significant unmet need and the large population suffering from Alzheimer’s disease. There are multiple FDA-approved treatments for Alzheimer’s disease, including donepezil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(Aricept), memantine (Namenda), and aducanumab (Aduhelm), the latter of which was recently approved under accelerated approval and will require confirmatory data to verify clinical benefit. In July of 2023, lecanemab was approved by the FDA for the treatment of Alzheimer’s disease based on the observed reduction of amyloid beta plaque. In addition, Eli Lilly and Company’s product candidate for the treatment of Alzheimer’s disease, donanemab, is currently in Phase 3 development. Finally, we are aware that Voyager Therapeutics, Inc. has ongoing early-stage discovery efforts targeting Alzheimer’s disease.</w:t>
      </w:r>
    </w:p>
    <w:p>
      <w:pPr>
        <w:spacing w:after="0" w:line="12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w:t>
      </w:r>
    </w:p>
    <w:p>
      <w:pPr>
        <w:spacing w:after="0" w:line="116"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w:t>
      </w:r>
    </w:p>
    <w:p>
      <w:pPr>
        <w:spacing w:after="0" w:line="2" w:lineRule="exact"/>
        <w:rPr>
          <w:sz w:val="20"/>
          <w:szCs w:val="20"/>
          <w:color w:val="auto"/>
        </w:rPr>
      </w:pPr>
    </w:p>
    <w:p>
      <w:pPr>
        <w:ind w:left="120" w:right="740"/>
        <w:spacing w:after="0" w:line="260" w:lineRule="auto"/>
        <w:rPr>
          <w:sz w:val="20"/>
          <w:szCs w:val="20"/>
          <w:color w:val="auto"/>
        </w:rPr>
      </w:pPr>
      <w:r>
        <w:rPr>
          <w:rFonts w:ascii="Arial" w:cs="Arial" w:eastAsia="Arial" w:hAnsi="Arial"/>
          <w:sz w:val="18"/>
          <w:szCs w:val="18"/>
          <w:color w:val="auto"/>
        </w:rPr>
        <w:t>Smaller or early-stage companies may also prove to be significant competitors, particularly through collaborative arrangements with large and established companies.</w:t>
      </w:r>
    </w:p>
    <w:p>
      <w:pPr>
        <w:spacing w:after="0" w:line="10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will face competition from other drugs or from other non-drug products and treatments currently approved or that will be approved in the future in the cardiovascular and neurology field, including for the treatment of diseases and diseases in the therapeutic categories we intend to target. Therefore, our ability to compete successfully will depend largely on our ability to:</w:t>
      </w:r>
    </w:p>
    <w:p>
      <w:pPr>
        <w:spacing w:after="0" w:line="116"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 manufacture and commercialize drugs that are superior to other products in the market;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medicines.</w:t>
      </w:r>
    </w:p>
    <w:p>
      <w:pPr>
        <w:spacing w:after="0" w:line="15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currently approved or future gene therapies by other companies could impact the anticipated reimbursement structure of our gene therapies, if approved, and our business, financial condition, results of operations and prospects.</w:t>
      </w:r>
    </w:p>
    <w:p>
      <w:pPr>
        <w:spacing w:after="0" w:line="104" w:lineRule="exact"/>
        <w:rPr>
          <w:sz w:val="20"/>
          <w:szCs w:val="20"/>
          <w:color w:val="auto"/>
        </w:rPr>
      </w:pPr>
    </w:p>
    <w:p>
      <w:pPr>
        <w:ind w:left="120" w:right="36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5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candidates and in manufacturing our products. Additional regulatory protection may also be afforded through data exclusivity, market exclusivity and patent term extensions where available.</w:t>
      </w:r>
    </w:p>
    <w:p>
      <w:pPr>
        <w:spacing w:after="0" w:line="9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As of September 19, 2023, we in-licensed two U.S. patents, nine pending U.S. non-provisional patent applications, two pending U.S. provisional applications, three pending PCT applications, four foreign patents and 44 pending foreign applications.</w:t>
      </w:r>
    </w:p>
    <w:p>
      <w:pPr>
        <w:spacing w:after="0" w:line="8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 xml:space="preserve">In regard to our LX2006 product candidate, we in-license from Cornell University and Adverum Biotechnologies, Inc. two U.S. patents, two pending U.S. non-provisional patent applications, four foreign patents granted in India, Mexico, South Africa, and New Zealand and eight pending foreign applications pending in such jurisdictions as Australia, Brazil, Canada, Eurasia, Europe, Israel, Mexico and South Africa. Not accounting for any patent term adjustment and assuming that all annuity and/or maintenance fees are paid timely, these patents, if granted, will expire in 2033. These patents and pending patent applications disclose and/or contain composition-of-matter claims to an AAV vector encoding </w:t>
      </w:r>
      <w:r>
        <w:rPr>
          <w:rFonts w:ascii="Arial" w:cs="Arial" w:eastAsia="Arial" w:hAnsi="Arial"/>
          <w:sz w:val="16"/>
          <w:szCs w:val="16"/>
          <w:i w:val="1"/>
          <w:iCs w:val="1"/>
          <w:color w:val="auto"/>
        </w:rPr>
        <w:t>FXN</w:t>
      </w:r>
      <w:r>
        <w:rPr>
          <w:rFonts w:ascii="Arial" w:cs="Arial" w:eastAsia="Arial" w:hAnsi="Arial"/>
          <w:sz w:val="16"/>
          <w:szCs w:val="16"/>
          <w:color w:val="auto"/>
        </w:rPr>
        <w:t xml:space="preserve">, or a fragment thereof, and disclose and/or contain claims to methods of producing and methods of treatment using the AAV </w:t>
      </w:r>
      <w:r>
        <w:rPr>
          <w:rFonts w:ascii="Arial" w:cs="Arial" w:eastAsia="Arial" w:hAnsi="Arial"/>
          <w:sz w:val="16"/>
          <w:szCs w:val="16"/>
          <w:i w:val="1"/>
          <w:iCs w:val="1"/>
          <w:color w:val="auto"/>
        </w:rPr>
        <w:t>FXN</w:t>
      </w:r>
      <w:r>
        <w:rPr>
          <w:rFonts w:ascii="Arial" w:cs="Arial" w:eastAsia="Arial" w:hAnsi="Arial"/>
          <w:sz w:val="16"/>
          <w:szCs w:val="16"/>
          <w:color w:val="auto"/>
        </w:rPr>
        <w:t xml:space="preserve"> vector. Cornell University co-owns these patents and patent applications with Institut National de la Santé et de la Recherche Médicale (INSERM), Centre National de la Recherche Scientifique (CNRS), Université de Strasbourg, Université Paris-Saclay and Assistance Publique-Hôpitaux de Paris (APHP).</w:t>
      </w:r>
    </w:p>
    <w:p>
      <w:pPr>
        <w:spacing w:after="0" w:line="9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We have rights to one pending PCT application that relates to our LX2006 cardiac FA program. Not accounting for any patent term adjustment and assuming that all annuity and/or maintenance fees are paid timely, if granted, patent applications claiming benefit of this PCT application, will expire in 2043. The PCT application discloses and/or contains composition-of-matter claims to a pharmaceutical dosage form of viral vectors encoding </w:t>
      </w:r>
      <w:r>
        <w:rPr>
          <w:rFonts w:ascii="Arial" w:cs="Arial" w:eastAsia="Arial" w:hAnsi="Arial"/>
          <w:sz w:val="17"/>
          <w:szCs w:val="17"/>
          <w:i w:val="1"/>
          <w:iCs w:val="1"/>
          <w:color w:val="auto"/>
        </w:rPr>
        <w:t>FXN</w:t>
      </w:r>
      <w:r>
        <w:rPr>
          <w:rFonts w:ascii="Arial" w:cs="Arial" w:eastAsia="Arial" w:hAnsi="Arial"/>
          <w:sz w:val="17"/>
          <w:szCs w:val="17"/>
          <w:color w:val="auto"/>
        </w:rPr>
        <w:t>, and discloses and/or contains claims to methods of producing and methods of treatment using the pharmaceutical dosage form.</w:t>
      </w:r>
    </w:p>
    <w:p>
      <w:pPr>
        <w:spacing w:after="0" w:line="10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regard to our LX2020 product candidate, we in-license from The Regents of the University of California one pending PCT application. Not accounting for any patent term adjustment and assuming that all annuity and/or maintenance fees are paid timely, if granted, patent applications claiming the benefit of this PCT application, will expire in 2042. This PCT application discloses and/or contains composition-of-matter claims to a vector encoding human plakophilin-2 (</w:t>
      </w:r>
      <w:r>
        <w:rPr>
          <w:rFonts w:ascii="Arial" w:cs="Arial" w:eastAsia="Arial" w:hAnsi="Arial"/>
          <w:sz w:val="16"/>
          <w:szCs w:val="16"/>
          <w:i w:val="1"/>
          <w:iCs w:val="1"/>
          <w:color w:val="auto"/>
        </w:rPr>
        <w:t>PKP2</w:t>
      </w:r>
      <w:r>
        <w:rPr>
          <w:rFonts w:ascii="Arial" w:cs="Arial" w:eastAsia="Arial" w:hAnsi="Arial"/>
          <w:sz w:val="16"/>
          <w:szCs w:val="16"/>
          <w:color w:val="auto"/>
        </w:rPr>
        <w:t>), and discloses and/or contains claims to methods of producing and methods of treatment using the PKP2 vector.</w:t>
      </w:r>
    </w:p>
    <w:p>
      <w:pPr>
        <w:spacing w:after="0" w:line="76"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In regard to our LX2021 product candidate, we in-license from The Regents of the University of California two pending U.S. non-provisional patent application and six pending foreign applications pending in Australia, Canada, China, Europe, Israel, and Japan. Not accounting for any patent term adjustment and assuming that all annuity and/or maintenance fees are paid timely, if granted, these patent applications will expire in 2038. These pending patent applications disclose and/or contain composition-of-matter claims to a vector encoding a human connexin 43 (CX43) polypeptide, and disclose and/or contain claims to methods of producing and methods of treatment using the CX43 vector.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 xml:space="preserve">In regard to our LX2022 product candidate, we in-license from The Regents of the University of California one pending U.S. non-provisional patent application. Not accounting for any patent term adjustment and assuming that all annuity and/or maintenance fees are paid timely, if granted, patent applications claiming the priority to this patent application, will expire in 2040. This pending U.S. non-provisional patent application discloses and/or contains composition-of-matter claims to a vector encoding a human </w:t>
      </w:r>
      <w:r>
        <w:rPr>
          <w:rFonts w:ascii="Arial" w:cs="Arial" w:eastAsia="Arial" w:hAnsi="Arial"/>
          <w:sz w:val="18"/>
          <w:szCs w:val="18"/>
          <w:i w:val="1"/>
          <w:iCs w:val="1"/>
          <w:color w:val="auto"/>
        </w:rPr>
        <w:t>TNNI3</w:t>
      </w:r>
      <w:r>
        <w:rPr>
          <w:rFonts w:ascii="Arial" w:cs="Arial" w:eastAsia="Arial" w:hAnsi="Arial"/>
          <w:sz w:val="18"/>
          <w:szCs w:val="18"/>
          <w:color w:val="auto"/>
        </w:rPr>
        <w:t xml:space="preserve"> gene, and discloses and/or contains claims to methods of producing and methods of treatment using the TNNI3 vector.</w:t>
      </w:r>
    </w:p>
    <w:p>
      <w:pPr>
        <w:spacing w:after="0" w:line="12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regard to our LX1020 product candidate, we in-license from Cornell University one pending U.S. non-provisional application and 13 pending foreign applications pending in Australia, Brazil, Canada, China, Colombia, Europe, Hong Kong, Israel, Japan, Korea, Mexico, New Zealand, Singapore and South Africa. Not accounting for any patent term adjustment and assuming that all annuity and/or maintenance fees are paid timely, if granted, these patent applications will expire in 2040. The pending patent applications disclose and/or contain composition-of-matter claims to a vector encoding human APOE2 protein and encoding one or more RNAi nucleic acid sequences for inhibition of APOE4 mRNA, and disclose and/or contain claims to methods of producing and methods of treatment using the APOE2+/APOE4- vector.</w:t>
      </w:r>
    </w:p>
    <w:p>
      <w:pPr>
        <w:spacing w:after="0" w:line="11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regard to our LX1021 product candidate, we in-license from Cornell University one pending U.S. non-provisional application and 13 pending foreign applications pending in Australia, Brazil, Canada, China, Europe, Hong Kong, Israel, Japan, Korea, Mexico, New Zealand, Singapore and South Africa. Not accounting for any patent term adjustment and assuming that all annuity and/or maintenance fees are paid timely, if granted, this patent application will expire in 2040. The pending patent applications disclose and/or contain composition-of-matter claims to a vector encoding a mutated human apolipoprotein E protein, and disclose and/or contain claims to methods of producing and methods of treatment using the mutated human apolipoprotein E vector.</w:t>
      </w:r>
    </w:p>
    <w:p>
      <w:pPr>
        <w:spacing w:after="0" w:line="11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regard to our LX1001 product candidate, we co-own with Cornell University two pending U.S. provisional applications and one pending PCT application. Not accounting for any patent term adjustment and assuming that all annuity and/or maintenance fees are paid timely, if granted, patent applications claiming the benefit of this PCT application will expire in 2043. This pending patent application discloses and/or contains composition-of-matter claims to a pharmaceutical dosage form of viral vectors encoding human APOE2, and discloses and/or contains claims to methods of producing and methods of treatment using the pharmaceutical dosage form.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research collaboration and sponsored research agreements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license agreement with Cornell University</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In May 2020, we entered into a license agreement with Cornell University, or the Cornell First License Agreement, pursuant to which we obtained a sublicensable, worldwide license under certain patents to make, use, and sell products that are covered by a valid claim of a licensed patent, are based on the transferred IND from Cornell University, use any licensed materials, or are produced using a licensed method, and to practice certain licensed technology, in all cases, for all human and non-human prophylactic and therapeutic uses. In July 2022, we entered into Amendment No. 1 to the Cornell First License Agreement that updated fees and royalties payable by us under the Cornell First License Agreement. In September 2022, we entered into Amendment No. 2 to the Cornell First License Agreement that clarified patent prosecution and maintenance obligations and added certain inventions and patents to the list of inventions and patent rights covered under the Cornell First License Agreement. The technology under the license includes portfolios for APOE, Alzheimer’s disease, and Anti-Tau, although our license is not restricted by such indications. The license is exclusive with respect to certain patents and non-exclusive with respect to other patents. Additionally, under the Cornell First License Agreement, Cornell University assigned to us an IND for the use of AAVrh10.hAPOE2 vector to treat </w:t>
      </w:r>
      <w:r>
        <w:rPr>
          <w:rFonts w:ascii="Arial" w:cs="Arial" w:eastAsia="Arial" w:hAnsi="Arial"/>
          <w:sz w:val="17"/>
          <w:szCs w:val="17"/>
          <w:i w:val="1"/>
          <w:iCs w:val="1"/>
          <w:color w:val="auto"/>
        </w:rPr>
        <w:t>APOE4</w:t>
      </w:r>
      <w:r>
        <w:rPr>
          <w:rFonts w:ascii="Arial" w:cs="Arial" w:eastAsia="Arial" w:hAnsi="Arial"/>
          <w:sz w:val="17"/>
          <w:szCs w:val="17"/>
          <w:color w:val="auto"/>
        </w:rPr>
        <w:t xml:space="preserve"> homozygous patients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who are at risk of having or have Alzheimer’s disease. Cornell University reserved the rights to publish and disseminate information about inventions included in the licensed technology and licensed patents, and to use, and allow other nonprofit institutions to use, the patents and technology for educational and research purposes.</w:t>
      </w:r>
    </w:p>
    <w:p>
      <w:pPr>
        <w:spacing w:after="0" w:line="11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obligated to diligently proceed with the development, manufacture, and sale of licensed products, to raise certain amounts within specified time frames, to achieve certain development milestones within specified time frames, to meet agreed minimum-spend requirements, and to meet other diligence obligations. If we fail to perform these obligations, Cornell University could terminate the Cornell First License Agreement in full or in part in specified circumstances, subject to certain rights for us to extend these time frames.</w:t>
      </w:r>
    </w:p>
    <w:p>
      <w:pPr>
        <w:spacing w:after="0" w:line="11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Under the Cornell First License Agreement, we paid Cornell University an upfront payment of approximately $0.15 million and entered into a purchase agreement for approximately $0.6 million of convertible preferred securities. We are obligated to pay Cornell University an annual license maintenance fee ranging from the low four digits to the mid five digits, increasing annually until such time that we are commercially selling a Product. Under the Cornell First License Agreement, we are obligated to pay Cornell University up to $8.4 million for each portfolio upon the achievement of specific clinical and regulatory milestones. We are obligated to pay Cornell University a flat royalty in the mid-single-digits based on net sales of a licensed product in a country, which royalty rate increases by one percent if the licensed product is an orphan drug, subject to a reduction upon the expiration of valid claims in licensed patents and certain reductions for third-party licenses. In addition, in certain specific instances where sales are made by a sublicensee, the royalty rate increases by an amount in the low to mid-single digits. If the royalties are below certain agreed amounts, we are required to pay Cornell University minimum annual royalties ranging from low-six digits to low-seven digits. The royalty term continues for each licensed product on a country-by-country basis beginning on the first commercial sale of such licensed product and ending on the latest of (a) expiration or invalidation of the last valid claim in the licensed patent, (b) the expiration of regulatory exclusivity, and (c) the month of the first commercial launch of a generic equivalent in such country. We are also obligated to pay Cornell University a percentage of sublicensing fees in the low-double digits to mid-double digits.</w:t>
      </w:r>
    </w:p>
    <w:p>
      <w:pPr>
        <w:spacing w:after="0" w:line="10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may terminate the Cornell First License Agreement or any portfolio thereunder at any time upon ninety (90) days’ advance written notice to Cornell University. Cornell University may terminate the Cornell First License Agreement if we commit a material breach and fail to cure such breach within a specified cure period after written notice or if we challenge the validity of a licensed patent. Upon expiration of the royalty term of a given licensed product in a country, the license becomes non-exclusive and royalty-free. Upon termination of the Cornell First License Agreement, all licenses and rights granted by either party will terminate, although we will have a period of time to sell off any remaining licensed product.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license agreement with Cornell University</w:t>
      </w:r>
    </w:p>
    <w:p>
      <w:pPr>
        <w:spacing w:after="0" w:line="14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May 2020, we entered into a second license agreement with Cornell University, or the Cornell Second License Agreement, pursuant to which we obtained a sublicensable, worldwide license under certain patents to make, use, and sell products that are covered by a valid claim of a licensed patent, are based on the transferred IND from Cornell University, use any licensed materials, or are produced using a licensed method, and to practice certain licensed technology, in all cases, for all human and non-human prophylactic and therapeutic uses. In January 2022, we entered into Amendment No. 1 to the Cornell Second License Agreement, whereby we paid Cornell a material transfer fee and a license fee totaling $30,000, and Cornell added certain materials to the list of original materials subject to the Cornell Second License Agreement. In July 2022, we entered into Amendment No. 2 to the Cornell Second License Agreement that updated fees and royalties payable by us under the Cornell Second License Agreement. The technology under the license includes portfolios for CLN2 (Batten disease) and FA, although our license is not restricted by such indications. The license is exclusive with respect to certain patents and non-exclusive with respect to other patents. Additionally, under the Cornell Second License Agreement,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Cornell University assigned to us an IND for the use of AAVrh.10cUhCLN2 to treat children with infantile neuronal ceroid lipofuscinosis (also called CLN2 or Batten disease). Cornell University reserved the rights to publish and disseminate information about inventions included in the licensed technology and licensed patents, and to use, and allow other nonprofit institutions to use, the patents and technology for educational and research purposes.</w:t>
      </w:r>
    </w:p>
    <w:p>
      <w:pPr>
        <w:spacing w:after="0" w:line="11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obligated to diligently proceed with the development, manufacture, and sale of licensed products, to raise certain amounts within specified time frames, to achieve certain development milestones within specified time frames, to meet agreed minimum-spend requirements, and to meet other diligence obligations. If we fail to perform these obligations, Cornell University could terminate the Cornell Second License Agreement in full or in part in specified circumstances, subject to certain rights for us to extend these time frames.</w:t>
      </w:r>
    </w:p>
    <w:p>
      <w:pPr>
        <w:spacing w:after="0" w:line="11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Under the Cornell Second License Agreement, we paid Cornell University an upfront payment of approximately $0.15 million and entered into a purchase agreement for approximately $0.6 million of convertible preferred securities. We are obligated to pay Cornell University an annual license maintenance fee ranging from the low four digits to the mid five digits, increasing annually until such time that we are commercially selling a licensed product. Under the Cornell Second License Agreement, we are obligated to pay Cornell University up to $4.3 million for two portfolios and up to $0.6 million for a third portfolio upon the achievement of specific clinical and regulatory milestones. Upon submitting our IND application for LX2006 to the FDA in the first quarter of 2022, we achieved the first clinical milestone under the Cornell Second License Agreement, and we paid $0.1 million to Cornell University in the second quarter of 2022 in connection with this milestone. We are obligated to pay Cornell University a flat royalty in the mid-single-digits based on net sales of a licensed product in a country, which royalty rate increases by one percent if the licensed product is an orphan drug, subject to a reduction upon the expiration of valid claims in licensed patents and certain reductions for third-party licenses. In addition, in certain specific instances where sales are made by a sublicensee, the royalty rate increases by an amount in the low to mid-single digits. If the royalties are below certain agreed amounts, we are required to pay Cornell University minimum annual royalties ranging from low six digits to low seven digits. The royalty term continues for each licensed product on a country-by-country basis beginning on the first commercial sale of such licensed product and ending on the latest of (a) expiration or invalidation of the last valid claim in the licensed patent, (b) the expiration of regulatory exclusivity, and (c) the month of the first commercial launch of a generic equivalent in such country. We are also obligated to pay Cornell University a percentage of sublicensing fees ranging in the low double digits.</w:t>
      </w:r>
    </w:p>
    <w:p>
      <w:pPr>
        <w:spacing w:after="0" w:line="10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may terminate the Cornell Second License Agreement or any portfolio thereunder at any time upon ninety (90) days’ advance written notice to Cornell University. Cornell University may terminate the Cornell Second License Agreement if we commit a material breach and fail to cure such breach within a specified cure period after written notice or if we challenge the validity of a licensed patent. Upon expiration of the royalty term of a given licensed product in a country, the license becomes non-exclusive and royalty-free. Upon termination of the Cornell Second License Agreement, all licenses and rights granted by either party will terminate, although we will have a period of time to sell off any remaining licensed product.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collaboration agreement with Weill Cornell Medicine</w:t>
      </w:r>
    </w:p>
    <w:p>
      <w:pPr>
        <w:spacing w:after="0" w:line="14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February 2021, we entered into a Research Collaboration Agreement with Cornell University on behalf of Joan &amp; Sanford I. Weill Medical College, or Weill Cornell Medicine, or the Cornell Collaboration Agreement, in connection with the Cornell First License Agreement and the Cornell Second License Agreement entered into in May 2020, collectively, the Cornell License Agreements. In February 2022, we entered into Amendment No. 1 to the Research Collaboration Agreement. The Cornell Collaboration Agreement, as amended, is referred to as the Amended Cornell Collaboration Agreement. Under the Amended Cornell Collaboration Agreement, we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committed to fund scientific research at Weill Cornell Medicine related to the technology licensed to us pursuant to the Cornell License Agreements. Cornell University reserved the rights to publish and disseminate information about the results, excluding any inventions, generated from Cornell University’s investigator’s conduct of the research.</w:t>
      </w:r>
    </w:p>
    <w:p>
      <w:pPr>
        <w:spacing w:after="0" w:line="11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Under the Cornell License Agreements, we committed to provide funding for research projects at Cornell University for a three-year period during the term of the last to expire of the Cornell License Agreements, with a minimum annual funding commitment of $1.0 million. As such, under the terms of the Amended Cornell Collaboration Agreement, we will pay Weill Cornell Medicine at least $3.0 million over the course of three years. With respect to each Weill Cornell Medicine invention and joint invention and related joint results that is either an improvement to, or is dominated by, the patent rights under the Cornell License Agreements or is specifically designed for a licensed product under the Cornell License Agreements, or Improvement, and for which we have made an election to obtain such inventions, the Cornell License Agreements will be amended to include license grants to such Improvements following payment of the relevant amendment fee in the low five digits. With respect to each Weill Cornell Medicine invention and joint invention, and related joint results that are not Improvements, we have the first option to negotiate for a royalty-bearing, worldwide license under such intellectual property to develop, make, have made, use, offer for sale, sell, have sold and import products on commercially reasonable terms.</w:t>
      </w:r>
    </w:p>
    <w:p>
      <w:pPr>
        <w:spacing w:after="0" w:line="9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Amended Cornell Collaboration Agreement will expire, unless earlier terminated, on the expiration of the agreed upon three-year term. Cornell University may terminate the Amended Cornell Collaboration Agreement if we commit a material breach and fail to cure such breach within a specified cure period after written notice. In addition, the Amended Cornell Collaboration Agreement may be terminated by us in the event that the Weill Cornell Medicine Principal Investigator, currently designated as Dr. Crystal, ceases to supervise the research and Weill Cornell Medicine is unable to or declines to find a substitute.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with Adverum</w:t>
      </w:r>
    </w:p>
    <w:p>
      <w:pPr>
        <w:spacing w:after="0" w:line="15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January 2021, we entered into a license agreement with Adverum Biotechnologies, Inc., or Adverum, which we amended in February 2022 pursuant to the First Amendment to the Adverum Agreement, such agreement as amended, the Amended Adverum Agreement. Pursuant to the Amended Adverum Agreement, we obtained an exclusive, sublicensable, worldwide license under certain patents, know-how, and other intellectual property relating to viral vector technology for gene therapy applications for the treatment of FA cardiomyopathy.</w:t>
      </w:r>
    </w:p>
    <w:p>
      <w:pPr>
        <w:spacing w:after="0" w:line="9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are responsible for the development, manufacture, and commercialization of gene therapy products that consist of a specific nucleic acid sequence that is delivered by a specific gene therapy, or the Products. We are obligated to use commercially reasonable efforts to develop, obtain regulatory approval for, and commercialize the Products.</w:t>
      </w:r>
    </w:p>
    <w:p>
      <w:pPr>
        <w:spacing w:after="0" w:line="11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the Amended Adverum Agreement, we paid Adverum a $7.5 million upfront payment. We are obligated to pay Adverum up to $17.5 million upon the achievement of specified development and regulatory milestones, including a $3.5 million development milestone that was achieved in the first quarter of 2023, and up to $49 million in commercialization and sales milestones for the Products. We are obligated to pay Adverum tiered royalties ranging from high single-digits to sub teens based on annual aggregate worldwide net sales of Products, subject to reductions upon the expiration of valid claims in licensed patents and third-party licenses. The royalty term continues for each Product on a country-by-country basis beginning on the first commercial sale of such Product and ending on the latest of (a) expiration of the last valid claim in the licensed patent that covers the manufacture, use, or sale of the Product in such country, (b) the expiration of all regulatory and data exclusivity in such country, and (c) ten years after the first commercial sale of such Product in such country.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Amended Adverum Agreement will expire, unless earlier terminated, on the expiration of the last royalty term for a Product in a particular country. We have the right to terminate the Amended Adverum Agreement at any time upon one-hundred twenty days’ advance written notice to Adverum. In addition, subject to certain conditions, either we or Adverum may terminate the Amended Adverum Agreement upon the insolvency of the other or if the other party commits a material breach of the agreement and fails to cure such breach within a specified cure period after written notice is provided. Additionally, Adverum may terminate the Amended Adverum Agreement if we challenge the validity of any licensed patents. Upon expiration of the Amended Adverum Agreement, the license becomes royalty-free, irrevocable and perpetual. Upon termination of the Amended Adverum Agreement, all licenses, sublicenses, and rights granted by either party will terminate.</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license agreement with the Regents of University of California, San Diego</w:t>
      </w:r>
    </w:p>
    <w:p>
      <w:pPr>
        <w:spacing w:after="0" w:line="14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Stelios, which we acquired in August 2021, is successor-in-interest to ARVC Therapeutics, Inc., or ARVC Therapeutics, under a worldwide license agreement entered into by ARVC Therapeutics and The Regents of The University of California on April 23, 2020, or the UCSD First License Agreement, pursuant to which they obtained a license to certain intellectual property related to gene therapies for ARVC. The UCSD First License Agreement relates to our development efforts for our LX2021 program. Pursuant to the UCSD First License Agreement, we obtained an exclusive, sublicensable, worldwide license under certain patents to make, use, sell, offer for sale and import services, methods, composition and products that incorporate or are developed using any licensed invention or licensed methods, or is covered by a valid claim of a licensed patent, or a Product, in all cases for all diagnostic and therapeutic uses. UCSD reserved the right to practice the relevant invention and licensed patents for educational and research purposes, to publish and disseminate information about the relevant invention and licensed patents, and to allow other nonprofit institutions to use, publish, or disseminate information about the relevant inventions and licensed patents for educational and research purposes.</w:t>
      </w:r>
    </w:p>
    <w:p>
      <w:pPr>
        <w:spacing w:after="0" w:line="9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Under the UCSD First License Agreement, we are obligated to achieve certain development milestones within specified time frames, to use commercially reasonable efforts to diligently develop, manufacture, and sell Products, and to meet agreed minimum-spend requirements. If we fail to perform any of these obligations, UCSD could either terminate the UCSD First License Agreement or convert the exclusive license to a nonexclusive license, subject to certain rights for us to extend these time frames.</w:t>
      </w:r>
    </w:p>
    <w:p>
      <w:pPr>
        <w:spacing w:after="0" w:line="11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UCSD First License Agreement required Stelios to pay one-time up-front non-refundable cash fees of $20,000. We are obligated to pay annual license maintenance fees in the mid-four digits to low-five digits, increasing until such time that we are commercially selling a Product. We are also obligated to pay up to $4.75 million upon the achievement of specific development and commercialization milestones for the first Product and low- to mid-single digit royalties based on aggregate net sales, subject to certain reductions for third-party licenses. The royalty term continues until the expiration of the UCSD First License Agreement. Under the UCSD First License Agreement, if the royalties are below certain agreed amounts, we are required to pay UCSD minimum annual royalties ranging from low- to mid-five digits. We are also obligated to pay UCSD a percentage of sublicensing fees ranging in the low double digits. In the event that we assign the UCSD First License Agreement, we will be obligated to pay an assignment fee that will be determined based on certain aspects of the assignment.</w:t>
      </w:r>
    </w:p>
    <w:p>
      <w:pPr>
        <w:spacing w:after="0" w:line="9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UCSD First License Agreement will expire, unless earlier terminated, on the expiration of the last claim of any licensed patent or patent applications in a particular country. We have the right to terminate the UCSD First License Agreement at any time upon sixty days’ written notice to UCSD. UCSD may terminate the UCSD First License Agreement if we commit a material breach, if we fail to meet certain specified milestones within the prescribed time periods, if we are delinquent on any report or payment or provide an intentionally misleading report, if we fail to diligently develop and commercialize the licensed products, or if we challenge the validity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 licensed patent, in each case only if we fail to cure such problem within a specified cure period after written notice. Upon termination of the UCSD First License Agreement, all licenses and rights granted by UCSD to us will terminate.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license agreement with the Regents of University of California, San Diego</w:t>
      </w:r>
    </w:p>
    <w:p>
      <w:pPr>
        <w:spacing w:after="0" w:line="14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Stelios, which we acquired in August 2021, entered into a worldwide license agreement in August 2020 with The Regents of The University of California, or the UCSD Second License Agreement, pursuant to which they obtained a license to certain intellectual property and materials related to gene therapies for HCM. The UCSD Second License Agreement relates to our development efforts for our LX2022 programs. Pursuant to the UCSD Second License Agreement, we obtained an exclusive, sublicensable, worldwide license under certain patents to make, use, sell, offer for sale and import services, methods, composition and products that incorporate or are developed using any licensed invention or licensed methods or is covered by a valid claim of a licensed patent, or a Product, and a non-exclusive license to use nonpublic technical information, or Technology, in all cases for all diagnostic and therapeutic uses. UCSD reserved the rights to practice the relevant invention, Technology and licensed patents for educational and research purposes, to publish and disseminate information about the relevant invention, Technology and licensed patents, and to allow other nonprofit institutions to use, publish, or disseminate information about the relevant invention, Technology and licensed patents for educational and research purposes.</w:t>
      </w:r>
    </w:p>
    <w:p>
      <w:pPr>
        <w:spacing w:after="0" w:line="11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UCSD Second License Agreement, we are obligated to achieve certain development milestones within specified time frames and to use commercially reasonable efforts to diligently develop, manufacture, and sell Products. If we fail to perform any of these obligations, UCSD could either terminate the UCSD Second License Agreement or convert the exclusive license to a nonexclusive license subject to certain rights for us to extend these time frames.</w:t>
      </w:r>
    </w:p>
    <w:p>
      <w:pPr>
        <w:spacing w:after="0" w:line="11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UCSD Second License Agreement required Stelios to pay one-time up-front non-refundable cash fees of $20,000. We are obligated to pay annual license maintenance fees in the mid-four digits to low-five digits, increasing until such time that we are commercially selling a Product. We are also obligated to pay up to $2.4 million upon the achievement of certain development and commercialization milestones for the first Product and low-single digit royalties based on aggregate net sales, subject to certain reductions for third-party licenses. The royalty term continues until the expiration of the UCSD Second License Agreement. We are also obligated to pay UCSD a percentage of sublicensing fees ranging in the low double digits.</w:t>
      </w:r>
    </w:p>
    <w:p>
      <w:pPr>
        <w:spacing w:after="0" w:line="8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UCSD Second License Agreement will expire, unless earlier terminated, on the expiration of the last claim of any licensed patent or patent applications in a particular country. We have the right to terminate the UCSD Second License Agreement at any time upon sixty days’ written notice to UCSD. UCSD may terminate the UCSD Second License Agreement if we commit a breach, if we fail to meet certain specified milestones within the prescribed time periods, if we are delinquent on any report or payment, if we are not diligently developing or commercializing Products in accordance with our diligence obligations, if we provide any intentionally false report, or if we challenge the validity of a licensed patent, in each case only if we fail to cure such problem within a specified cure period after written notice. In the event that we assign the UCSD Second License Agreement, we will be obligated to pay an assignment fee that will be determined based on the acquisition price. Upon termination of the UCSD Second License Agreement, all licenses and rights granted by UCSD to us will terminate.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Third license agreement with the Regents of University of California, San Diego</w:t>
      </w:r>
    </w:p>
    <w:p>
      <w:pPr>
        <w:spacing w:after="0" w:line="14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October 2021, we entered into a worldwide license agreement with UCSD, or the UCSD Third License Agreement, and collectively with the UCSD First License Agreement and the UCSD Second License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UCSD License Agreements, pursuant to which we obtained a license to materials and intellectual property related to a gene therapy for ARVC. The UCSD Third License Agreement relates to our development efforts for our LX2020 program. Pursuant to the Third UCSD Agreement, we obtained an exclusive, sublicensable, worldwide license under certain patents to make, use, and sell, offer for sale and import services, methods, composition and products that incorporate or are developed using any licensed invention or licensed methods, or is covered by a valid claim of a licensed patent, or a Product, and an exclusive license to use nonpublic technical information, or Technology, in all cases for all diagnostic and therapeutic uses. UCSD reserved the rights to practice the relevant invention, Technology and licensed patents for educational and research purposes, to publish and disseminate information about the relevant invention, Technology and licensed patents, and to allow other nonprofit institutions to use, publish, or disseminate information about the relevant invention, Technology and licensed patents for educational and research purposes.</w:t>
      </w:r>
    </w:p>
    <w:p>
      <w:pPr>
        <w:spacing w:after="0" w:line="9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the UCSD Third License Agreement, we are obligated to achieve certain development milestones within specified time frames, to use commercially reasonable efforts to diligently develop, manufacture, and sell licensed products, and to meet agreed minimum-spend requirements. If we fail to perform any of these obligations, UCSD could either terminate the UCSD Third License Agreement or convert the exclusive license to a nonexclusive license subject to certain rights for us to extend these time frames.</w:t>
      </w:r>
    </w:p>
    <w:p>
      <w:pPr>
        <w:spacing w:after="0" w:line="11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UCSD Third License Agreement required us to pay a one-time up-front non-refundable cash fee of $20,000. We are obligated to pay annual license maintenance fees in the mid-four digits to low-five digits, increasing until such time that we are commercially selling a Product. We are also obligated to pay up to $4.0 million upon the achievement of specified development and commercialization milestones for the first Product and low- to mid-single digit royalties based on aggregate net sales, subject to certain reductions for third-party licenses. The royalty term continues until the expiration of the UCSD Third License Agreement. If the royalties are below certain agreed amounts, we are required to pay UCSD minimum annual royalties ranging from low- to mid-five digits. We are also obligated to pay UCSD a percentage of sublicensing fees ranging in the low double digits.</w:t>
      </w:r>
    </w:p>
    <w:p>
      <w:pPr>
        <w:spacing w:after="0" w:line="8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UCSD Third License Agreement will expire, unless earlier terminated, on the expiration of the last claim of any licensed patent or patent applications in a particular country. We have the right to terminate the UCSD Third License Agreement at any time upon sixty days’ written notice to the UCSD. UCSD may terminate the UCSD Third License Agreement if we commit a material breach, if we fail to meet certain specified milestones within the prescribed time periods, if we are delinquent on any report or payment, if we are not diligently developing or commercializing Products in accordance with our diligence obligations, if we provide any intentionally false report, or if we challenge the validity of a licensed patent, in each case only if we fail to cure such problem within a specified cure period after written notice. In the event that we assign the UCSD Third License Agreement or we undergo a change of control, we will be obligated to pay a flat low-six digit fee or a fee that will be determined based on the acquisition price. Upon termination of the UCSD Third License Agreement, all licenses and rights granted by UCSD to us will terminate.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Sponsored research agreements with the Regents of University of California, San Diego</w:t>
      </w:r>
    </w:p>
    <w:p>
      <w:pPr>
        <w:spacing w:after="0" w:line="144"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In connection with the UCSD Agreements, on December 3, 2021, we entered into a sponsored research agreement with the Regents of UCSD for our LX2020 and LX2021 programs, which was subsequently amended on April 5, 2023, and another sponsored research agreement with the Regents of UCSD for our LX2022 program, which was subsequently amended on April 19, 2023. We refer to these agreements, as amended, as the Amended UCSD SRAs. UCSD reserved the rights to publish and disseminate information about the results generated from UCSD’s investigator’s conduct of the research. The total costs to be invoiced to us under the terms of the Amended UCSD SRAs are approximately $5.0 million. Under the terms of the Amended UCSD SRAs, which have two-year terms, we have the first rights to obtain non-exclusive or exclusive, sublicensable, royalty-bearing,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perpetual and transferable worldwide licenses to any inventions generated by UCSD or UCSD’s interest in any inventions generated jointly by UCSD and us, and we retain the rights to any inventions generated solely by us.</w:t>
      </w:r>
    </w:p>
    <w:p>
      <w:pPr>
        <w:spacing w:after="0" w:line="10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Amended UCSD SRAs will expire, unless earlier terminated, on the expiration of the two-year term. We have the right to terminate the Amended UCSD SRAs at any time upon the giving of thirty (30) days’ written notice to UCSD.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5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Government authorities in the United States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including gene therapies, such as those we are developing. Generally, before a new biologic can be marketed, considerable data demonstrating its quality, safety and efficacy must be obtained, organized into a format specific for each regulatory authority, submitted for review and approved, authorized, or cleared by the applicable regulatory authority.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the United States, biological products are subject to regulation under the U.S. Federal Food, Drug, and Cosmetic Act, or FDCA, and the Public Health Service Act, or PHSA, and their implementing regulations and other federal, state, local and foreign statutes and regulations. Failure to comply with the applicable United States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w:t>
      </w:r>
    </w:p>
    <w:p>
      <w:pPr>
        <w:spacing w:after="0" w:line="11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Our product candidates must be approved by the FDA through the Biologics License Application, or BLA, the process which is required by the FDA before biological product candidates may be marketed in the United States and generally involves the following:</w:t>
      </w:r>
    </w:p>
    <w:p>
      <w:pPr>
        <w:spacing w:after="0" w:line="103" w:lineRule="exact"/>
        <w:rPr>
          <w:sz w:val="20"/>
          <w:szCs w:val="20"/>
          <w:color w:val="auto"/>
        </w:rPr>
      </w:pPr>
    </w:p>
    <w:p>
      <w:pPr>
        <w:ind w:left="340" w:right="480" w:hanging="224"/>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applicable regulations, including the GLP regulations;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157" w:lineRule="exact"/>
        <w:rPr>
          <w:rFonts w:ascii="Arial" w:cs="Arial" w:eastAsia="Arial" w:hAnsi="Arial"/>
          <w:sz w:val="18"/>
          <w:szCs w:val="18"/>
          <w:color w:val="auto"/>
        </w:rPr>
      </w:pPr>
    </w:p>
    <w:p>
      <w:pPr>
        <w:ind w:left="340" w:right="360" w:hanging="224"/>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regulations, cGCPs and other clinical trial-related regulations to establish the safety, purity and potency of the proposed biological product candidate for its intended purpose;</w:t>
      </w:r>
    </w:p>
    <w:p>
      <w:pPr>
        <w:spacing w:after="0" w:line="78" w:lineRule="exact"/>
        <w:rPr>
          <w:rFonts w:ascii="Arial" w:cs="Arial" w:eastAsia="Arial" w:hAnsi="Arial"/>
          <w:sz w:val="17"/>
          <w:szCs w:val="17"/>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that contains sufficient data to demonstrate substantial evidence of effectiveness;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payment of user fees for FDA review of the BLA;</w:t>
      </w:r>
    </w:p>
    <w:p>
      <w:pPr>
        <w:spacing w:after="0" w:line="157" w:lineRule="exact"/>
        <w:rPr>
          <w:rFonts w:ascii="Arial" w:cs="Arial" w:eastAsia="Arial" w:hAnsi="Arial"/>
          <w:sz w:val="18"/>
          <w:szCs w:val="18"/>
          <w:color w:val="auto"/>
        </w:rPr>
      </w:pPr>
    </w:p>
    <w:p>
      <w:pPr>
        <w:ind w:left="340" w:hanging="224"/>
        <w:spacing w:after="0" w:line="286"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satisfactory completion of an FDA pre-license inspection of the manufacturing facility or facilities at which the proposed product will be produced to assess compliance with cGMPs and to assure that the facilities, methods and controls are adequate to ensure and preserve the biological product’s identity, strength, quality and purity, and of selected clinical investigation sites to assess compliance with the cGCPs;</w:t>
      </w:r>
    </w:p>
    <w:p>
      <w:pPr>
        <w:spacing w:after="0" w:line="97" w:lineRule="exact"/>
        <w:rPr>
          <w:rFonts w:ascii="Arial" w:cs="Arial" w:eastAsia="Arial" w:hAnsi="Arial"/>
          <w:sz w:val="17"/>
          <w:szCs w:val="17"/>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7" w:lineRule="exact"/>
        <w:rPr>
          <w:rFonts w:ascii="Arial" w:cs="Arial" w:eastAsia="Arial" w:hAnsi="Arial"/>
          <w:sz w:val="18"/>
          <w:szCs w:val="18"/>
          <w:color w:val="auto"/>
        </w:rPr>
      </w:pPr>
    </w:p>
    <w:p>
      <w:pPr>
        <w:ind w:left="340" w:right="400" w:hanging="224"/>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FDA review and approval, or licensure, of a BLA to permit commercial marketing of the product for particular indications for use in the United States.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4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Prior to beginning the first clinical trial with a product candidate, the product candidate must undergo rigorous preclinical testing. Preclinical studies include laboratory evaluation of product chemistry and formulation,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a rationale for therapeutic use. The conduct of preclinical studies is subject to federal and state regulations and requirements, including GLP regulations for safety/toxicology studies.</w:t>
      </w:r>
    </w:p>
    <w:p>
      <w:pPr>
        <w:spacing w:after="0" w:line="11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 xml:space="preserve">An IND sponsor must submit the results of the preclinical tests, together with manufacturing information, analytical data, any available clinical data or literature and plans for clinical trials, among other things, to the FDA as part of an IND application to the FDA. An IND application is a request for authorization from the FDA to administer an investigational new drug product to humans. The central focus of an IND submission is on the general investigational plan and the protocol or protocols for preclinical studies and clinical trials. The IND application also includes results of animal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studies assessing the toxicology, pharmacokinetics, pharmacology and pharmacodynamic characteristics of the product, chemistry,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controls information, and any available human data or literature to support the use of the investigational product. An IND application must become effective before human clinical trials may begin. The IND application automatically becomes effective 30 days after receipt by the FDA, unless the FDA, within the 30-day period, raises concerns or questions about the proposed clinical trial. In such a case, the IND application may be placed on clinical hold and the IND sponsor and the FDA must resolve any outstanding concerns or questions before the clinical trial can begin. Submission of an IND application therefore may or may not result in FDA authorization to begin a clinical trial. Additionally, the review of information in an IND submission may prompt FDA to, among other things, scrutinize existing INDs and could generate requests for information or clinical holds on other product candidates or programs.</w:t>
      </w:r>
    </w:p>
    <w:p>
      <w:pPr>
        <w:spacing w:after="0" w:line="11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generally physicians not employed by or under the sponsor’s control, in accordance with cGCPs, which include the requirement that all research subjects provide their informed consent for their participation in any clinical study. Clinical trials are conducted under protocols detailing, among other things, the objectives of the trial, dosing procedures, subject selection and exclusion criteria and the parameters to be used in monitoring safety and the effectiveness criteria to be evaluated. A separate submission to the existing IND application must be made for each successive clinical protocol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to ensure that the risks to individuals participating in the clinical trial are minimized and are reasonable in relation to anticipated benefits.</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application. If a foreign clinical trial is not conducted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an IND application, the sponsor may submit data from the clinical trial to the FDA in support of a BLA. The FDA will accept a well-designed and well-conducted foreign clinical trial not conducted under an IND application if the foreign data are applicable to the United States population and medical practice, the trial was performed by clinical investigators of recognized competence, the trial was conducted in accordance with cGCP requirements, and the data may be considered valid without the need for an on-site inspection by the FDA or the FDA is able to validate the data through an onsite inspection if deemed necessary.</w:t>
      </w:r>
    </w:p>
    <w:p>
      <w:pPr>
        <w:spacing w:after="0" w:line="12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For purposes of BLA approval of a product candidate, human clinical trials are typically conducted in three sequential phases that may overlap or be combined:</w:t>
      </w:r>
    </w:p>
    <w:p>
      <w:pPr>
        <w:spacing w:after="0" w:line="103" w:lineRule="exact"/>
        <w:rPr>
          <w:sz w:val="20"/>
          <w:szCs w:val="20"/>
          <w:color w:val="auto"/>
        </w:rPr>
      </w:pPr>
    </w:p>
    <w:p>
      <w:pPr>
        <w:ind w:left="340" w:right="280" w:hanging="224"/>
        <w:spacing w:after="0" w:line="286"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For gene therapies in general, the investigational product is initially introduced into patients with the target disease or condition.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7" w:lineRule="exact"/>
        <w:rPr>
          <w:rFonts w:ascii="Arial" w:cs="Arial" w:eastAsia="Arial" w:hAnsi="Arial"/>
          <w:sz w:val="17"/>
          <w:szCs w:val="17"/>
          <w:color w:val="auto"/>
        </w:rPr>
      </w:pPr>
    </w:p>
    <w:p>
      <w:pPr>
        <w:ind w:left="340" w:right="120" w:hanging="224"/>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investigational product is administered to a limited patient population to evaluate the preliminary efficacy, optimal dosages and dosing</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and to identify possible adverse side effects and safety risks.</w:t>
      </w:r>
    </w:p>
    <w:p>
      <w:pPr>
        <w:spacing w:after="0" w:line="102" w:lineRule="exact"/>
        <w:rPr>
          <w:rFonts w:ascii="Arial" w:cs="Arial" w:eastAsia="Arial" w:hAnsi="Arial"/>
          <w:sz w:val="18"/>
          <w:szCs w:val="18"/>
          <w:color w:val="auto"/>
        </w:rPr>
      </w:pPr>
    </w:p>
    <w:p>
      <w:pPr>
        <w:ind w:left="340" w:right="120" w:hanging="224"/>
        <w:spacing w:after="0" w:line="311"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The investigational product is administered to an expanded patient population to further evaluate dosage, to provide statistically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these phases overlap or are combined, the trials may be referred to as Phase 1/2 or Phase 2/3.</w:t>
      </w:r>
    </w:p>
    <w:p>
      <w:pPr>
        <w:spacing w:after="0" w:line="14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potency,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1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Written IND safety reports must be promptly submitted to the FDA and the investigators for serious, unexpected and suspected adverse events, any findings from other studies, tests in laboratory animals or in vitro testing that suggest a significant risk for human subjects, or any clinically important increase in the rate of a serious, and unexpected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Some studies also include oversight by an independent group of qualified experts organized by the clinical study sponsor, known as a data safety monitoring board, which provides authorization for whether or not a study may move forward at designated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 xml:space="preserve">checkpoints based on access to certain data from the study and may recommend halting the clinical trial if it determines that there is an unacceptable safety risk for subjects or other grounds, such as no demonstration of efficacy.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t>
      </w:r>
      <w:r>
        <w:rPr>
          <w:rFonts w:ascii="Arial" w:cs="Arial" w:eastAsia="Arial" w:hAnsi="Arial"/>
          <w:sz w:val="17"/>
          <w:szCs w:val="17"/>
          <w:i w:val="1"/>
          <w:iCs w:val="1"/>
          <w:color w:val="auto"/>
        </w:rPr>
        <w:t>www.clinicaltrials.gov</w:t>
      </w:r>
      <w:r>
        <w:rPr>
          <w:rFonts w:ascii="Arial" w:cs="Arial" w:eastAsia="Arial" w:hAnsi="Arial"/>
          <w:sz w:val="17"/>
          <w:szCs w:val="17"/>
          <w:color w:val="auto"/>
        </w:rPr>
        <w: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44"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preclinical studies and clinical trials are submitted to the FDA as part of a BLA requesting approval to market the product for one or more indications. FDA approval of a BLA must be obtained before a biologic may be marketed in the United States.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No user fees are assessed on BLAs for products designated as orphan drugs, unless the product also includes a non-orphan indication. The FDA reviews all submitted BLAs before it accepts them for filing, and may request additional information rather than accepting the BLA for filing. The FDA has sixty days from the applicant’s submission of a BLA to either issue a refusal to file letter or accept the BLA for filing, indicating that it is sufficiently complete to permit substantive review.</w:t>
      </w:r>
    </w:p>
    <w:p>
      <w:pPr>
        <w:spacing w:after="0" w:line="9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ensure and preserve the product’s identity, safety, strength, quality, potency and purity. The FDA may convene an advisory committee, typically a panel that includes clinicians and other experts, to provide clinical insight on applications for novel products or products which present difficult questions of safety or efficacy. The advisory committee will provide a recommendation as to whether the application should be approved and under what conditions, if any. The FDA is not bound by the recommendations of an advisory committee, but it considers such recommendations when making decisions on approval.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1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preclinical studies or clinical trials or additional manufacturing activities. If a Complete Response Letter is issued, the applicant may either resubmit the BLA, addressing all of the deficiencies identified in the letter, or withdraw the application or request an opportunity for a hearing. The FDA may delay or refuse approval of a BLA if applicable regulatory criteria are not satisfied, require additional testing or information and/or require post-marketing testing and surveillance to monitor the safety or efficacy of a product.</w:t>
      </w:r>
    </w:p>
    <w:p>
      <w:pPr>
        <w:spacing w:after="0" w:line="9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5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FDA offers a number of expedited development and reviews programs for qualifying product candidates. The Fast Track program is intended to expedite or facilitate the process for developing new products that meet certain criteria. Specifically,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designated product candidate has opportunities for frequent interactions with the FDA review team during product development and, once a BLA is submitted, the product candidate may be eligible for priority review. A Fast Track designated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sponsor can request the FDA to designate the product candidate for Fast Track status any time before receiving BLA approval, but ideally no later than the pre-BLA meeting.</w:t>
      </w:r>
    </w:p>
    <w:p>
      <w:pPr>
        <w:spacing w:after="0" w:line="11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may receive Breakthrough Therapy designation if preliminary clinical evidence indicates that the product candidate, alone or in combination with one or more other drugs or biologics, may demonstrate substantial improvement over available therapies on one or more clinically significant endpoints, such as substantial treatment effects observed early in clinical development. The designation includes all of the Fast Track program features, as well as more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intensive FDA interaction and guidance beginning as early as Phase 1 and an organizational commitment to expedite the development and review of the product candidate, including involvement of senior managers.</w:t>
      </w:r>
    </w:p>
    <w:p>
      <w:pPr>
        <w:spacing w:after="0" w:line="10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part of the 21st Century Cures Act, Congress amended the FDCA to facilitate an efficient development program for, and expedite review of regenerative medicine therapies, which include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A product candidate may be eligible for regenerative medicine therapy, or RMAT, designation if it meets the following criteria: (1) it is a regenerative medicine therapy; (2) it is intended to treat, modify, reverse, or cure a serious or life-threatening disease or condition; and (3) preliminary clinical evidence indicates that it has the potential to address unmet medical needs for such a disease or condition. A sponsor may request that the FDA designate a product candidate as an RMAT concurrently with or at any time after the submission of an IND. A BLA for a product candidate that has received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product candidate with RMAT designation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 product is eligible for priority review if it is designed to treat a serious or life threatening disease or condition and, if approved, would provide a significant improvement in safety and effectiveness compared to available therapies. For original BLAs, priority review designation means the FDA’s goal is to take action on the marketing application within six months of the 60-day filing date.</w:t>
      </w:r>
    </w:p>
    <w:p>
      <w:pPr>
        <w:spacing w:after="0" w:line="95"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Additionally, a product candidate may be eligible for accelerated approval if it is designed to treat a serious or life-threatening disease or condition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with due diligence to verify and describe the anticipated effect on irreversible morbidity or mortality or other clinical benefit. The FDA may withdraw approval of a product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pre-approval of all advertising and promotional materials intended for dissemination or publication, which could adversely impact the timing of the commercial launch of the product.</w:t>
      </w:r>
    </w:p>
    <w:p>
      <w:pPr>
        <w:spacing w:after="0" w:line="11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Fast Track designation, Breakthrough Therapy designation, RMAT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5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Under the Orphan Drug Act,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w:t>
      </w:r>
    </w:p>
    <w:p>
      <w:pPr>
        <w:spacing w:after="0" w:line="9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9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4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FDCA, as amended, the FDA incentivizes the development of product candidates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A sponsor may request Rare Pediatric Disease designation from the FDA prior to the submission of its BLA. A Rare Pediatric Disease designation does not guarantee that a sponsor will receive a priority review voucher, or PRV, upon approval of its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September 30, 2026.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58"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Under the Pediatric Research Equity Act, or PREA, certain BLAs and certain supplements to a BLA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the submission of pediatric data or full or partial waivers. The Food and Drug Administration Safety and Innovation Act, or FDASIA, amended the FDCA to require that a sponsor who is planning to submit a marketing application for a product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A biological product can also obtain pediatric market exclusivity in the United States. Pediatric exclusivity, if granted, adds six months to existing exclusivity periods. This six-month exclusivity, which runs from the end of other exclusivity protection, may be granted based on the voluntary completion of a pediatric study in accordance with an FDA-issued “Written Request” for such a study.</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5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09" w:lineRule="exact"/>
        <w:rPr>
          <w:sz w:val="20"/>
          <w:szCs w:val="20"/>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57" w:lineRule="exact"/>
        <w:rPr>
          <w:rFonts w:ascii="Arial" w:cs="Arial" w:eastAsia="Arial" w:hAnsi="Arial"/>
          <w:sz w:val="18"/>
          <w:szCs w:val="18"/>
          <w:color w:val="auto"/>
        </w:rPr>
      </w:pPr>
    </w:p>
    <w:p>
      <w:pPr>
        <w:ind w:left="340" w:right="660" w:hanging="224"/>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57" w:lineRule="exact"/>
        <w:rPr>
          <w:rFonts w:ascii="Arial" w:cs="Arial" w:eastAsia="Arial" w:hAnsi="Arial"/>
          <w:sz w:val="18"/>
          <w:szCs w:val="18"/>
          <w:color w:val="auto"/>
        </w:rPr>
      </w:pPr>
    </w:p>
    <w:p>
      <w:pPr>
        <w:ind w:left="340" w:right="780" w:hanging="224"/>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5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ACA includes a subtitle called the Biologics Price Competition and Innovation Act, or BPCIA, which created an abbreviated approval pathway for biologics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119"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the implementation of the abbreviated approval pathway that are still being worked out by the FDA.</w:t>
      </w:r>
    </w:p>
    <w:p>
      <w:pPr>
        <w:spacing w:after="0" w:line="12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1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and implementation of the BPCIA are subject to significant uncertainty.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5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If the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According to the guidance, for novel candidates, a companion diagnostic device and its corresponding therapeutic should be approved or cleared contemporaneously by the FDA for the use indicated in the therapeutic product’s labeling. Once cleared or approved, the companion diagnostic must adhere to post-marketing requirements including the requirements of FDA’s quality system regulation, medical device reporting, recalls and corrections along with product marketing requirements and limitations. Companion diagnostic manufacturers are subject to unannounced FDA inspections at any time during which the FDA will conduct an audit of the product(s) and the company’s facilities for compliance with its authorities.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5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5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particularly once they have a commercialized product that is reimbursable by third-party payor programs. Such laws include, without limitation: the U.S. federal Anti-Kickback Statute, the civil False Claims Act, the federal Health Insurance Portability and Accountability Act of 1996, or HIPAA, and similar foreign, federal and state fraud and abuse, transparency and privacy laws.</w:t>
      </w:r>
    </w:p>
    <w:p>
      <w:pPr>
        <w:spacing w:after="0" w:line="90" w:lineRule="exact"/>
        <w:rPr>
          <w:sz w:val="20"/>
          <w:szCs w:val="20"/>
          <w:color w:val="auto"/>
        </w:rPr>
      </w:pPr>
    </w:p>
    <w:p>
      <w:pPr>
        <w:ind w:left="340" w:hanging="224"/>
        <w:spacing w:after="0" w:line="269"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a claim including items or services resulting from a violation of the U.S. federal Anti-Kickback Statute constitutes a false or fraudulent claim for purposes of the civil False Claims Act.</w:t>
      </w:r>
    </w:p>
    <w:p>
      <w:pPr>
        <w:spacing w:after="0" w:line="114" w:lineRule="exact"/>
        <w:rPr>
          <w:rFonts w:ascii="Arial" w:cs="Arial" w:eastAsia="Arial" w:hAnsi="Arial"/>
          <w:sz w:val="17"/>
          <w:szCs w:val="17"/>
          <w:color w:val="auto"/>
        </w:rPr>
      </w:pPr>
    </w:p>
    <w:p>
      <w:pPr>
        <w:ind w:left="340" w:right="100" w:hanging="224"/>
        <w:spacing w:after="0" w:line="296"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93" w:lineRule="exact"/>
        <w:rPr>
          <w:rFonts w:ascii="Arial" w:cs="Arial" w:eastAsia="Arial" w:hAnsi="Arial"/>
          <w:sz w:val="16"/>
          <w:szCs w:val="16"/>
          <w:color w:val="auto"/>
        </w:rPr>
      </w:pPr>
    </w:p>
    <w:p>
      <w:pPr>
        <w:ind w:left="340" w:right="80" w:hanging="224"/>
        <w:spacing w:after="0" w:line="293"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can be found guilty of violating HIPAA without actual knowledge of the statute or specific intent to violate it.</w:t>
      </w:r>
    </w:p>
    <w:p>
      <w:pPr>
        <w:spacing w:after="0" w:line="96" w:lineRule="exact"/>
        <w:rPr>
          <w:rFonts w:ascii="Arial" w:cs="Arial" w:eastAsia="Arial" w:hAnsi="Arial"/>
          <w:sz w:val="16"/>
          <w:szCs w:val="16"/>
          <w:color w:val="auto"/>
        </w:rPr>
      </w:pPr>
    </w:p>
    <w:p>
      <w:pPr>
        <w:ind w:left="340" w:right="240" w:hanging="224"/>
        <w:spacing w:after="0" w:line="293"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courts to enforce the federal HIPAA laws and seek attorneys’ fees and costs associated with pursuing federal civil actions.</w:t>
      </w:r>
    </w:p>
    <w:p>
      <w:pPr>
        <w:spacing w:after="0" w:line="158" w:lineRule="exact"/>
        <w:rPr>
          <w:sz w:val="20"/>
          <w:szCs w:val="20"/>
          <w:color w:val="auto"/>
        </w:rPr>
      </w:pPr>
    </w:p>
    <w:p>
      <w:pPr>
        <w:ind w:left="340" w:right="60" w:hanging="224"/>
        <w:spacing w:after="0" w:line="29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and Medicaid Services, or CMS, information related to payments or other transfers of value made to physicians (defined to include doctors, dentists, optometrists, podiatrists and chiropractors), certain other licensed healthcare professionals (such as physician assistants and nurse practitioners), and teaching hospitals, as well as ownership and investment interests held by physicians and their immediate family members.</w:t>
      </w:r>
    </w:p>
    <w:p>
      <w:pPr>
        <w:spacing w:after="0" w:line="9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may also be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product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5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in the future.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11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example, the FDA recently approved a monoclonal antibody treatment for Alzheimer’s disease, aducanumab (Aduhelm), which is the first Alzheimer’s disease drug to be approved in nearly 20 years. On April 7, 2022, CMS released a national coverage determination for FDA-approved monoclonal antibodies directed against amyloid for the treatment of Alzheimer’s disease, including aducanumab (Aduhelm). Further, on January 6, 2023, CMS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announced that this coverage determination also applies to lecanemab (Leqembi). Nevertheless, it is possible that CMS may not approve Medicare coverage and reimbursement for any of our product candidates for treatment of Alzheimer’s disease, once approved.</w:t>
      </w:r>
    </w:p>
    <w:p>
      <w:pPr>
        <w:spacing w:after="0" w:line="7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Furthermore, it is possible that one or more of our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11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03"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cost-effectiveness of pharmaceutical or biologics,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 party not to cover a product could reduce physician usage and patient demand for the product.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1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Healthcare reform</w:t>
      </w:r>
    </w:p>
    <w:p>
      <w:pPr>
        <w:spacing w:after="0" w:line="13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9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ACA, which was enacted in 2010, substantially changed the way healthcare is financed by both governmental and private insurers in the United States, and significantly affected the pharmaceutical industry. In addition, other legislative and regulatory changes have been proposed and adopted in the United States since the ACA was enacted:</w:t>
      </w:r>
    </w:p>
    <w:p>
      <w:pPr>
        <w:spacing w:after="0" w:line="116" w:lineRule="exact"/>
        <w:rPr>
          <w:sz w:val="20"/>
          <w:szCs w:val="20"/>
          <w:color w:val="auto"/>
        </w:rPr>
      </w:pPr>
    </w:p>
    <w:p>
      <w:pPr>
        <w:ind w:left="340" w:right="100" w:hanging="224"/>
        <w:spacing w:after="0" w:line="255"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Budget Control Act of 2011 and subsequent legislation, among other things, created measures for spending reductions by Congress that include aggregate reductions of Medicare payments to providers of 2% per fiscal year, which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w:t>
      </w:r>
    </w:p>
    <w:p>
      <w:pPr>
        <w:spacing w:after="0" w:line="124" w:lineRule="exact"/>
        <w:rPr>
          <w:rFonts w:ascii="Arial" w:cs="Arial" w:eastAsia="Arial" w:hAnsi="Arial"/>
          <w:sz w:val="18"/>
          <w:szCs w:val="18"/>
          <w:color w:val="auto"/>
        </w:rPr>
      </w:pPr>
    </w:p>
    <w:p>
      <w:pPr>
        <w:ind w:left="340" w:right="20" w:hanging="224"/>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56" w:lineRule="exact"/>
        <w:rPr>
          <w:rFonts w:ascii="Arial" w:cs="Arial" w:eastAsia="Arial" w:hAnsi="Arial"/>
          <w:sz w:val="16"/>
          <w:szCs w:val="16"/>
          <w:color w:val="auto"/>
        </w:rPr>
      </w:pPr>
    </w:p>
    <w:p>
      <w:pPr>
        <w:ind w:left="340" w:right="580" w:hanging="224"/>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0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Additionally, there has been heightened governmental scrutiny over the manner in which manufacturers set prices for their marketed products, which has resulted in several U.S. presidential executive orders, Congressional inquiries and proposed and enacted federal legislation designed to, among other things, bring more transparency to drug pricing, reduce the cost of prescription drugs under Medicare, and review the relationship between pricing and manufacturer patient programs.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The IRA permits HHS to implement many of these provisions through guidance, as opposed to regulation, for the initial years. These provisions will take effect progressively starting in fiscal year 2023, although they may be subject to legal challenges. HHS has and will continue to issue and update guidance as these programs are implemented. Further, under the IRA, orphan drugs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It is currently unclear how the IRA will be implemented but is likely to have a significant impact on the pharmaceutical industry.</w:t>
      </w:r>
    </w:p>
    <w:p>
      <w:pPr>
        <w:spacing w:after="0" w:line="11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25"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5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January 2022, we entered into a lease agreement for our New York headquarters located at 345 Park Avenue South, 6th Floor, New York, NY 10010, pursuant to which we lease a total of approximately 15,839 square feet of office and laboratory space used for our research and development, general and administrative, and other activities. This lease agreement began in April 2022 and expires in July 2029 with an additional five-year option to extend at the then prevailing effective market rental rate. We believe that our new facilities are sufficient to meet our current needs and that suitable additional space will be available as and when needed.</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 and human capital resources</w:t>
      </w:r>
    </w:p>
    <w:p>
      <w:pPr>
        <w:spacing w:after="0" w:line="15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of September 19, 2023, we had 53 full-time employees. Of our 53 full-time employees, 41 are engaged in research and development activities. None of our employees are represented by labor unions or covered by collective bargaining agreements. We consider our relationship with our employees to be good.</w:t>
      </w:r>
    </w:p>
    <w:p>
      <w:pPr>
        <w:spacing w:after="0" w:line="103"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employees. We believe our success depends on our ability to attract, retain, develop and motivate diverse highly skilled personnel. In particular, we depend upon the personal efforts and abilities of the principal members of our senior management to partner effectively as a team, and to provide strategic direction, develop our business, manage our operations and maintain a cohesive and stable work environment. We also rely on qualified managers and skilled employees, such as scientists, medical professionals, engineers and laboratory technicians, with technical expertise in operations, scientific knowledge, engineering skills and quality management experience in order to operate our business successfully.</w:t>
      </w:r>
    </w:p>
    <w:p>
      <w:pPr>
        <w:spacing w:after="0" w:line="11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compensation program is designed to retain, motivate and, as needed, attract highly qualified employees. Accordingly, we use a mix of competitive base salary, performance-based equity compensation awards and other employee benefits.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52"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On October 12, 2023, Rocket Pharmaceuticals, Inc. filed a lawsuit against Lexeo and two individuals claiming,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among other things, misappropriation of confidential information and trade secrets. The individual defendants are a current employee and a former employee of Lexeo’s analytical development team, both of whom were employed at Rocket before joining Lexeo in 2021. The complaint alleges the individual defendants downloaded confidential Rocket company documents and other proprietary materials prior to leaving Rocket in 2021 and that Lexeo used this information to advance its programs. The complaint seeks unspecified damages and asks the Court to enjoin Lexeo from competing and working in the market for gene therapy treatments targeting cardiac diseases. We retained legal counsel to assist with our ongoing review of the allegations in Rocket’s complaint and are confident in our defenses to the allegations. We intend to defend this litigation vigorously, and while it is not possible to predict the outcome with certainty, we currently do not expect the final outcome will have a material adverse effect on our timelines for development of our product candidates. Regardless of the final outcome, litigation can have an adverse impact on us due to defense and settlement costs, diversion of management resources, harm to our reputation and other factors.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Management</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40" w:type="dxa"/>
            <w:vAlign w:val="bottom"/>
            <w:gridSpan w:val="2"/>
          </w:tcPr>
          <w:p>
            <w:pPr>
              <w:spacing w:after="0"/>
              <w:rPr>
                <w:sz w:val="20"/>
                <w:szCs w:val="20"/>
                <w:color w:val="auto"/>
              </w:rPr>
            </w:pPr>
            <w:r>
              <w:rPr>
                <w:rFonts w:ascii="Arial" w:cs="Arial" w:eastAsia="Arial" w:hAnsi="Arial"/>
                <w:sz w:val="16"/>
                <w:szCs w:val="16"/>
                <w:b w:val="1"/>
                <w:bCs w:val="1"/>
                <w:color w:val="auto"/>
              </w:rPr>
              <w:t>Age</w:t>
            </w:r>
          </w:p>
        </w:tc>
        <w:tc>
          <w:tcPr>
            <w:tcW w:w="5480" w:type="dxa"/>
            <w:vAlign w:val="bottom"/>
          </w:tcPr>
          <w:p>
            <w:pPr>
              <w:ind w:left="4740"/>
              <w:spacing w:after="0"/>
              <w:rPr>
                <w:sz w:val="20"/>
                <w:szCs w:val="20"/>
                <w:color w:val="auto"/>
              </w:rPr>
            </w:pPr>
            <w:r>
              <w:rPr>
                <w:rFonts w:ascii="Arial" w:cs="Arial" w:eastAsia="Arial" w:hAnsi="Arial"/>
                <w:sz w:val="16"/>
                <w:szCs w:val="16"/>
                <w:b w:val="1"/>
                <w:bCs w:val="1"/>
                <w:color w:val="auto"/>
                <w:w w:val="87"/>
              </w:rPr>
              <w:t>Position(s)</w:t>
            </w:r>
          </w:p>
        </w:tc>
      </w:tr>
      <w:tr>
        <w:trPr>
          <w:trHeight w:val="213"/>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 Nolan Townsend</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Adler, M.D.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Paul McCormac, Ph.D.</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Technical Officer</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Jenny R. Robertson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Legal and Administrative Officer</w:t>
            </w:r>
          </w:p>
        </w:tc>
      </w:tr>
      <w:tr>
        <w:trPr>
          <w:trHeight w:val="28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Altschuler, M.D.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Mette Kirstine Agger</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Paula HJ Cholmondeley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Brenda Cooperstone, M.D.</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Davitian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Reinaldo Diaz</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w:t>
      </w:r>
    </w:p>
    <w:p>
      <w:pPr>
        <w:spacing w:after="0" w:line="152" w:lineRule="exact"/>
        <w:rPr>
          <w:sz w:val="20"/>
          <w:szCs w:val="20"/>
          <w:color w:val="auto"/>
        </w:rPr>
      </w:pPr>
    </w:p>
    <w:p>
      <w:pPr>
        <w:ind w:left="120" w:right="180"/>
        <w:spacing w:after="0" w:line="284" w:lineRule="auto"/>
        <w:rPr>
          <w:sz w:val="20"/>
          <w:szCs w:val="20"/>
          <w:color w:val="auto"/>
        </w:rPr>
      </w:pPr>
      <w:r>
        <w:rPr>
          <w:rFonts w:ascii="Arial" w:cs="Arial" w:eastAsia="Arial" w:hAnsi="Arial"/>
          <w:sz w:val="16"/>
          <w:szCs w:val="16"/>
          <w:b w:val="1"/>
          <w:bCs w:val="1"/>
          <w:i w:val="1"/>
          <w:iCs w:val="1"/>
          <w:color w:val="auto"/>
        </w:rPr>
        <w:t xml:space="preserve">R. Nolan Townsend </w:t>
      </w:r>
      <w:r>
        <w:rPr>
          <w:rFonts w:ascii="Arial" w:cs="Arial" w:eastAsia="Arial" w:hAnsi="Arial"/>
          <w:sz w:val="16"/>
          <w:szCs w:val="16"/>
          <w:color w:val="auto"/>
        </w:rPr>
        <w:t>has served as our Chief Executive Officer and as a member of our board of directors since January 2020. Before joining Lexeo,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Townsend was at Pfizer Inc., a global pharmaceutical company, from 2008 to December 2019, where he held several roles of increasing responsibility. Most recently, he served as President, Pfizer Rare Disease for the North America region. In that role, Mr. Townsend was responsible for overseeing the division’s overall strategy, cross functional organization and operating budget. Mr. Townsend received a B.A. in Economics from the University of Pennsylvania and an M.B.A. from the Harvard Business School. Our board of directors believes Mr. Townsend is qualified to serve as a director because of his role as our Chief Executive Officer and his experience as an executive in the biopharmaceutical industry.</w:t>
      </w:r>
    </w:p>
    <w:p>
      <w:pPr>
        <w:spacing w:after="0" w:line="4"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b w:val="1"/>
          <w:bCs w:val="1"/>
          <w:i w:val="1"/>
          <w:iCs w:val="1"/>
          <w:color w:val="auto"/>
        </w:rPr>
        <w:t xml:space="preserve">Eric Adler, M.D. </w:t>
      </w:r>
      <w:r>
        <w:rPr>
          <w:rFonts w:ascii="Arial" w:cs="Arial" w:eastAsia="Arial" w:hAnsi="Arial"/>
          <w:sz w:val="17"/>
          <w:szCs w:val="17"/>
          <w:color w:val="auto"/>
        </w:rPr>
        <w:t>has served as our Chief Scientific Officer since August 2022. Before joining Lexeo and since July 2011, Dr. Adler has worked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University of California, San Diego, or UCSD, where he now serves as Professor and Section Head of Heart Failure. He is also the Director of the Strauss Center for Cardiomyopathy and Czarina M. and Humberto S. Lopez Endowed Chair in Cardiology at UCSD. His work has led to the development of a novel investigational gene therapy for Danon disease, which is currently in Phase 1 clinical development. Dr. Adler’s research is focused on the study and treatment of cardiomyopathy and he has published over 100 papers in peer-reviewed journals on the topic. He is currently an associate editor of </w:t>
      </w:r>
      <w:r>
        <w:rPr>
          <w:rFonts w:ascii="Arial" w:cs="Arial" w:eastAsia="Arial" w:hAnsi="Arial"/>
          <w:sz w:val="17"/>
          <w:szCs w:val="17"/>
          <w:i w:val="1"/>
          <w:iCs w:val="1"/>
          <w:color w:val="auto"/>
        </w:rPr>
        <w:t>Circulation Heart Failure</w:t>
      </w:r>
      <w:r>
        <w:rPr>
          <w:rFonts w:ascii="Arial" w:cs="Arial" w:eastAsia="Arial" w:hAnsi="Arial"/>
          <w:sz w:val="17"/>
          <w:szCs w:val="17"/>
          <w:color w:val="auto"/>
        </w:rPr>
        <w:t>, and he has served on leadership, grant review, and guideline committees for the American Heart Association, the Heart Failure Society of America, the International Society of Heart and Lung Transplant, and the National Institute of Health. Dr. Adler also performs clinical research on heart failure and has been a principal investigator in numerous cardiovascular clinical trials. Dr. Adler received a B.A. in English from Northwestern University and an M.D. from the Boston University School of Medicine.</w:t>
      </w:r>
    </w:p>
    <w:p>
      <w:pPr>
        <w:spacing w:after="0" w:line="10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 xml:space="preserve">Paul McCormac, Ph.D. </w:t>
      </w:r>
      <w:r>
        <w:rPr>
          <w:rFonts w:ascii="Arial" w:cs="Arial" w:eastAsia="Arial" w:hAnsi="Arial"/>
          <w:sz w:val="16"/>
          <w:szCs w:val="16"/>
          <w:color w:val="auto"/>
        </w:rPr>
        <w:t>has served as our Chief Technical Officer since December 2021, prior to this he served as our Senior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Technical Operations since March 2021. Before joining Lexeo, Dr. McCormac was an Executive Director, Medicinal Sciences Category Lead for Pfizer Rare Disease, a unit of Pfizer, Inc., a global pharmaceutical company, from October 2016 until March 2021. In that role, he managed chemistry,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manufacturing, and controls, or CMC, for product development with a focus on Pfizer’s gene therapy CMC strategy. Prior to this, he served as Director/Team Leader for Pfizer’s Bio-Manufacturing Sciences group from November 2008 until October 2016. Dr. McCormac received a B.S. in Analytical Science and a Ph.D. in Organic Chemistry from Dublin City University and completed a post-doctoral fellowship at Queen’s University Belfast.</w:t>
      </w:r>
    </w:p>
    <w:p>
      <w:pPr>
        <w:spacing w:after="0" w:line="11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b w:val="1"/>
          <w:bCs w:val="1"/>
          <w:i w:val="1"/>
          <w:iCs w:val="1"/>
          <w:color w:val="auto"/>
        </w:rPr>
        <w:t>Jenny R. Robertson, J.D.</w:t>
      </w:r>
      <w:r>
        <w:rPr>
          <w:rFonts w:ascii="Arial" w:cs="Arial" w:eastAsia="Arial" w:hAnsi="Arial"/>
          <w:sz w:val="18"/>
          <w:szCs w:val="18"/>
          <w:color w:val="auto"/>
        </w:rPr>
        <w:t>, has served as our Chief Legal and Administrative Officer since July 2023. She previously served as our General Counsel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Secretary from March 2022 through December 2022 and as Senior Vice President, General Counsel and Head of People from January 2023 through June 2023. Before joining Lexeo, from April 2010 to March 2022, Ms. Robertson served in various senior legal roles at Pfizer Inc., a global pharmaceutical company, most recently as Vice President and Chief Counsel to Pfizer’s Oncology Business Unit. Prior to that role, Ms. Robertson served as Chief Counsel for Pfizer’s Rare Disease Business Unit from April 2016 to September 2020. From 2000 to 2010, Ms. Robertson was in private practice with Hogan &amp; Hartson LLP. Ms. Robertson received a B.A. in Political Science from Southern Illinois University and a J.D. from the Georgetown University Law Center.</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directors</w:t>
      </w:r>
    </w:p>
    <w:p>
      <w:pPr>
        <w:spacing w:after="0" w:line="15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b w:val="1"/>
          <w:bCs w:val="1"/>
          <w:i w:val="1"/>
          <w:iCs w:val="1"/>
          <w:color w:val="auto"/>
        </w:rPr>
        <w:t xml:space="preserve">Steven Altschuler, M.D., </w:t>
      </w:r>
      <w:r>
        <w:rPr>
          <w:rFonts w:ascii="Arial" w:cs="Arial" w:eastAsia="Arial" w:hAnsi="Arial"/>
          <w:sz w:val="16"/>
          <w:szCs w:val="16"/>
          <w:color w:val="auto"/>
        </w:rPr>
        <w:t>has served as the Chairman of our board of directors since January 2021. Dr. Altschuler has served as a Managing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Ventures, of Ziff Capital Partners, a private investment firm, since May 2018. He previously served as a consultant to the University of Miami Health Care System from September 2017 through December 2017, the Chief Executive Officer of the University of Miami Health Care System and Executive Vice President for Healthcare at the University of Miami from January 2016 to September 2017, and the Chief Executive Officer of The Children’s Hospital of Philadelphia, or CHOP, from April 2000 until June 2015. Prior to assuming the role of Chief Executive Officer, Dr. Altschuler held several positions at CHOP and the Perelman School of Medicine at the University of Pennsylvania, including Physician-in-Chief/Chair of Pediatrics and chief of the Division of Gastroenterology, Hepatology and Nutrition. Dr. Altschuler has served as a director of WW International, Inc. since September 2012, as a director of Orchard Therapeutics plc since January 2020 and as a director of 89bio, Inc. since March 2020. He previously served as Chair of the board of directors of Spark Therapeutics, Inc. from March 2013 to December 2019 and as a director of Adtalem Global Education Inc. from May 2018 to May 2020. Dr. Altschuler received a B.A. in Mathematics and an M.D. from Case Western Reserve University. Our board of directors believes Dr. Altschuler is qualified to serve on our board of directors based on his experience holding senior leadership positions within biotechnology companies and his role on public and private boards of directors, as well as his experience investing in healthcare companies.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Mette Kirstine Agger </w:t>
      </w:r>
      <w:r>
        <w:rPr>
          <w:rFonts w:ascii="Arial" w:cs="Arial" w:eastAsia="Arial" w:hAnsi="Arial"/>
          <w:sz w:val="16"/>
          <w:szCs w:val="16"/>
          <w:color w:val="auto"/>
        </w:rPr>
        <w:t>has served as a member of our board of directors since November 2020. Ms. Agger has served as Chief Executive Officer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Strategic Advisor of Ersum Biotech since March 2022. From 2009 to 2022, Ms. Agger served as a Senior Advisor and Managing Partner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Lundbeckfonden Biocapital (formerly Lundbeckfonden Ventures), a life sciences venture capital fund. Prior to joining Lundbeckfonden Biocapital,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Agger co-founded 7TM A/S, a biotech company engaged in therapeutic drug discovery and development, in 2000, and served as its Chief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Officer from founding to 2009. Ms. Agger served on the board of Trevi Therapeutics, Inc., a public life sciences company, from July 2017 to June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Veloxis Pharmaceuticals A/S, a public pharmaceutical company from April 2010 to December 2019, and has served on the board of directors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Imara Inc., a public biopharmaceutical company from January 2016 to June 2020 and scPharmaceuticals Inc., a public pharmaceutical company, since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2014. Ms. Agger received her M.Sc. in Biology from the University of Copenhagen and received her M.B.A. from Henley Business School 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University of Reading. Our board of directors believe Ms. Agger is qualified to serve on our board of directors based on her experience holding senior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leadership positions within biotechnology companies and her role on public and private boards of directors, as well as her experience investing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healthcare companies.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b w:val="1"/>
          <w:bCs w:val="1"/>
          <w:i w:val="1"/>
          <w:iCs w:val="1"/>
          <w:color w:val="auto"/>
        </w:rPr>
        <w:t xml:space="preserve">Paula HJ Cholmondeley </w:t>
      </w:r>
      <w:r>
        <w:rPr>
          <w:rFonts w:ascii="Arial" w:cs="Arial" w:eastAsia="Arial" w:hAnsi="Arial"/>
          <w:sz w:val="17"/>
          <w:szCs w:val="17"/>
          <w:color w:val="auto"/>
        </w:rPr>
        <w:t>has served as a member of our board of directors since November 2021. Ms. Cholmondeley has been the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the Sorrel Group, a management consulting firm, since January 2004 and has been a part time faculty member of the National Association of Corporate Directors, or NACD, a corporate governance association, since June 2008. Ms. Cholmondeley is a NACD Certified Director and has been elected to the NACD Directorship 100. She is a former Chief Financial Officer and Certified Public Accountant. She has also held profit and loss roles as a Divisional President. Ms. Cholmondeley has served on the boards of directors of the Bank OZK, a regional bank headquartered in Little Rock, Arkansas, since May 2016, of Terex Corporation, a manufacturing company since 2004, and of Nationwide Mutual Funds, an investment firm, from 2002 to 2022. Ms. Cholmondeley holds an M.S. and a B.S. in Accounting from the Wharton School of the University of Pennsylvania. Our board of directors believes Ms. Cholmondeley is qualified to serve on our board of directors because of her financial leadership experience and her leadership on public boards of directors.</w:t>
      </w:r>
    </w:p>
    <w:p>
      <w:pPr>
        <w:spacing w:after="0" w:line="113"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b w:val="1"/>
          <w:bCs w:val="1"/>
          <w:i w:val="1"/>
          <w:iCs w:val="1"/>
          <w:color w:val="auto"/>
        </w:rPr>
        <w:t xml:space="preserve">Brenda Cooperstone, M.D. </w:t>
      </w:r>
      <w:r>
        <w:rPr>
          <w:rFonts w:ascii="Arial" w:cs="Arial" w:eastAsia="Arial" w:hAnsi="Arial"/>
          <w:sz w:val="16"/>
          <w:szCs w:val="16"/>
          <w:color w:val="auto"/>
        </w:rPr>
        <w:t>has served as a member of our board of directors since August 2023. Dr. Cooperstone has held various leadership positions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Pfizer, Inc. (NYSE: PFE), a public biopharmaceutical company, including as Senior Vice President since May 2017, Chief Development Officer for Rare Disease in Global Product Development from May 2016 to December 2022, and Head of Development for Rare Disease in Global Product Development from November 2015 to May 2016. Dr. Cooperstone has served as a member of the board of directors of Senti Biosciences, Inc. since October 2019. Dr. Cooperstone started her career in the pharmaceutical industry at Wyeth Pharmaceuticals Inc. in 1999 and joined Pfizer, Inc., when it acquired Wyeth Pharmaceuticals,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Our board of directors believes Dr. Cooperstone is qualified to serve on our board of directors because of her extensive experience in the pharmaceutical industry and experience in public company board leadership.</w:t>
      </w:r>
    </w:p>
    <w:p>
      <w:pPr>
        <w:spacing w:after="0" w:line="9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b w:val="1"/>
          <w:bCs w:val="1"/>
          <w:i w:val="1"/>
          <w:iCs w:val="1"/>
          <w:color w:val="auto"/>
        </w:rPr>
        <w:t xml:space="preserve">Bernard Davitian </w:t>
      </w:r>
      <w:r>
        <w:rPr>
          <w:rFonts w:ascii="Arial" w:cs="Arial" w:eastAsia="Arial" w:hAnsi="Arial"/>
          <w:sz w:val="16"/>
          <w:szCs w:val="16"/>
          <w:color w:val="auto"/>
        </w:rPr>
        <w:t>has served as a member of our board of directors since November 2020. Mr. Davitian has been a Partner at Omega Funds,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sciences-focused investment fund, since January 2020. Prior to that, Mr. Davitian served as Senior Vice President and Managing Director at Sanofi Ventures, the venture capital arm of Sanofi S.A., or Sanofi, for seven years from June 2012 to October 2019. Previously, he served as the Deputy of the Global Head of Business Development at Sanofi for two years. Prior to Sanofi, Mr. Davitian was Chief Financial Officer at Fovea Pharmaceuticals SA, a French biopharmaceutical R&amp;D company specializing in ophthalmology (which was acquired by Sanofi in 2009), Chief Executive Officer at Neurotech Pharmaceuticals, Inc., a biotechnology company developing sight saving therapies for retinal diseases, and Chief Financial Officer at Transgene SA, a biopharmaceutical company. Previously, he served in various capacities at Institut Mérieux, including that of Corporate Chief Financial Officer. Prior to that, he was a senior auditor at Arthur Andersen LLP. Mr. Davitian has extensive experience in the life sciences and biotech industry, marked by a number of successful transactions involving financings, public offerings and acquisitions. A Certified Public Accountant in France,</w:t>
      </w:r>
    </w:p>
    <w:p>
      <w:pPr>
        <w:spacing w:after="0" w:line="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Davitian holds an M.Sc. in Management (M.B.A. equivalent) from the EM Lyon Business School (France) and an A.M.P. from the Wharton School of Business at the University of Pennsylvania. Our board of directors believes Mr. Davitian is qualified to serve as a director because of his experience and leadership in healthcare venture capital investing.</w:t>
      </w:r>
    </w:p>
    <w:p>
      <w:pPr>
        <w:spacing w:after="0" w:line="1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b w:val="1"/>
          <w:bCs w:val="1"/>
          <w:i w:val="1"/>
          <w:iCs w:val="1"/>
          <w:color w:val="auto"/>
        </w:rPr>
        <w:t xml:space="preserve">Reinaldo Diaz </w:t>
      </w:r>
      <w:r>
        <w:rPr>
          <w:rFonts w:ascii="Arial" w:cs="Arial" w:eastAsia="Arial" w:hAnsi="Arial"/>
          <w:sz w:val="18"/>
          <w:szCs w:val="18"/>
          <w:color w:val="auto"/>
        </w:rPr>
        <w:t>has served as a member of our board of directors since February 2022. Mr. Diaz has served as a Venture Partner at Longitude Capital,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venture capital firm since 2015, and he currently serves as the Chief Business Officer of Opna-Immuno Oncology, SA, a Longitude Capital portfolio company. Mr. Diaz has also served as a Managing Director of DA Advisors, LLC since 2005, providing strategic and financial advice primarily to life science companies. From 2008 to 2018, Mr. Diaz served as a managing director at Auven Therapeutics, a private equity firm focusing on life science companies. From 1996 to 2005, Mr. Diaz served as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 managing member and co-founder of Diaz &amp; Altschul Capital Management, LLC, an asset management firm focusing on healthcare companies. Prior to that, Mr. Diaz served as a managing director and head of the healthcare group at Schroder Wertheim &amp; Co., Inc., and in various roles at PaineWebber Development Corporation, including as president. Mr. Diaz currently serves on the board of directors of the public pharmaceutical company, Inozyme Pharma, Inc. Mr. Diaz received a B.A. in General Studies from Harvard University and an M.B.A. from Harvard Business School. Our board of directors believes Mr. Diaz is qualified to serve as a director because of his experience in the life sciences industry and in public company board leadership.</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seven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1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20" w:lineRule="exact"/>
        <w:rPr>
          <w:sz w:val="20"/>
          <w:szCs w:val="20"/>
          <w:color w:val="auto"/>
        </w:rPr>
      </w:pPr>
    </w:p>
    <w:p>
      <w:pPr>
        <w:ind w:left="340" w:right="40" w:hanging="224"/>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 which will consist of Bernard Davitian and Mette Kirstine Agger, and their terms will expire at our first annual meeting of stockholders to be held after the closing of this offering;</w:t>
      </w:r>
    </w:p>
    <w:p>
      <w:pPr>
        <w:spacing w:after="0" w:line="102" w:lineRule="exact"/>
        <w:rPr>
          <w:rFonts w:ascii="Arial" w:cs="Arial" w:eastAsia="Arial" w:hAnsi="Arial"/>
          <w:sz w:val="18"/>
          <w:szCs w:val="18"/>
          <w:color w:val="auto"/>
        </w:rPr>
      </w:pPr>
    </w:p>
    <w:p>
      <w:pPr>
        <w:ind w:left="340" w:right="240" w:hanging="224"/>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II, which will consist of Steven Altschuler and Reinaldo Diaz, and their terms will expire at our second annual meeting of stockholders to be held after the closing of this offering; and</w:t>
      </w:r>
    </w:p>
    <w:p>
      <w:pPr>
        <w:spacing w:after="0" w:line="102"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III, which will consist of Brenda Cooperstone, R. Nolan Townsend and Paula HJ Cholmondeley, and their terms will expire at our third annual meeting of stockholders to be held after the closing of this offering.</w:t>
      </w:r>
    </w:p>
    <w:p>
      <w:pPr>
        <w:spacing w:after="0" w:line="103"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52"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Applicable Nasdaq rules, or the Nasdaq Listing Rules, require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1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board of directors has determined that all of our directors other than R. Nolan Townsend, representing six of our seven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the board in risk oversight</w:t>
      </w:r>
    </w:p>
    <w:p>
      <w:pPr>
        <w:spacing w:after="0" w:line="15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5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Upon the completion of this offering, our audit committee will consist of Paula HJ Cholmondeley, Mette Kirstine Agger and Steven Altschuler, with Ms. Cholmondeley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Ms. Cholmondeley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58" w:lineRule="exact"/>
        <w:rPr>
          <w:sz w:val="20"/>
          <w:szCs w:val="20"/>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57" w:lineRule="exact"/>
        <w:rPr>
          <w:rFonts w:ascii="Arial" w:cs="Arial" w:eastAsia="Arial" w:hAnsi="Arial"/>
          <w:sz w:val="18"/>
          <w:szCs w:val="18"/>
          <w:color w:val="auto"/>
        </w:rPr>
      </w:pPr>
    </w:p>
    <w:p>
      <w:pPr>
        <w:ind w:left="340" w:right="160" w:hanging="224"/>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580" w:hanging="224"/>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57" w:lineRule="exact"/>
        <w:rPr>
          <w:rFonts w:ascii="Arial" w:cs="Arial" w:eastAsia="Arial" w:hAnsi="Arial"/>
          <w:sz w:val="18"/>
          <w:szCs w:val="18"/>
          <w:color w:val="auto"/>
        </w:rPr>
      </w:pPr>
    </w:p>
    <w:p>
      <w:pPr>
        <w:ind w:left="340" w:right="360" w:hanging="224"/>
        <w:spacing w:after="0" w:line="342"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56" w:lineRule="exact"/>
        <w:rPr>
          <w:rFonts w:ascii="Arial" w:cs="Arial" w:eastAsia="Arial" w:hAnsi="Arial"/>
          <w:sz w:val="16"/>
          <w:szCs w:val="16"/>
          <w:color w:val="auto"/>
        </w:rPr>
      </w:pPr>
    </w:p>
    <w:p>
      <w:pPr>
        <w:ind w:left="340" w:right="100" w:hanging="224"/>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responsibility delegated to it by the board of directors from time to time.</w:t>
      </w:r>
    </w:p>
    <w:p>
      <w:pPr>
        <w:spacing w:after="0" w:line="15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believe that the composition and functioning of our audit committee will comply with all applicable SEC and Nasdaq rules and regulations. We intend to comply with future requirements to the extent they become applicable to us.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Upon the completion of this offering, our compensation committee will consist of Brenda Cooperstone, Steven Altschuler and Paula HJ Cholmondeley, with Dr. Cooperstone serving as chair of the compensation committee. Each of these individuals is a non-employee director, as defined in Rule 16b-3 promulgated under the Exchange Act and is an “outside director,” as defined pursuant to Section 162(m) of the Internal Revenue Code of 1986, as amended, or the Code.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125" w:lineRule="exact"/>
        <w:rPr>
          <w:sz w:val="20"/>
          <w:szCs w:val="20"/>
          <w:color w:val="auto"/>
        </w:rPr>
      </w:pPr>
    </w:p>
    <w:p>
      <w:pPr>
        <w:ind w:left="340" w:right="580" w:hanging="224"/>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making recommendations to the full board of directors regarding the compensation and other terms of employment of our executive officers;</w:t>
      </w:r>
    </w:p>
    <w:p>
      <w:pPr>
        <w:spacing w:after="0" w:line="169" w:lineRule="exact"/>
        <w:rPr>
          <w:rFonts w:ascii="Arial" w:cs="Arial" w:eastAsia="Arial" w:hAnsi="Arial"/>
          <w:sz w:val="17"/>
          <w:szCs w:val="17"/>
          <w:color w:val="auto"/>
        </w:rPr>
      </w:pPr>
    </w:p>
    <w:p>
      <w:pPr>
        <w:ind w:left="340" w:hanging="224"/>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102" w:lineRule="exact"/>
        <w:rPr>
          <w:rFonts w:ascii="Arial" w:cs="Arial" w:eastAsia="Arial" w:hAnsi="Arial"/>
          <w:sz w:val="18"/>
          <w:szCs w:val="18"/>
          <w:color w:val="auto"/>
        </w:rPr>
      </w:pPr>
    </w:p>
    <w:p>
      <w:pPr>
        <w:ind w:left="340" w:right="180" w:hanging="224"/>
        <w:spacing w:after="0" w:line="342"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56" w:lineRule="exact"/>
        <w:rPr>
          <w:rFonts w:ascii="Arial" w:cs="Arial" w:eastAsia="Arial" w:hAnsi="Arial"/>
          <w:sz w:val="16"/>
          <w:szCs w:val="16"/>
          <w:color w:val="auto"/>
        </w:rPr>
      </w:pPr>
    </w:p>
    <w:p>
      <w:pPr>
        <w:ind w:left="340" w:right="380" w:hanging="224"/>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00" w:hanging="224"/>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102" w:lineRule="exact"/>
        <w:rPr>
          <w:rFonts w:ascii="Arial" w:cs="Arial" w:eastAsia="Arial" w:hAnsi="Arial"/>
          <w:sz w:val="18"/>
          <w:szCs w:val="18"/>
          <w:color w:val="auto"/>
        </w:rPr>
      </w:pPr>
    </w:p>
    <w:p>
      <w:pPr>
        <w:ind w:left="340" w:right="500" w:hanging="224"/>
        <w:spacing w:after="0" w:line="342"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56" w:lineRule="exact"/>
        <w:rPr>
          <w:rFonts w:ascii="Arial" w:cs="Arial" w:eastAsia="Arial" w:hAnsi="Arial"/>
          <w:sz w:val="16"/>
          <w:szCs w:val="16"/>
          <w:color w:val="auto"/>
        </w:rPr>
      </w:pPr>
    </w:p>
    <w:p>
      <w:pPr>
        <w:ind w:left="340" w:right="20" w:hanging="224"/>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102" w:lineRule="exact"/>
        <w:rPr>
          <w:rFonts w:ascii="Arial" w:cs="Arial" w:eastAsia="Arial" w:hAnsi="Arial"/>
          <w:sz w:val="18"/>
          <w:szCs w:val="18"/>
          <w:color w:val="auto"/>
        </w:rPr>
      </w:pPr>
    </w:p>
    <w:p>
      <w:pPr>
        <w:ind w:left="340" w:right="140" w:hanging="224"/>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any “clawback” policy and any other compensatory arrangements for our executive officers;</w:t>
      </w:r>
    </w:p>
    <w:p>
      <w:pPr>
        <w:spacing w:after="0" w:line="78" w:lineRule="exact"/>
        <w:rPr>
          <w:rFonts w:ascii="Arial" w:cs="Arial" w:eastAsia="Arial" w:hAnsi="Arial"/>
          <w:sz w:val="17"/>
          <w:szCs w:val="17"/>
          <w:color w:val="auto"/>
        </w:rPr>
      </w:pPr>
    </w:p>
    <w:p>
      <w:pPr>
        <w:ind w:left="340" w:right="300" w:hanging="224"/>
        <w:spacing w:after="0" w:line="30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78" w:lineRule="exact"/>
        <w:rPr>
          <w:rFonts w:ascii="Arial" w:cs="Arial" w:eastAsia="Arial" w:hAnsi="Arial"/>
          <w:sz w:val="17"/>
          <w:szCs w:val="17"/>
          <w:color w:val="auto"/>
        </w:rPr>
      </w:pPr>
    </w:p>
    <w:p>
      <w:pPr>
        <w:ind w:left="340" w:hanging="224"/>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compensation committee and the compensation committee charter; and</w:t>
      </w:r>
    </w:p>
    <w:p>
      <w:pPr>
        <w:spacing w:after="0" w:line="169" w:lineRule="exact"/>
        <w:rPr>
          <w:rFonts w:ascii="Arial" w:cs="Arial" w:eastAsia="Arial" w:hAnsi="Arial"/>
          <w:sz w:val="17"/>
          <w:szCs w:val="17"/>
          <w:color w:val="auto"/>
        </w:rPr>
      </w:pPr>
    </w:p>
    <w:p>
      <w:pPr>
        <w:ind w:left="340" w:hanging="224"/>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responsibility delegated to it by the board of directors from time to time.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that the composition and functioning of our compensation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comply with future requirements to the extent they become applicable to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Mette Kirstine Agger, Reinaldo Diaz and Brenda Cooperstone, with Ms. Agger serving as chair of the nominating and corporate governance committee. Our board of directors has determined that each of these individuals is “independent” as defined under the applicable listing standards of Nasdaq and SEC rules and regulations. The functions of this committee include, among other things:</w:t>
      </w:r>
    </w:p>
    <w:p>
      <w:pPr>
        <w:spacing w:after="0" w:line="119" w:lineRule="exact"/>
        <w:rPr>
          <w:sz w:val="20"/>
          <w:szCs w:val="20"/>
          <w:color w:val="auto"/>
        </w:rPr>
      </w:pP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57" w:lineRule="exact"/>
        <w:rPr>
          <w:rFonts w:ascii="Arial" w:cs="Arial" w:eastAsia="Arial" w:hAnsi="Arial"/>
          <w:sz w:val="18"/>
          <w:szCs w:val="18"/>
          <w:color w:val="auto"/>
        </w:rPr>
      </w:pPr>
    </w:p>
    <w:p>
      <w:pPr>
        <w:ind w:left="340" w:right="340" w:hanging="224"/>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57" w:lineRule="exact"/>
        <w:rPr>
          <w:rFonts w:ascii="Arial" w:cs="Arial" w:eastAsia="Arial" w:hAnsi="Arial"/>
          <w:sz w:val="18"/>
          <w:szCs w:val="18"/>
          <w:color w:val="auto"/>
        </w:rPr>
      </w:pPr>
    </w:p>
    <w:p>
      <w:pPr>
        <w:ind w:left="340" w:right="500" w:hanging="224"/>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w:t>
      </w:r>
    </w:p>
    <w:p>
      <w:pPr>
        <w:spacing w:after="0" w:line="157" w:lineRule="exact"/>
        <w:rPr>
          <w:rFonts w:ascii="Arial" w:cs="Arial" w:eastAsia="Arial" w:hAnsi="Arial"/>
          <w:sz w:val="18"/>
          <w:szCs w:val="18"/>
          <w:color w:val="auto"/>
        </w:rPr>
      </w:pPr>
    </w:p>
    <w:p>
      <w:pPr>
        <w:ind w:left="340" w:right="580" w:hanging="224"/>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responsibility delegated to it by the board of directors from time to time.</w:t>
      </w:r>
    </w:p>
    <w:p>
      <w:pPr>
        <w:spacing w:after="0" w:line="158"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52"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recovery</w:t>
      </w:r>
    </w:p>
    <w:p>
      <w:pPr>
        <w:spacing w:after="0" w:line="15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Sarbanes-Oxley Act , in the event of misconduct that results in a financial restatement that would have reduced a previously paid incentive amount, we can recoup those improper payments from our Chief Executive Officer and Chief Financial Officer. The SEC also recently adopted rules which direct national stock exchanges to require listed companies to implement policies intended to recoup bonuses paid to executives if the company is found to have misstated its financial results. We plan to implement a clawback policy in the future, once required, although we have not yet implemented such policy.</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52"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 xml:space="preserve">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w:t>
      </w:r>
      <w:r>
        <w:rPr>
          <w:rFonts w:ascii="Arial" w:cs="Arial" w:eastAsia="Arial" w:hAnsi="Arial"/>
          <w:sz w:val="18"/>
          <w:szCs w:val="18"/>
          <w:i w:val="1"/>
          <w:iCs w:val="1"/>
          <w:color w:val="auto"/>
        </w:rPr>
        <w:t>www.lexeotx.com</w:t>
      </w:r>
      <w:r>
        <w:rPr>
          <w:rFonts w:ascii="Arial" w:cs="Arial" w:eastAsia="Arial" w:hAnsi="Arial"/>
          <w:sz w:val="18"/>
          <w:szCs w:val="18"/>
          <w:color w:val="auto"/>
        </w:rPr>
        <w:t>. We intend to post on our website all disclosures that are required by law or the listing standards of the Nasdaq Stock Market concerning any amendments to, or waivers from, any provision of the Code of Conduct. Information contained on, or that can be accessed through, our website is not incorporated by reference into this prospectus, and you should not consider information on our website to be part of this prospectus.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w:t>
      </w:r>
    </w:p>
    <w:p>
      <w:pPr>
        <w:spacing w:after="0" w:line="152" w:lineRule="exact"/>
        <w:rPr>
          <w:sz w:val="20"/>
          <w:szCs w:val="20"/>
          <w:color w:val="auto"/>
        </w:rPr>
      </w:pPr>
    </w:p>
    <w:p>
      <w:pPr>
        <w:ind w:left="120" w:right="980"/>
        <w:spacing w:after="0" w:line="342" w:lineRule="auto"/>
        <w:rPr>
          <w:sz w:val="20"/>
          <w:szCs w:val="20"/>
          <w:color w:val="auto"/>
        </w:rPr>
      </w:pPr>
      <w:r>
        <w:rPr>
          <w:rFonts w:ascii="Arial" w:cs="Arial" w:eastAsia="Arial" w:hAnsi="Arial"/>
          <w:sz w:val="16"/>
          <w:szCs w:val="16"/>
          <w:color w:val="auto"/>
        </w:rPr>
        <w:t>We intend to adopt a non-employee director compensation policy, pursuant to which our non-employee directors will be eligible to receive compensation for service on our board of directors and committees of our board of directors, following the completion of this offering.</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9" w:right="49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following table shows information concerning the compensation that our non-employee directors earned during the last completed fiscal year ended December 31, 2022. A director who is also our employee receives no additional compensation for his or her services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3900" w:type="dxa"/>
            <w:vAlign w:val="bottom"/>
            <w:gridSpan w:val="2"/>
          </w:tcPr>
          <w:p>
            <w:pPr>
              <w:ind w:left="2480"/>
              <w:spacing w:after="0"/>
              <w:rPr>
                <w:sz w:val="20"/>
                <w:szCs w:val="20"/>
                <w:color w:val="auto"/>
              </w:rPr>
            </w:pPr>
            <w:r>
              <w:rPr>
                <w:rFonts w:ascii="Arial" w:cs="Arial" w:eastAsia="Arial" w:hAnsi="Arial"/>
                <w:sz w:val="16"/>
                <w:szCs w:val="16"/>
                <w:b w:val="1"/>
                <w:bCs w:val="1"/>
                <w:color w:val="auto"/>
              </w:rPr>
              <w:t>Fees Earned or</w:t>
            </w: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4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00" w:type="dxa"/>
            <w:vAlign w:val="bottom"/>
          </w:tcPr>
          <w:p>
            <w:pPr>
              <w:jc w:val="right"/>
              <w:ind w:right="292"/>
              <w:spacing w:after="0"/>
              <w:rPr>
                <w:sz w:val="20"/>
                <w:szCs w:val="20"/>
                <w:color w:val="auto"/>
              </w:rPr>
            </w:pPr>
            <w:r>
              <w:rPr>
                <w:rFonts w:ascii="Arial" w:cs="Arial" w:eastAsia="Arial" w:hAnsi="Arial"/>
                <w:sz w:val="16"/>
                <w:szCs w:val="16"/>
                <w:b w:val="1"/>
                <w:bCs w:val="1"/>
                <w:color w:val="auto"/>
                <w:w w:val="93"/>
              </w:rPr>
              <w:t>Paid in Cash</w:t>
            </w:r>
          </w:p>
        </w:tc>
        <w:tc>
          <w:tcPr>
            <w:tcW w:w="1780" w:type="dxa"/>
            <w:vAlign w:val="bottom"/>
          </w:tcPr>
          <w:p>
            <w:pPr>
              <w:jc w:val="right"/>
              <w:ind w:right="276"/>
              <w:spacing w:after="0"/>
              <w:rPr>
                <w:sz w:val="20"/>
                <w:szCs w:val="20"/>
                <w:color w:val="auto"/>
              </w:rPr>
            </w:pPr>
            <w:r>
              <w:rPr>
                <w:rFonts w:ascii="Arial" w:cs="Arial" w:eastAsia="Arial" w:hAnsi="Arial"/>
                <w:sz w:val="16"/>
                <w:szCs w:val="16"/>
                <w:b w:val="1"/>
                <w:bCs w:val="1"/>
                <w:color w:val="auto"/>
              </w:rPr>
              <w:t>Option Awards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2"/>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4"/>
                <w:szCs w:val="24"/>
                <w:b w:val="1"/>
                <w:bCs w:val="1"/>
                <w:color w:val="auto"/>
                <w:vertAlign w:val="superscript"/>
              </w:rPr>
              <w:t>(1)</w:t>
            </w:r>
          </w:p>
        </w:tc>
        <w:tc>
          <w:tcPr>
            <w:tcW w:w="1780" w:type="dxa"/>
            <w:vAlign w:val="bottom"/>
            <w:tcBorders>
              <w:bottom w:val="single" w:sz="8" w:color="auto"/>
            </w:tcBorders>
          </w:tcPr>
          <w:p>
            <w:pPr>
              <w:jc w:val="right"/>
              <w:ind w:right="276"/>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42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Sandip Agarwala</w:t>
            </w:r>
            <w:r>
              <w:rPr>
                <w:rFonts w:ascii="Arial" w:cs="Arial" w:eastAsia="Arial" w:hAnsi="Arial"/>
                <w:sz w:val="24"/>
                <w:szCs w:val="24"/>
                <w:color w:val="auto"/>
                <w:vertAlign w:val="superscript"/>
              </w:rPr>
              <w:t>(4)</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Mette Kirstine Agger</w:t>
            </w:r>
          </w:p>
        </w:tc>
        <w:tc>
          <w:tcPr>
            <w:tcW w:w="260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Steven Altschuler, M.D.</w:t>
            </w:r>
          </w:p>
        </w:tc>
        <w:tc>
          <w:tcPr>
            <w:tcW w:w="2600" w:type="dxa"/>
            <w:vAlign w:val="bottom"/>
            <w:shd w:val="clear" w:color="auto" w:fill="CCEEFF"/>
          </w:tcPr>
          <w:p>
            <w:pPr>
              <w:ind w:left="24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17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Paula HJ Cholmondeley</w:t>
            </w:r>
          </w:p>
        </w:tc>
        <w:tc>
          <w:tcPr>
            <w:tcW w:w="2600" w:type="dxa"/>
            <w:vAlign w:val="bottom"/>
          </w:tcPr>
          <w:p>
            <w:pPr>
              <w:ind w:left="24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37,000</w:t>
            </w:r>
          </w:p>
        </w:tc>
        <w:tc>
          <w:tcPr>
            <w:tcW w:w="17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$ 37,000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Bernard Davitian</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Borders>
              <w:bottom w:val="single" w:sz="8" w:color="auto"/>
            </w:tcBorders>
          </w:tcPr>
          <w:p>
            <w:pPr>
              <w:spacing w:after="0" w:line="216" w:lineRule="exact"/>
              <w:rPr>
                <w:sz w:val="20"/>
                <w:szCs w:val="20"/>
                <w:color w:val="auto"/>
              </w:rPr>
            </w:pPr>
            <w:r>
              <w:rPr>
                <w:rFonts w:ascii="Arial" w:cs="Arial" w:eastAsia="Arial" w:hAnsi="Arial"/>
                <w:sz w:val="17"/>
                <w:szCs w:val="17"/>
                <w:color w:val="auto"/>
              </w:rPr>
              <w:t>Reinaldo Diaz</w:t>
            </w:r>
            <w:r>
              <w:rPr>
                <w:rFonts w:ascii="Arial" w:cs="Arial" w:eastAsia="Arial" w:hAnsi="Arial"/>
                <w:sz w:val="25"/>
                <w:szCs w:val="25"/>
                <w:color w:val="auto"/>
                <w:vertAlign w:val="superscript"/>
              </w:rPr>
              <w:t>(5)</w:t>
            </w:r>
          </w:p>
        </w:tc>
        <w:tc>
          <w:tcPr>
            <w:tcW w:w="2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70" w:lineRule="exact"/>
        <w:rPr>
          <w:sz w:val="20"/>
          <w:szCs w:val="20"/>
          <w:color w:val="auto"/>
        </w:rPr>
      </w:pPr>
    </w:p>
    <w:p>
      <w:pPr>
        <w:ind w:left="440" w:right="220" w:hanging="324"/>
        <w:spacing w:after="0" w:line="274" w:lineRule="auto"/>
        <w:tabs>
          <w:tab w:leader="none" w:pos="4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actual fees paid in fiscal year 2022. For Dr. Altschuler and Ms. Cholmondeley, this includes fees paid for board services. Mr. Agarwala, Ms. Agger, Mr. Davitian and Mr. Diaz did not receive cash compensation for their service to us as non-employee directors in fiscal year 2022.</w:t>
      </w:r>
    </w:p>
    <w:p>
      <w:pPr>
        <w:spacing w:after="0" w:line="36" w:lineRule="exact"/>
        <w:rPr>
          <w:rFonts w:ascii="Arial" w:cs="Arial" w:eastAsia="Arial" w:hAnsi="Arial"/>
          <w:sz w:val="13"/>
          <w:szCs w:val="13"/>
          <w:color w:val="auto"/>
        </w:rPr>
      </w:pPr>
    </w:p>
    <w:p>
      <w:pPr>
        <w:ind w:left="440" w:hanging="324"/>
        <w:spacing w:after="0"/>
        <w:tabs>
          <w:tab w:leader="none" w:pos="4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Option awards in this column are reported at the aggregate grant date fair value in accordance with FASB ASC Topic 718. Option awards under this column are discussed in greater detail below.</w:t>
      </w:r>
    </w:p>
    <w:p>
      <w:pPr>
        <w:spacing w:after="0" w:line="91" w:lineRule="exact"/>
        <w:rPr>
          <w:rFonts w:ascii="Arial" w:cs="Arial" w:eastAsia="Arial" w:hAnsi="Arial"/>
          <w:sz w:val="12"/>
          <w:szCs w:val="12"/>
          <w:color w:val="auto"/>
        </w:rPr>
      </w:pPr>
    </w:p>
    <w:p>
      <w:pPr>
        <w:ind w:left="440" w:hanging="324"/>
        <w:spacing w:after="0"/>
        <w:tabs>
          <w:tab w:leader="none" w:pos="4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As of December 31, 2022, our then non-employee directors held the following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380" w:type="dxa"/>
            <w:vAlign w:val="bottom"/>
          </w:tcPr>
          <w:p>
            <w:pPr>
              <w:spacing w:after="0"/>
              <w:rPr>
                <w:sz w:val="13"/>
                <w:szCs w:val="13"/>
                <w:color w:val="auto"/>
              </w:rPr>
            </w:pPr>
          </w:p>
        </w:tc>
        <w:tc>
          <w:tcPr>
            <w:tcW w:w="3040" w:type="dxa"/>
            <w:vAlign w:val="bottom"/>
            <w:vMerge w:val="restart"/>
          </w:tcPr>
          <w:p>
            <w:pPr>
              <w:jc w:val="right"/>
              <w:ind w:right="457"/>
              <w:spacing w:after="0"/>
              <w:rPr>
                <w:sz w:val="20"/>
                <w:szCs w:val="20"/>
                <w:color w:val="auto"/>
              </w:rPr>
            </w:pPr>
            <w:r>
              <w:rPr>
                <w:rFonts w:ascii="Arial" w:cs="Arial" w:eastAsia="Arial" w:hAnsi="Arial"/>
                <w:sz w:val="13"/>
                <w:szCs w:val="13"/>
                <w:b w:val="1"/>
                <w:bCs w:val="1"/>
                <w:color w:val="auto"/>
              </w:rPr>
              <w:t>Grant</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Option Awards</w:t>
            </w:r>
          </w:p>
        </w:tc>
        <w:tc>
          <w:tcPr>
            <w:tcW w:w="0" w:type="dxa"/>
            <w:vAlign w:val="bottom"/>
          </w:tcPr>
          <w:p>
            <w:pPr>
              <w:spacing w:after="0"/>
              <w:rPr>
                <w:sz w:val="1"/>
                <w:szCs w:val="1"/>
                <w:color w:val="auto"/>
              </w:rPr>
            </w:pPr>
          </w:p>
        </w:tc>
      </w:tr>
      <w:tr>
        <w:trPr>
          <w:trHeight w:val="115"/>
        </w:trPr>
        <w:tc>
          <w:tcPr>
            <w:tcW w:w="338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97"/>
              <w:spacing w:after="0" w:line="115" w:lineRule="exact"/>
              <w:rPr>
                <w:sz w:val="20"/>
                <w:szCs w:val="20"/>
                <w:color w:val="auto"/>
              </w:rPr>
            </w:pPr>
            <w:r>
              <w:rPr>
                <w:rFonts w:ascii="Arial" w:cs="Arial" w:eastAsia="Arial" w:hAnsi="Arial"/>
                <w:sz w:val="13"/>
                <w:szCs w:val="13"/>
                <w:b w:val="1"/>
                <w:bCs w:val="1"/>
                <w:color w:val="auto"/>
              </w:rPr>
              <w:t>Exercise Price</w:t>
            </w:r>
          </w:p>
        </w:tc>
        <w:tc>
          <w:tcPr>
            <w:tcW w:w="1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0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3"/>
              </w:rPr>
              <w:t>Unexercisable</w:t>
            </w:r>
          </w:p>
        </w:tc>
        <w:tc>
          <w:tcPr>
            <w:tcW w:w="11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Exercisable</w:t>
            </w: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128"/>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Sandip Agarwala</w:t>
            </w:r>
          </w:p>
        </w:tc>
        <w:tc>
          <w:tcPr>
            <w:tcW w:w="3040" w:type="dxa"/>
            <w:vAlign w:val="bottom"/>
            <w:shd w:val="clear" w:color="auto" w:fill="CCEEFF"/>
          </w:tcPr>
          <w:p>
            <w:pPr>
              <w:jc w:val="right"/>
              <w:ind w:right="457"/>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Mette Kirstine Agger</w:t>
            </w:r>
          </w:p>
        </w:tc>
        <w:tc>
          <w:tcPr>
            <w:tcW w:w="304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Steven Altschuler, M.D.</w:t>
            </w:r>
          </w:p>
        </w:tc>
        <w:tc>
          <w:tcPr>
            <w:tcW w:w="3040" w:type="dxa"/>
            <w:vAlign w:val="bottom"/>
            <w:shd w:val="clear" w:color="auto" w:fill="CCEEFF"/>
          </w:tcPr>
          <w:p>
            <w:pPr>
              <w:jc w:val="right"/>
              <w:ind w:right="457"/>
              <w:spacing w:after="0" w:line="135" w:lineRule="exact"/>
              <w:rPr>
                <w:sz w:val="20"/>
                <w:szCs w:val="20"/>
                <w:color w:val="auto"/>
              </w:rPr>
            </w:pPr>
            <w:r>
              <w:rPr>
                <w:rFonts w:ascii="Arial" w:cs="Arial" w:eastAsia="Arial" w:hAnsi="Arial"/>
                <w:sz w:val="13"/>
                <w:szCs w:val="13"/>
                <w:color w:val="auto"/>
              </w:rPr>
              <w:t>2/16/21</w:t>
            </w:r>
          </w:p>
        </w:tc>
        <w:tc>
          <w:tcPr>
            <w:tcW w:w="102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112,240</w:t>
            </w:r>
          </w:p>
        </w:tc>
        <w:tc>
          <w:tcPr>
            <w:tcW w:w="12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2.33</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02/15/2031</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Paula HJ Cholmondeley</w:t>
            </w:r>
          </w:p>
        </w:tc>
        <w:tc>
          <w:tcPr>
            <w:tcW w:w="304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Bernard Davitian</w:t>
            </w:r>
          </w:p>
        </w:tc>
        <w:tc>
          <w:tcPr>
            <w:tcW w:w="3040" w:type="dxa"/>
            <w:vAlign w:val="bottom"/>
            <w:shd w:val="clear" w:color="auto" w:fill="CCEEFF"/>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8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Reinaldo Diaz</w:t>
            </w:r>
          </w:p>
        </w:tc>
        <w:tc>
          <w:tcPr>
            <w:tcW w:w="3040" w:type="dxa"/>
            <w:vAlign w:val="bottom"/>
            <w:tcBorders>
              <w:bottom w:val="single" w:sz="8" w:color="auto"/>
            </w:tcBorders>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Sandip Agarwala resigned from our board of directors effective January 28, 2022.</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Reinaldo Diaz was appointed to our board of directors effective February 2, 2022.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4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On February 16, 2021, Steven Altschuler, M.D. received a grant of 112,240 stock options, with a vesting start date of January 5, 2021, and on November 15, 2021, Paula Cholmondeley received a grant of 15,627 stock options. The stock options granted to Dr. Altschuler and Ms. Cholmondeley were exercisable on the date of grant and vest with respect to 25% of the underlying shares on the first anniversary of the vesting start date and thereafter in equal monthly installments over three years. Ms. Cholmondeley exercised all of her options prior to December 31, 2022, of which 11,395 shares issued were unvested and remained subject to our right of repurchase as of December 31, 2022.</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Executive compensation</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named executive officers for the period ended December 31, 2022, consisting of our principal executive officer and the next two most highly compensated executive officers, were:</w:t>
      </w:r>
    </w:p>
    <w:p>
      <w:pPr>
        <w:spacing w:after="0" w:line="103" w:lineRule="exact"/>
        <w:rPr>
          <w:sz w:val="20"/>
          <w:szCs w:val="20"/>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 Nolan Townsend, who currently serves as our Chief Executive Officer and as a member of our board of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Jenny R. Robertson, J.D., who currently serves as our Chief Legal and Administrative Officer;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Paul McCormac, Ph.D., who currently serves as our Chief Technical Officer.</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3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period ended December 31, 2022.</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Non-Equity</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Incentive Plan</w:t>
            </w: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60" w:type="dxa"/>
            <w:vAlign w:val="bottom"/>
          </w:tcPr>
          <w:p>
            <w:pPr>
              <w:spacing w:after="0"/>
              <w:rPr>
                <w:sz w:val="17"/>
                <w:szCs w:val="17"/>
                <w:color w:val="auto"/>
              </w:rPr>
            </w:pPr>
          </w:p>
        </w:tc>
      </w:tr>
      <w:tr>
        <w:trPr>
          <w:trHeight w:val="202"/>
        </w:trPr>
        <w:tc>
          <w:tcPr>
            <w:tcW w:w="4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Salary</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Awards</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Compensation</w:t>
            </w:r>
          </w:p>
        </w:tc>
        <w:tc>
          <w:tcPr>
            <w:tcW w:w="860" w:type="dxa"/>
            <w:vAlign w:val="bottom"/>
          </w:tcPr>
          <w:p>
            <w:pPr>
              <w:spacing w:after="0"/>
              <w:rPr>
                <w:sz w:val="17"/>
                <w:szCs w:val="17"/>
                <w:color w:val="auto"/>
              </w:rPr>
            </w:pPr>
          </w:p>
        </w:tc>
      </w:tr>
      <w:tr>
        <w:trPr>
          <w:trHeight w:val="217"/>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72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Year</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line="217"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4"/>
                <w:szCs w:val="24"/>
                <w:b w:val="1"/>
                <w:bCs w:val="1"/>
                <w:color w:val="auto"/>
                <w:vertAlign w:val="superscript"/>
              </w:rPr>
              <w:t>(1)</w:t>
            </w:r>
          </w:p>
        </w:tc>
        <w:tc>
          <w:tcPr>
            <w:tcW w:w="1260" w:type="dxa"/>
            <w:vAlign w:val="bottom"/>
            <w:tcBorders>
              <w:bottom w:val="single" w:sz="8" w:color="auto"/>
            </w:tcBorders>
          </w:tcPr>
          <w:p>
            <w:pPr>
              <w:jc w:val="right"/>
              <w:ind w:right="39"/>
              <w:spacing w:after="0" w:line="217"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4"/>
                <w:szCs w:val="24"/>
                <w:b w:val="1"/>
                <w:bCs w:val="1"/>
                <w:color w:val="auto"/>
                <w:vertAlign w:val="superscript"/>
              </w:rPr>
              <w:t>(2)</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 ($)</w:t>
            </w:r>
          </w:p>
        </w:tc>
      </w:tr>
      <w:tr>
        <w:trPr>
          <w:trHeight w:val="196"/>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R. Nolan Townsend</w:t>
            </w:r>
          </w:p>
        </w:tc>
        <w:tc>
          <w:tcPr>
            <w:tcW w:w="172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465,000</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186,000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54,432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705,432</w:t>
            </w:r>
          </w:p>
        </w:tc>
      </w:tr>
      <w:tr>
        <w:trPr>
          <w:trHeight w:val="193"/>
        </w:trPr>
        <w:tc>
          <w:tcPr>
            <w:tcW w:w="4100" w:type="dxa"/>
            <w:vAlign w:val="bottom"/>
          </w:tcPr>
          <w:p>
            <w:pPr>
              <w:ind w:left="320"/>
              <w:spacing w:after="0"/>
              <w:rPr>
                <w:sz w:val="20"/>
                <w:szCs w:val="20"/>
                <w:color w:val="auto"/>
              </w:rPr>
            </w:pPr>
            <w:r>
              <w:rPr>
                <w:rFonts w:ascii="Arial" w:cs="Arial" w:eastAsia="Arial" w:hAnsi="Arial"/>
                <w:sz w:val="16"/>
                <w:szCs w:val="16"/>
                <w:i w:val="1"/>
                <w:iCs w:val="1"/>
                <w:color w:val="auto"/>
              </w:rPr>
              <w:t>Chief Executive Officer and</w:t>
            </w:r>
          </w:p>
        </w:tc>
        <w:tc>
          <w:tcPr>
            <w:tcW w:w="1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i w:val="1"/>
                <w:iCs w:val="1"/>
                <w:color w:val="auto"/>
              </w:rPr>
              <w:t>Director</w:t>
            </w:r>
          </w:p>
        </w:tc>
        <w:tc>
          <w:tcPr>
            <w:tcW w:w="1720" w:type="dxa"/>
            <w:vAlign w:val="bottom"/>
          </w:tcPr>
          <w:p>
            <w:pPr>
              <w:ind w:left="1240"/>
              <w:spacing w:after="0"/>
              <w:rPr>
                <w:sz w:val="20"/>
                <w:szCs w:val="20"/>
                <w:color w:val="auto"/>
              </w:rPr>
            </w:pPr>
            <w:r>
              <w:rPr>
                <w:rFonts w:ascii="Arial" w:cs="Arial" w:eastAsia="Arial" w:hAnsi="Arial"/>
                <w:sz w:val="16"/>
                <w:szCs w:val="16"/>
                <w:color w:val="auto"/>
              </w:rPr>
              <w:t>2021</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410,833</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1,925,893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267,375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4,847</w:t>
            </w:r>
          </w:p>
        </w:tc>
        <w:tc>
          <w:tcPr>
            <w:tcW w:w="860" w:type="dxa"/>
            <w:vAlign w:val="bottom"/>
          </w:tcPr>
          <w:p>
            <w:pPr>
              <w:jc w:val="right"/>
              <w:spacing w:after="0"/>
              <w:rPr>
                <w:sz w:val="20"/>
                <w:szCs w:val="20"/>
                <w:color w:val="auto"/>
              </w:rPr>
            </w:pPr>
            <w:r>
              <w:rPr>
                <w:rFonts w:ascii="Arial" w:cs="Arial" w:eastAsia="Arial" w:hAnsi="Arial"/>
                <w:sz w:val="16"/>
                <w:szCs w:val="16"/>
                <w:color w:val="auto"/>
              </w:rPr>
              <w:t>2,608,948</w:t>
            </w:r>
          </w:p>
        </w:tc>
      </w:tr>
      <w:tr>
        <w:trPr>
          <w:trHeight w:val="205"/>
        </w:trPr>
        <w:tc>
          <w:tcPr>
            <w:tcW w:w="4100" w:type="dxa"/>
            <w:vAlign w:val="bottom"/>
            <w:shd w:val="clear" w:color="auto" w:fill="CCEEFF"/>
          </w:tcPr>
          <w:p>
            <w:pPr>
              <w:spacing w:after="0" w:line="205" w:lineRule="exact"/>
              <w:rPr>
                <w:sz w:val="20"/>
                <w:szCs w:val="20"/>
                <w:color w:val="auto"/>
              </w:rPr>
            </w:pPr>
            <w:r>
              <w:rPr>
                <w:rFonts w:ascii="Arial" w:cs="Arial" w:eastAsia="Arial" w:hAnsi="Arial"/>
                <w:sz w:val="16"/>
                <w:szCs w:val="16"/>
                <w:color w:val="auto"/>
              </w:rPr>
              <w:t>Jenny R. Robertson, J.D.</w:t>
            </w:r>
            <w:r>
              <w:rPr>
                <w:rFonts w:ascii="Arial" w:cs="Arial" w:eastAsia="Arial" w:hAnsi="Arial"/>
                <w:sz w:val="23"/>
                <w:szCs w:val="23"/>
                <w:color w:val="auto"/>
                <w:vertAlign w:val="superscript"/>
              </w:rPr>
              <w:t>(3)</w:t>
            </w:r>
          </w:p>
        </w:tc>
        <w:tc>
          <w:tcPr>
            <w:tcW w:w="172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257,813</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690,997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113,850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1,065,247</w:t>
            </w:r>
          </w:p>
        </w:tc>
      </w:tr>
      <w:tr>
        <w:trPr>
          <w:trHeight w:val="203"/>
        </w:trPr>
        <w:tc>
          <w:tcPr>
            <w:tcW w:w="4100" w:type="dxa"/>
            <w:vAlign w:val="bottom"/>
          </w:tcPr>
          <w:p>
            <w:pPr>
              <w:ind w:left="320"/>
              <w:spacing w:after="0"/>
              <w:rPr>
                <w:sz w:val="20"/>
                <w:szCs w:val="20"/>
                <w:color w:val="auto"/>
              </w:rPr>
            </w:pPr>
            <w:r>
              <w:rPr>
                <w:rFonts w:ascii="Arial" w:cs="Arial" w:eastAsia="Arial" w:hAnsi="Arial"/>
                <w:sz w:val="16"/>
                <w:szCs w:val="16"/>
                <w:i w:val="1"/>
                <w:iCs w:val="1"/>
                <w:color w:val="auto"/>
              </w:rPr>
              <w:t>Chief Legal and Administrative Officer</w:t>
            </w:r>
          </w:p>
        </w:tc>
        <w:tc>
          <w:tcPr>
            <w:tcW w:w="1720" w:type="dxa"/>
            <w:vAlign w:val="bottom"/>
          </w:tcPr>
          <w:p>
            <w:pPr>
              <w:ind w:left="1240"/>
              <w:spacing w:after="0"/>
              <w:rPr>
                <w:sz w:val="20"/>
                <w:szCs w:val="20"/>
                <w:color w:val="auto"/>
              </w:rPr>
            </w:pPr>
            <w:r>
              <w:rPr>
                <w:rFonts w:ascii="Arial" w:cs="Arial" w:eastAsia="Arial" w:hAnsi="Arial"/>
                <w:sz w:val="16"/>
                <w:szCs w:val="16"/>
                <w:color w:val="auto"/>
              </w:rPr>
              <w:t>2021</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Paul McCormac</w:t>
            </w:r>
          </w:p>
        </w:tc>
        <w:tc>
          <w:tcPr>
            <w:tcW w:w="172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350,000</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105,000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16,729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471,728</w:t>
            </w:r>
          </w:p>
        </w:tc>
      </w:tr>
      <w:tr>
        <w:trPr>
          <w:trHeight w:val="206"/>
        </w:trPr>
        <w:tc>
          <w:tcPr>
            <w:tcW w:w="4100" w:type="dxa"/>
            <w:vAlign w:val="bottom"/>
          </w:tcPr>
          <w:p>
            <w:pPr>
              <w:ind w:left="320"/>
              <w:spacing w:after="0"/>
              <w:rPr>
                <w:sz w:val="20"/>
                <w:szCs w:val="20"/>
                <w:color w:val="auto"/>
              </w:rPr>
            </w:pPr>
            <w:r>
              <w:rPr>
                <w:rFonts w:ascii="Arial" w:cs="Arial" w:eastAsia="Arial" w:hAnsi="Arial"/>
                <w:sz w:val="16"/>
                <w:szCs w:val="16"/>
                <w:i w:val="1"/>
                <w:iCs w:val="1"/>
                <w:color w:val="auto"/>
              </w:rPr>
              <w:t>Chief Technical Officer</w:t>
            </w:r>
          </w:p>
        </w:tc>
        <w:tc>
          <w:tcPr>
            <w:tcW w:w="1720" w:type="dxa"/>
            <w:vAlign w:val="bottom"/>
          </w:tcPr>
          <w:p>
            <w:pPr>
              <w:ind w:left="1240"/>
              <w:spacing w:after="0"/>
              <w:rPr>
                <w:sz w:val="20"/>
                <w:szCs w:val="20"/>
                <w:color w:val="auto"/>
              </w:rPr>
            </w:pPr>
            <w:r>
              <w:rPr>
                <w:rFonts w:ascii="Arial" w:cs="Arial" w:eastAsia="Arial" w:hAnsi="Arial"/>
                <w:sz w:val="16"/>
                <w:szCs w:val="16"/>
                <w:color w:val="auto"/>
              </w:rPr>
              <w:t>2021</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256,944</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464,199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97,625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17,120</w:t>
            </w:r>
          </w:p>
        </w:tc>
        <w:tc>
          <w:tcPr>
            <w:tcW w:w="860" w:type="dxa"/>
            <w:vAlign w:val="bottom"/>
          </w:tcPr>
          <w:p>
            <w:pPr>
              <w:jc w:val="right"/>
              <w:spacing w:after="0"/>
              <w:rPr>
                <w:sz w:val="20"/>
                <w:szCs w:val="20"/>
                <w:color w:val="auto"/>
              </w:rPr>
            </w:pPr>
            <w:r>
              <w:rPr>
                <w:rFonts w:ascii="Arial" w:cs="Arial" w:eastAsia="Arial" w:hAnsi="Arial"/>
                <w:sz w:val="16"/>
                <w:szCs w:val="16"/>
                <w:color w:val="auto"/>
              </w:rPr>
              <w:t>835,888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608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76" w:lineRule="exact"/>
        <w:rPr>
          <w:sz w:val="20"/>
          <w:szCs w:val="20"/>
          <w:color w:val="auto"/>
        </w:rPr>
      </w:pPr>
    </w:p>
    <w:p>
      <w:pPr>
        <w:ind w:left="440" w:right="80" w:hanging="324"/>
        <w:spacing w:after="0" w:line="274" w:lineRule="auto"/>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Option awards in this column are reported at the aggregate grant date fair value in accordance with FASB ASC Topic 718 for awards granted to the named executive officer under the Existing Plan. Assumptions used in the calculation of these amounts are included in Note 10 to our audited financial statements included elsewhere in this prospectus.</w:t>
      </w:r>
    </w:p>
    <w:p>
      <w:pPr>
        <w:spacing w:after="0" w:line="36" w:lineRule="exact"/>
        <w:rPr>
          <w:rFonts w:ascii="Arial" w:cs="Arial" w:eastAsia="Arial" w:hAnsi="Arial"/>
          <w:sz w:val="13"/>
          <w:szCs w:val="13"/>
          <w:color w:val="auto"/>
        </w:rPr>
      </w:pPr>
    </w:p>
    <w:p>
      <w:pPr>
        <w:ind w:left="440" w:right="100" w:hanging="324"/>
        <w:spacing w:after="0" w:line="248" w:lineRule="auto"/>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Non-equity incentive plan compensation amounts represent actual amounts earned during 2021 but paid in 2022, and actual amounts earned during 2022 but paid in 2023, respectively. The amount paid to each named executive officer is equal to a percentage of the executive’s target annual bonus pursuant to the applicable employment agreement.</w:t>
      </w:r>
    </w:p>
    <w:p>
      <w:pPr>
        <w:ind w:left="440" w:hanging="324"/>
        <w:spacing w:after="0"/>
        <w:tabs>
          <w:tab w:leader="none" w:pos="4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Ms. Robertson joined our company on March 21, 2022, and thus she was not a named executive officer for fiscal year 2021.</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December 31, 2022</w:t>
      </w:r>
    </w:p>
    <w:p>
      <w:pPr>
        <w:spacing w:after="0" w:line="13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2022.</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jc w:val="right"/>
              <w:ind w:right="456"/>
              <w:spacing w:after="0"/>
              <w:rPr>
                <w:sz w:val="20"/>
                <w:szCs w:val="20"/>
                <w:color w:val="auto"/>
              </w:rPr>
            </w:pPr>
            <w:r>
              <w:rPr>
                <w:rFonts w:ascii="Arial" w:cs="Arial" w:eastAsia="Arial" w:hAnsi="Arial"/>
                <w:sz w:val="16"/>
                <w:szCs w:val="16"/>
                <w:b w:val="1"/>
                <w:bCs w:val="1"/>
                <w:color w:val="auto"/>
              </w:rPr>
              <w:t>Number of</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jc w:val="right"/>
              <w:ind w:right="456"/>
              <w:spacing w:after="0"/>
              <w:rPr>
                <w:sz w:val="20"/>
                <w:szCs w:val="20"/>
                <w:color w:val="auto"/>
              </w:rPr>
            </w:pPr>
            <w:r>
              <w:rPr>
                <w:rFonts w:ascii="Arial" w:cs="Arial" w:eastAsia="Arial" w:hAnsi="Arial"/>
                <w:sz w:val="16"/>
                <w:szCs w:val="16"/>
                <w:b w:val="1"/>
                <w:bCs w:val="1"/>
                <w:color w:val="auto"/>
              </w:rPr>
              <w:t>Securities</w:t>
            </w:r>
          </w:p>
        </w:tc>
        <w:tc>
          <w:tcPr>
            <w:tcW w:w="500" w:type="dxa"/>
            <w:vAlign w:val="bottom"/>
          </w:tcPr>
          <w:p>
            <w:pPr>
              <w:spacing w:after="0"/>
              <w:rPr>
                <w:sz w:val="17"/>
                <w:szCs w:val="17"/>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6"/>
                <w:szCs w:val="16"/>
                <w:b w:val="1"/>
                <w:bCs w:val="1"/>
                <w:color w:val="auto"/>
                <w:w w:val="93"/>
              </w:rPr>
              <w:t>Option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jc w:val="right"/>
              <w:ind w:right="456"/>
              <w:spacing w:after="0"/>
              <w:rPr>
                <w:sz w:val="20"/>
                <w:szCs w:val="20"/>
                <w:color w:val="auto"/>
              </w:rPr>
            </w:pPr>
            <w:r>
              <w:rPr>
                <w:rFonts w:ascii="Arial" w:cs="Arial" w:eastAsia="Arial" w:hAnsi="Arial"/>
                <w:sz w:val="16"/>
                <w:szCs w:val="16"/>
                <w:b w:val="1"/>
                <w:bCs w:val="1"/>
                <w:color w:val="auto"/>
              </w:rPr>
              <w:t>Underlying</w:t>
            </w:r>
          </w:p>
        </w:tc>
        <w:tc>
          <w:tcPr>
            <w:tcW w:w="5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Vesting</w:t>
            </w:r>
          </w:p>
        </w:tc>
        <w:tc>
          <w:tcPr>
            <w:tcW w:w="1440" w:type="dxa"/>
            <w:vAlign w:val="bottom"/>
          </w:tcPr>
          <w:p>
            <w:pPr>
              <w:jc w:val="right"/>
              <w:ind w:right="456"/>
              <w:spacing w:after="0"/>
              <w:rPr>
                <w:sz w:val="20"/>
                <w:szCs w:val="20"/>
                <w:color w:val="auto"/>
              </w:rPr>
            </w:pPr>
            <w:r>
              <w:rPr>
                <w:rFonts w:ascii="Arial" w:cs="Arial" w:eastAsia="Arial" w:hAnsi="Arial"/>
                <w:sz w:val="16"/>
                <w:szCs w:val="16"/>
                <w:b w:val="1"/>
                <w:bCs w:val="1"/>
                <w:color w:val="auto"/>
                <w:w w:val="92"/>
              </w:rPr>
              <w:t>Unexercised</w:t>
            </w:r>
          </w:p>
        </w:tc>
        <w:tc>
          <w:tcPr>
            <w:tcW w:w="1180" w:type="dxa"/>
            <w:vAlign w:val="bottom"/>
            <w:gridSpan w:val="2"/>
          </w:tcPr>
          <w:p>
            <w:pPr>
              <w:ind w:left="420"/>
              <w:spacing w:after="0"/>
              <w:rPr>
                <w:sz w:val="20"/>
                <w:szCs w:val="20"/>
                <w:color w:val="auto"/>
              </w:rPr>
            </w:pPr>
            <w:r>
              <w:rPr>
                <w:rFonts w:ascii="Arial" w:cs="Arial" w:eastAsia="Arial" w:hAnsi="Arial"/>
                <w:sz w:val="16"/>
                <w:szCs w:val="16"/>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1820" w:type="dxa"/>
            <w:vAlign w:val="bottom"/>
          </w:tcPr>
          <w:p>
            <w:pPr>
              <w:jc w:val="right"/>
              <w:ind w:right="93"/>
              <w:spacing w:after="0"/>
              <w:rPr>
                <w:sz w:val="20"/>
                <w:szCs w:val="20"/>
                <w:color w:val="auto"/>
              </w:rPr>
            </w:pPr>
            <w:r>
              <w:rPr>
                <w:rFonts w:ascii="Arial" w:cs="Arial" w:eastAsia="Arial" w:hAnsi="Arial"/>
                <w:sz w:val="16"/>
                <w:szCs w:val="16"/>
                <w:b w:val="1"/>
                <w:bCs w:val="1"/>
                <w:color w:val="auto"/>
              </w:rPr>
              <w:t>Grant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Commencement</w:t>
            </w:r>
          </w:p>
        </w:tc>
        <w:tc>
          <w:tcPr>
            <w:tcW w:w="1440" w:type="dxa"/>
            <w:vAlign w:val="bottom"/>
          </w:tcPr>
          <w:p>
            <w:pPr>
              <w:jc w:val="right"/>
              <w:ind w:right="456"/>
              <w:spacing w:after="0"/>
              <w:rPr>
                <w:sz w:val="20"/>
                <w:szCs w:val="20"/>
                <w:color w:val="auto"/>
              </w:rPr>
            </w:pPr>
            <w:r>
              <w:rPr>
                <w:rFonts w:ascii="Arial" w:cs="Arial" w:eastAsia="Arial" w:hAnsi="Arial"/>
                <w:sz w:val="16"/>
                <w:szCs w:val="16"/>
                <w:b w:val="1"/>
                <w:bCs w:val="1"/>
                <w:color w:val="auto"/>
              </w:rPr>
              <w:t>Options</w:t>
            </w:r>
          </w:p>
        </w:tc>
        <w:tc>
          <w:tcPr>
            <w:tcW w:w="500" w:type="dxa"/>
            <w:vAlign w:val="bottom"/>
          </w:tcPr>
          <w:p>
            <w:pPr>
              <w:spacing w:after="0"/>
              <w:rPr>
                <w:sz w:val="17"/>
                <w:szCs w:val="17"/>
                <w:color w:val="auto"/>
              </w:rPr>
            </w:pPr>
          </w:p>
        </w:tc>
        <w:tc>
          <w:tcPr>
            <w:tcW w:w="680" w:type="dxa"/>
            <w:vAlign w:val="bottom"/>
          </w:tcPr>
          <w:p>
            <w:pPr>
              <w:jc w:val="right"/>
              <w:ind w:right="97"/>
              <w:spacing w:after="0"/>
              <w:rPr>
                <w:sz w:val="20"/>
                <w:szCs w:val="20"/>
                <w:color w:val="auto"/>
              </w:rPr>
            </w:pPr>
            <w:r>
              <w:rPr>
                <w:rFonts w:ascii="Arial" w:cs="Arial" w:eastAsia="Arial" w:hAnsi="Arial"/>
                <w:sz w:val="16"/>
                <w:szCs w:val="16"/>
                <w:b w:val="1"/>
                <w:bCs w:val="1"/>
                <w:color w:val="auto"/>
              </w:rPr>
              <w:t>Price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Date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c>
          <w:tcPr>
            <w:tcW w:w="144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w w:val="98"/>
              </w:rPr>
              <w:t>Exercisable</w:t>
            </w: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7"/>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 Nolan Townsend</w:t>
            </w:r>
          </w:p>
        </w:tc>
        <w:tc>
          <w:tcPr>
            <w:tcW w:w="1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2/16/21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11/21/20</w:t>
            </w:r>
          </w:p>
        </w:tc>
        <w:tc>
          <w:tcPr>
            <w:tcW w:w="1440" w:type="dxa"/>
            <w:vAlign w:val="bottom"/>
            <w:shd w:val="clear" w:color="auto" w:fill="CCEEFF"/>
          </w:tcPr>
          <w:p>
            <w:pPr>
              <w:jc w:val="right"/>
              <w:ind w:right="296"/>
              <w:spacing w:after="0" w:line="210" w:lineRule="exact"/>
              <w:rPr>
                <w:sz w:val="20"/>
                <w:szCs w:val="20"/>
                <w:color w:val="auto"/>
              </w:rPr>
            </w:pPr>
            <w:r>
              <w:rPr>
                <w:rFonts w:ascii="Arial" w:cs="Arial" w:eastAsia="Arial" w:hAnsi="Arial"/>
                <w:sz w:val="17"/>
                <w:szCs w:val="17"/>
                <w:color w:val="auto"/>
              </w:rPr>
              <w:t>153,655</w:t>
            </w:r>
            <w:r>
              <w:rPr>
                <w:rFonts w:ascii="Arial" w:cs="Arial" w:eastAsia="Arial" w:hAnsi="Arial"/>
                <w:sz w:val="24"/>
                <w:szCs w:val="24"/>
                <w:color w:val="auto"/>
                <w:vertAlign w:val="superscript"/>
              </w:rPr>
              <w:t>(2)</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1820" w:type="dxa"/>
            <w:vAlign w:val="bottom"/>
          </w:tcPr>
          <w:p>
            <w:pPr>
              <w:jc w:val="right"/>
              <w:ind w:right="93"/>
              <w:spacing w:after="0"/>
              <w:rPr>
                <w:sz w:val="20"/>
                <w:szCs w:val="20"/>
                <w:color w:val="auto"/>
              </w:rPr>
            </w:pPr>
            <w:r>
              <w:rPr>
                <w:rFonts w:ascii="Arial" w:cs="Arial" w:eastAsia="Arial" w:hAnsi="Arial"/>
                <w:sz w:val="18"/>
                <w:szCs w:val="18"/>
                <w:color w:val="auto"/>
              </w:rPr>
              <w:t>11/15/21</w:t>
            </w:r>
          </w:p>
        </w:tc>
        <w:tc>
          <w:tcPr>
            <w:tcW w:w="1380" w:type="dxa"/>
            <w:vAlign w:val="bottom"/>
          </w:tcPr>
          <w:p>
            <w:pPr>
              <w:jc w:val="right"/>
              <w:spacing w:after="0"/>
              <w:rPr>
                <w:sz w:val="20"/>
                <w:szCs w:val="20"/>
                <w:color w:val="auto"/>
              </w:rPr>
            </w:pPr>
            <w:r>
              <w:rPr>
                <w:rFonts w:ascii="Arial" w:cs="Arial" w:eastAsia="Arial" w:hAnsi="Arial"/>
                <w:sz w:val="18"/>
                <w:szCs w:val="18"/>
                <w:color w:val="auto"/>
              </w:rPr>
              <w:t>8/11/21</w:t>
            </w:r>
          </w:p>
        </w:tc>
        <w:tc>
          <w:tcPr>
            <w:tcW w:w="1440" w:type="dxa"/>
            <w:vAlign w:val="bottom"/>
          </w:tcPr>
          <w:p>
            <w:pPr>
              <w:jc w:val="right"/>
              <w:ind w:right="296"/>
              <w:spacing w:after="0" w:line="216" w:lineRule="exact"/>
              <w:rPr>
                <w:sz w:val="20"/>
                <w:szCs w:val="20"/>
                <w:color w:val="auto"/>
              </w:rPr>
            </w:pPr>
            <w:r>
              <w:rPr>
                <w:rFonts w:ascii="Arial" w:cs="Arial" w:eastAsia="Arial" w:hAnsi="Arial"/>
                <w:sz w:val="17"/>
                <w:szCs w:val="17"/>
                <w:color w:val="auto"/>
              </w:rPr>
              <w:t>519,150</w:t>
            </w:r>
            <w:r>
              <w:rPr>
                <w:rFonts w:ascii="Arial" w:cs="Arial" w:eastAsia="Arial" w:hAnsi="Arial"/>
                <w:sz w:val="25"/>
                <w:szCs w:val="25"/>
                <w:color w:val="auto"/>
                <w:vertAlign w:val="superscript"/>
              </w:rPr>
              <w:t>(3)</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4.87</w:t>
            </w:r>
          </w:p>
        </w:tc>
        <w:tc>
          <w:tcPr>
            <w:tcW w:w="1000" w:type="dxa"/>
            <w:vAlign w:val="bottom"/>
          </w:tcPr>
          <w:p>
            <w:pPr>
              <w:jc w:val="right"/>
              <w:spacing w:after="0"/>
              <w:rPr>
                <w:sz w:val="20"/>
                <w:szCs w:val="20"/>
                <w:color w:val="auto"/>
              </w:rPr>
            </w:pPr>
            <w:r>
              <w:rPr>
                <w:rFonts w:ascii="Arial" w:cs="Arial" w:eastAsia="Arial" w:hAnsi="Arial"/>
                <w:sz w:val="18"/>
                <w:szCs w:val="18"/>
                <w:color w:val="auto"/>
              </w:rPr>
              <w:t>11/14/31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Jenny R. Robertson, J.D.</w:t>
            </w:r>
          </w:p>
        </w:tc>
        <w:tc>
          <w:tcPr>
            <w:tcW w:w="1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5/6/22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3/21/22</w:t>
            </w:r>
          </w:p>
        </w:tc>
        <w:tc>
          <w:tcPr>
            <w:tcW w:w="1440" w:type="dxa"/>
            <w:vAlign w:val="bottom"/>
            <w:shd w:val="clear" w:color="auto" w:fill="CCEEFF"/>
          </w:tcPr>
          <w:p>
            <w:pPr>
              <w:jc w:val="right"/>
              <w:ind w:right="296"/>
              <w:spacing w:after="0" w:line="216" w:lineRule="exact"/>
              <w:rPr>
                <w:sz w:val="20"/>
                <w:szCs w:val="20"/>
                <w:color w:val="auto"/>
              </w:rPr>
            </w:pPr>
            <w:r>
              <w:rPr>
                <w:rFonts w:ascii="Arial" w:cs="Arial" w:eastAsia="Arial" w:hAnsi="Arial"/>
                <w:sz w:val="17"/>
                <w:szCs w:val="17"/>
                <w:color w:val="auto"/>
              </w:rPr>
              <w:t>68,874</w:t>
            </w:r>
            <w:r>
              <w:rPr>
                <w:rFonts w:ascii="Arial" w:cs="Arial" w:eastAsia="Arial" w:hAnsi="Arial"/>
                <w:sz w:val="25"/>
                <w:szCs w:val="25"/>
                <w:color w:val="auto"/>
                <w:vertAlign w:val="superscript"/>
              </w:rPr>
              <w:t>(4)</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15.15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i w:val="1"/>
                <w:iCs w:val="1"/>
                <w:color w:val="auto"/>
              </w:rPr>
              <w:t>Chief Legal and Administrative Officer</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Paul McCormac, Ph.D.</w:t>
            </w:r>
          </w:p>
        </w:tc>
        <w:tc>
          <w:tcPr>
            <w:tcW w:w="1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3/22/21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1440" w:type="dxa"/>
            <w:vAlign w:val="bottom"/>
            <w:shd w:val="clear" w:color="auto" w:fill="CCEEFF"/>
          </w:tcPr>
          <w:p>
            <w:pPr>
              <w:jc w:val="right"/>
              <w:ind w:right="296"/>
              <w:spacing w:after="0" w:line="216" w:lineRule="exact"/>
              <w:rPr>
                <w:sz w:val="20"/>
                <w:szCs w:val="20"/>
                <w:color w:val="auto"/>
              </w:rPr>
            </w:pPr>
            <w:r>
              <w:rPr>
                <w:rFonts w:ascii="Arial" w:cs="Arial" w:eastAsia="Arial" w:hAnsi="Arial"/>
                <w:sz w:val="17"/>
                <w:szCs w:val="17"/>
                <w:color w:val="auto"/>
              </w:rPr>
              <w:t>46,001</w:t>
            </w:r>
            <w:r>
              <w:rPr>
                <w:rFonts w:ascii="Arial" w:cs="Arial" w:eastAsia="Arial" w:hAnsi="Arial"/>
                <w:sz w:val="25"/>
                <w:szCs w:val="25"/>
                <w:color w:val="auto"/>
                <w:vertAlign w:val="superscript"/>
              </w:rPr>
              <w:t>(5)</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3/21/31</w:t>
            </w:r>
          </w:p>
        </w:tc>
        <w:tc>
          <w:tcPr>
            <w:tcW w:w="0" w:type="dxa"/>
            <w:vAlign w:val="bottom"/>
          </w:tcPr>
          <w:p>
            <w:pPr>
              <w:spacing w:after="0"/>
              <w:rPr>
                <w:sz w:val="1"/>
                <w:szCs w:val="1"/>
                <w:color w:val="auto"/>
              </w:rPr>
            </w:pPr>
          </w:p>
        </w:tc>
      </w:tr>
      <w:tr>
        <w:trPr>
          <w:trHeight w:val="353"/>
        </w:trPr>
        <w:tc>
          <w:tcPr>
            <w:tcW w:w="4200" w:type="dxa"/>
            <w:vAlign w:val="bottom"/>
          </w:tcPr>
          <w:p>
            <w:pPr>
              <w:ind w:left="360"/>
              <w:spacing w:after="0"/>
              <w:rPr>
                <w:sz w:val="20"/>
                <w:szCs w:val="20"/>
                <w:color w:val="auto"/>
              </w:rPr>
            </w:pPr>
            <w:r>
              <w:rPr>
                <w:rFonts w:ascii="Arial" w:cs="Arial" w:eastAsia="Arial" w:hAnsi="Arial"/>
                <w:sz w:val="18"/>
                <w:szCs w:val="18"/>
                <w:i w:val="1"/>
                <w:iCs w:val="1"/>
                <w:color w:val="auto"/>
              </w:rPr>
              <w:t>Chief Technical Officer</w:t>
            </w:r>
          </w:p>
        </w:tc>
        <w:tc>
          <w:tcPr>
            <w:tcW w:w="1820" w:type="dxa"/>
            <w:vAlign w:val="bottom"/>
          </w:tcPr>
          <w:p>
            <w:pPr>
              <w:jc w:val="right"/>
              <w:ind w:right="93"/>
              <w:spacing w:after="0"/>
              <w:rPr>
                <w:sz w:val="20"/>
                <w:szCs w:val="20"/>
                <w:color w:val="auto"/>
              </w:rPr>
            </w:pPr>
            <w:r>
              <w:rPr>
                <w:rFonts w:ascii="Arial" w:cs="Arial" w:eastAsia="Arial" w:hAnsi="Arial"/>
                <w:sz w:val="18"/>
                <w:szCs w:val="18"/>
                <w:color w:val="auto"/>
              </w:rPr>
              <w:t>11/15/21</w:t>
            </w:r>
          </w:p>
        </w:tc>
        <w:tc>
          <w:tcPr>
            <w:tcW w:w="1380" w:type="dxa"/>
            <w:vAlign w:val="bottom"/>
          </w:tcPr>
          <w:p>
            <w:pPr>
              <w:jc w:val="right"/>
              <w:spacing w:after="0"/>
              <w:rPr>
                <w:sz w:val="20"/>
                <w:szCs w:val="20"/>
                <w:color w:val="auto"/>
              </w:rPr>
            </w:pPr>
            <w:r>
              <w:rPr>
                <w:rFonts w:ascii="Arial" w:cs="Arial" w:eastAsia="Arial" w:hAnsi="Arial"/>
                <w:sz w:val="18"/>
                <w:szCs w:val="18"/>
                <w:color w:val="auto"/>
              </w:rPr>
              <w:t>8/11/2021</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112,028</w:t>
            </w:r>
            <w:r>
              <w:rPr>
                <w:rFonts w:ascii="Arial" w:cs="Arial" w:eastAsia="Arial" w:hAnsi="Arial"/>
                <w:sz w:val="26"/>
                <w:szCs w:val="26"/>
                <w:color w:val="auto"/>
                <w:vertAlign w:val="superscript"/>
              </w:rPr>
              <w:t>(6)</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4.87</w:t>
            </w:r>
          </w:p>
        </w:tc>
        <w:tc>
          <w:tcPr>
            <w:tcW w:w="1000" w:type="dxa"/>
            <w:vAlign w:val="bottom"/>
          </w:tcPr>
          <w:p>
            <w:pPr>
              <w:jc w:val="right"/>
              <w:spacing w:after="0"/>
              <w:rPr>
                <w:sz w:val="20"/>
                <w:szCs w:val="20"/>
                <w:color w:val="auto"/>
              </w:rPr>
            </w:pPr>
            <w:r>
              <w:rPr>
                <w:rFonts w:ascii="Arial" w:cs="Arial" w:eastAsia="Arial" w:hAnsi="Arial"/>
                <w:sz w:val="18"/>
                <w:szCs w:val="18"/>
                <w:color w:val="auto"/>
              </w:rPr>
              <w:t>11/14/31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608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143" w:lineRule="exact"/>
        <w:rPr>
          <w:sz w:val="20"/>
          <w:szCs w:val="20"/>
          <w:color w:val="auto"/>
        </w:rPr>
      </w:pPr>
    </w:p>
    <w:p>
      <w:pPr>
        <w:ind w:left="440" w:right="80" w:hanging="324"/>
        <w:spacing w:after="0" w:line="274" w:lineRule="auto"/>
        <w:tabs>
          <w:tab w:leader="none" w:pos="4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All of the option awards were granted under the Existing Plan. All of the option awards were granted with a per share exercise price equal to the fair market value of one share of our common stock on the date of grant.</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jc w:val="both"/>
        <w:ind w:left="440" w:right="80" w:hanging="324"/>
        <w:spacing w:after="0" w:line="250"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All of the 204,872 shares originally subject to this option were exercisable as of the date of grant, and 51,217 shares were exercised on May 14, 2021. Of the total shares subject to this option, 25% vested one year after the vesting commencement date, and the remaining shares vest in 36 equal monthly installments thereafter, subject to continuous service through each applicable vesting date. All unvested shares will vest immediately prior to the consummation of a change in control of the Company. As of December 31, 2022, 106,704 shares subject to this option have vested, of which 51,217 shares have been exercised and 55,487 vested shares remain unexercised.</w:t>
      </w:r>
    </w:p>
    <w:p>
      <w:pPr>
        <w:spacing w:after="0" w:line="52" w:lineRule="exact"/>
        <w:rPr>
          <w:rFonts w:ascii="Arial" w:cs="Arial" w:eastAsia="Arial" w:hAnsi="Arial"/>
          <w:sz w:val="13"/>
          <w:szCs w:val="13"/>
          <w:color w:val="auto"/>
        </w:rPr>
      </w:pPr>
    </w:p>
    <w:p>
      <w:pPr>
        <w:ind w:left="440" w:right="300" w:hanging="324"/>
        <w:spacing w:after="0" w:line="288" w:lineRule="auto"/>
        <w:tabs>
          <w:tab w:leader="none" w:pos="4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All of the shares subject to these options were exercisable as of the date of grant. Of the total shares subject to these options, 25% vested one year after the vesting commencement date, and the remaining shares vest in 36 equal monthly installments thereafter, subject to continuous service through each applicable vesting date. All unvested shares will vest immediately prior to the consummation of a change in control of the Company. As of December 31, 2022, 173,050 shares subject to these options have vested, and all vested shares remain unexercised.</w:t>
      </w:r>
    </w:p>
    <w:p>
      <w:pPr>
        <w:spacing w:after="0" w:line="29" w:lineRule="exact"/>
        <w:rPr>
          <w:rFonts w:ascii="Arial" w:cs="Arial" w:eastAsia="Arial" w:hAnsi="Arial"/>
          <w:sz w:val="12"/>
          <w:szCs w:val="12"/>
          <w:color w:val="auto"/>
        </w:rPr>
      </w:pPr>
    </w:p>
    <w:p>
      <w:pPr>
        <w:ind w:left="440" w:right="460" w:hanging="324"/>
        <w:spacing w:after="0" w:line="256"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All of the shares subject to this option were exercisable as of the date of grant. Of the total shares subject to this option, 25% will vest one year after the vesting commencement date, and the remaining shares vest in 36 equal monthly installments thereafter, subject to continuous service through each applicable vesting date. All unvested shares will vest immediately prior to the consummation of a change in control of the Company. As of December 31, 2022, zero shares subject to these options have vested.</w:t>
      </w:r>
    </w:p>
    <w:p>
      <w:pPr>
        <w:spacing w:after="0" w:line="48" w:lineRule="exact"/>
        <w:rPr>
          <w:rFonts w:ascii="Arial" w:cs="Arial" w:eastAsia="Arial" w:hAnsi="Arial"/>
          <w:sz w:val="13"/>
          <w:szCs w:val="13"/>
          <w:color w:val="auto"/>
        </w:rPr>
      </w:pPr>
    </w:p>
    <w:p>
      <w:pPr>
        <w:ind w:left="440" w:right="300" w:hanging="324"/>
        <w:spacing w:after="0" w:line="288" w:lineRule="auto"/>
        <w:tabs>
          <w:tab w:leader="none" w:pos="4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All of the shares subject to these options were exercisable as of the date of grant. Of the total shares subject to these options, 25% vested one year after the vesting commencement date, and the remaining shares vest in 36 equal monthly installments thereafter, subject to continuous service through each applicable vesting date. All unvested shares will vest immediately prior to the consummation of a change in control of the Company. As of December 31, 2022, 20,125 shares subject to these options have vested, and all vested shares remain unexercised.</w:t>
      </w:r>
    </w:p>
    <w:p>
      <w:pPr>
        <w:spacing w:after="0" w:line="29" w:lineRule="exact"/>
        <w:rPr>
          <w:rFonts w:ascii="Arial" w:cs="Arial" w:eastAsia="Arial" w:hAnsi="Arial"/>
          <w:sz w:val="12"/>
          <w:szCs w:val="12"/>
          <w:color w:val="auto"/>
        </w:rPr>
      </w:pPr>
    </w:p>
    <w:p>
      <w:pPr>
        <w:ind w:left="440" w:hanging="324"/>
        <w:spacing w:after="0" w:line="250" w:lineRule="auto"/>
        <w:tabs>
          <w:tab w:leader="none" w:pos="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All of the shares subject to these options were exercisable as of the date of grant. Of the total shares subject to these options, 25% vested one year after the vesting commencement date, and the remaining shares vest in 36 equal monthly installments thereafter, subject to continuous service through each applicable vesting date. All unvested shares will vest immediately prior to the consummation of a change in control of the Company. As of December 31, 2022, 42,061 shares subject to these options have vested, of which 14,158 shares were exercised and 27,903 vested shares remain unexercised.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Agreements with our named executive officers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this offering, we intend to enter into amended and restated employment agreements with each of our named executive officers.</w:t>
      </w:r>
    </w:p>
    <w:p>
      <w:pPr>
        <w:spacing w:after="0" w:line="16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We have entered into employment arrangements with each of our named executive officers. The arrangements generally provide for at-will employment without any specific term and set forth the named executive officer’s initial base salary, bonus potential, eligibility for employee benefits and severance benefits upon a qualifying termination of employment, subject to such employee executing a separation agreement with us.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 Nolan Townsend</w:t>
      </w:r>
    </w:p>
    <w:p>
      <w:pPr>
        <w:spacing w:after="0" w:line="15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September 2023, we entered into a new employment agreement with Mr. Townsend, our Chief Executive Officer, which superseded his prior agreement from January 2020. The employment agreement has no specific term and provides for at-will employment. Mr. Townsend’s annual base salary is $575,000 and Mr. Townsend is currently eligible for a target annual discretionary cash bonus of up to 55% of his annual base salary, based on individual and corporate performance goals.</w:t>
      </w:r>
    </w:p>
    <w:p>
      <w:pPr>
        <w:spacing w:after="0" w:line="11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Under Mr. Townsend’s employment agreement, if he resigns for “good reason” or we terminate his employment without “cause” (each as defined in his employment agreement), then Mr. Townsend will be eligible to receive the following severance benefits (less applicable withholdings): (1) severance pay equal to 100% of Mr. Townsend’s then-current base salary for a period of fifteen months, payable in a single lump sum sixty days following</w:t>
      </w:r>
    </w:p>
    <w:p>
      <w:pPr>
        <w:spacing w:after="0" w:line="2" w:lineRule="exact"/>
        <w:rPr>
          <w:sz w:val="20"/>
          <w:szCs w:val="20"/>
          <w:color w:val="auto"/>
        </w:rPr>
      </w:pPr>
    </w:p>
    <w:p>
      <w:pPr>
        <w:ind w:left="120" w:right="340"/>
        <w:spacing w:after="0" w:line="302" w:lineRule="auto"/>
        <w:rPr>
          <w:sz w:val="20"/>
          <w:szCs w:val="20"/>
          <w:color w:val="auto"/>
        </w:rPr>
      </w:pPr>
      <w:r>
        <w:rPr>
          <w:rFonts w:ascii="Arial" w:cs="Arial" w:eastAsia="Arial" w:hAnsi="Arial"/>
          <w:sz w:val="16"/>
          <w:szCs w:val="16"/>
          <w:color w:val="auto"/>
        </w:rPr>
        <w:t>Mr. Townsend’s last day of employment; and (2) reimbursement of COBRA premiums for him and his eligible dependents from his last day of employment until the earlier of: (i) fifteen months, (ii) the time Mr. Townsend accepts employment with another employer that provides comparable benefits, or (iii) the date Mr. Townsend ceases to be eligible for COBRA continuation coverage for any reason, including plan termination.</w:t>
      </w:r>
    </w:p>
    <w:p>
      <w:pPr>
        <w:spacing w:after="0" w:line="7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Further, if Mr. Townsend resigns for good reason or his employment is terminated without cause by us or a successor, in either case within three months prior to or within twelve months following a “change in control” (as defined in his employment agreement), Mr. Townsend will be eligible to receive the following severance benefits: (1) severance pay equal to 100% of Mr. Townsend’s then-current base salary for a period of eighteen months, payable in a single lump sum sixty days following Mr. Townsend’s last day of employment; (2) a bonus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87" w:lineRule="auto"/>
        <w:rPr>
          <w:sz w:val="20"/>
          <w:szCs w:val="20"/>
          <w:color w:val="auto"/>
        </w:rPr>
      </w:pPr>
      <w:r>
        <w:rPr>
          <w:rFonts w:ascii="Arial" w:cs="Arial" w:eastAsia="Arial" w:hAnsi="Arial"/>
          <w:sz w:val="16"/>
          <w:szCs w:val="16"/>
          <w:color w:val="auto"/>
        </w:rPr>
        <w:t>calculated at 150% of the target annual discretionary cash bonus, payable in a single lump sum within thirty days following Mr. Townsend’s last day of employment; and (3) reimbursement of COBRA premiums for him and his eligible dependents from his last day of employment until the earlier of: (i) eighteen months, (ii) the time Mr. Townsend accepts employment with another employer that provides comparable benefits, or (iii) the date</w:t>
      </w:r>
    </w:p>
    <w:p>
      <w:pPr>
        <w:spacing w:after="0" w:line="2"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Mr. Townsend ceases to be eligible for COBRA continuation coverage for any reason, including plan termination. In addition, 100% of the shares subject to the options granted to Mr. Townsend will vest and become exercisable.</w:t>
      </w:r>
    </w:p>
    <w:p>
      <w:pPr>
        <w:spacing w:after="0" w:line="11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condition to receiving the severance benefits above, Mr. Townsend must sign and not revoke a general release agreement in a form reasonably acceptable to us within the time period set forth in his employment agreement and continue to comply with his obligations related to confidentiality and competitive activity.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Paul McCormac, Ph.D.</w:t>
      </w:r>
    </w:p>
    <w:p>
      <w:pPr>
        <w:spacing w:after="0" w:line="15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September 2023, we entered into a new employment agreement with Dr. McCormac, our Chief Technology Officer, which superseded his prior agreement from February 2021. The employment agreement has no specific term and provides for at-will employment. Dr. McCormac’s annual base salary is $425,000 and Dr. McCormac is currently eligible for a target annual discretionary cash bonus of up to 40% of his annual base salary, based on individual and corporate performance goals.</w:t>
      </w:r>
    </w:p>
    <w:p>
      <w:pPr>
        <w:spacing w:after="0" w:line="11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Dr. McCormac’s employment agreement, if he resigns for “good reason” or we terminate his employment without “cause” (each as defined in his employment agreement), then Dr. McCormac will be eligible to receive the following severance benefits (less applicable withholdings): (1) severance pay equal to 100% of Dr. McCormac’s then-current base salary for a period of twelve months, payable in a single lump sum sixty days following</w:t>
      </w:r>
    </w:p>
    <w:p>
      <w:pPr>
        <w:spacing w:after="0" w:line="2" w:lineRule="exact"/>
        <w:rPr>
          <w:sz w:val="20"/>
          <w:szCs w:val="20"/>
          <w:color w:val="auto"/>
        </w:rPr>
      </w:pPr>
    </w:p>
    <w:p>
      <w:pPr>
        <w:ind w:left="120" w:right="280"/>
        <w:spacing w:after="0" w:line="302" w:lineRule="auto"/>
        <w:rPr>
          <w:sz w:val="20"/>
          <w:szCs w:val="20"/>
          <w:color w:val="auto"/>
        </w:rPr>
      </w:pPr>
      <w:r>
        <w:rPr>
          <w:rFonts w:ascii="Arial" w:cs="Arial" w:eastAsia="Arial" w:hAnsi="Arial"/>
          <w:sz w:val="16"/>
          <w:szCs w:val="16"/>
          <w:color w:val="auto"/>
        </w:rPr>
        <w:t>Dr. McCormac’s last day of employment; and (2) reimbursement of COBRA premiums for him and his eligible dependents from his last day of employment until the earlier of: (i) twelve months, (ii) the time Dr. McCormac accepts employment with another employer that provides comparable benefits, or (iii) the date Dr. McCormac ceases to be eligible for COBRA continuation coverage for any reason, including plan termination.</w:t>
      </w:r>
    </w:p>
    <w:p>
      <w:pPr>
        <w:spacing w:after="0" w:line="7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Further, if Dr. McCormac resigns for good reason or his employment is terminated without cause by us or a successor, in either case within three months prior to or within twelve months following a “change in control” (as defined in his employment agreement), Dr. McCormac will be eligible to receive the following severance benefits: (1) severance pay equal to 100% of Dr. McCormac then-current base salary for a period of twelve months, payable in a single lump sum sixty days following Dr. McCormac’s last day of employment; (2) a bonus calculated at 100% of the target annual discretionary cash bonus, payable in a single lump sum within thirty days following Dr. McCormac’s last day of employment; and (3) reimbursement of COBRA premiums for him and his eligible dependents from his last day of employment until the earlier of: (i) twelve months, (ii) the time Dr. McCormac accepts employment with another employer that provides comparable benefits, or (iii) the date Dr. McCormac ceases to be eligible for COBRA continuation coverage for any reason, including plan termination. In addition, 100% of the shares subject to the options granted to Dr. McCormac will vest and become exercisable.</w:t>
      </w:r>
    </w:p>
    <w:p>
      <w:pPr>
        <w:spacing w:after="0" w:line="1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condition to receiving the severance benefits above, Dr. McCormac must sign and not revoke a general release agreement in a form reasonably acceptable to us within the time period set forth in his employment agreement and continue to comply with his obligations related to confidentiality and competitive activity.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Jenny R. Robertson, J.D.</w:t>
      </w:r>
    </w:p>
    <w:p>
      <w:pPr>
        <w:spacing w:after="0" w:line="15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September 2023, we entered into a new employment agreement with Ms. Robertson, our Chief Legal and Administrative Officer, which superseded her prior agreement from February 2022. The employment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has no specific term and provides for at-will employment. Ms. Robertson’s annual base salary is $425,000 and Ms. Robertson is currently eligible for a target annual discretionary cash bonus of up to 40% of her annual base salary, based on individual and corporate performance goals.</w:t>
      </w:r>
    </w:p>
    <w:p>
      <w:pPr>
        <w:spacing w:after="0" w:line="56"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Under Ms. Robertson’s employment agreement, if she resigns for “good reason” or we terminate her employment without “cause” (each as defined in her employment agreement), then Ms. Robertson will be eligible to receive the following severance benefits (less applicable withholdings):</w:t>
      </w:r>
    </w:p>
    <w:p>
      <w:pPr>
        <w:ind w:left="120" w:right="280" w:hanging="4"/>
        <w:spacing w:after="0" w:line="269" w:lineRule="auto"/>
        <w:tabs>
          <w:tab w:leader="none" w:pos="37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severance pay equal to 100% of Ms. Robertson’s then-current base salary for a period of twelve months, payable in a single lump sum sixty days following Ms. Robertson’s last day of employment; (2) a bonus calculated at 100% of the target annual discretionary cash bonus, payable in a single lump sum sixty days following Ms. Robertson’s last day of employment; and (3) reimbursement of COBRA premiums for her and her eligible dependents from her last day of employment until the earlier of: (i) twelve months, (ii) the time Ms. Robertson accepts employment with another employer that provides comparable benefits, or (iii) the date Ms. Robertson ceases to be eligible for COBRA continuation coverage for any reason, including plan termination. In addition, vesting for the shares subject to the option granted to Ms. Robertson on May 6, 2022, will be accelerated and vest by an additional four months and immediately become exercisable.</w:t>
      </w:r>
    </w:p>
    <w:p>
      <w:pPr>
        <w:spacing w:after="0" w:line="11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Further, if Ms. Robertson resigns for good reason or her employment is terminated without cause by us or a successor, in either case within three months prior to or within twelve months following a “change in control” (as defined in her employment agreement), Ms. Robertson will be eligible to receive the following severance benefits: (1) severance pay equal to 100% of Ms. Robertson’s then-current base salary for a period of twelve months, payable in a single lump sum sixty days following Ms. Robertson’s last day of employment; (2) a bonus calculated at 100% of the target annual discretionary cash bonus, payable in a single lump sum within thirty days following Ms. Robertson’s last day of employment; and (3) reimbursement of COBRA premiums for her and her eligible dependents from her last day of employment until the earlier of: (i) twelve months, (ii) the time Ms. Robertson accepts employment with another employer that provides comparable benefits, or (iii) the date Ms. Robertson ceases to be eligible for COBRA continuation coverage for any reason, including plan termination. In addition, 100% of the shares subject to the options granted to Ms. Robertson will vest and become exercisable.</w:t>
      </w:r>
    </w:p>
    <w:p>
      <w:pPr>
        <w:spacing w:after="0" w:line="1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 condition to receiving the severance benefits above, Ms. Robertson must sign and not revoke a general release agreement in a form reasonably acceptable to us within the time period set forth in her employment agreement and continue to comply with her obligations related to confidentiality and competitive activity.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8"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As noted above, in connection with this offering, we intend to enter into amended and restated employment agreements with each of our named executive officers. It is expected that those employment agreements will contain provisions with respect to severance upon certain terminations of employment.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compensation and benefits</w:t>
      </w:r>
    </w:p>
    <w:p>
      <w:pPr>
        <w:spacing w:after="0" w:line="138"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We maintain broad-based employee benefit plans and programs for the benefit of our employees, in which our named executive officers are entitled to participate. All of our current named executive officers are eligible to participate in our employee benefit plans, including our medical, dental, vision, and accidental death and dismemberment insurance plans, in each case on the same basis as all of our other employees.</w:t>
      </w:r>
    </w:p>
    <w:p>
      <w:pPr>
        <w:spacing w:after="0" w:line="9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The 401(k) plan is intended to qualify as a tax-qualified plan under the Internal Revenue Code. Our named executive officers are eligible to participate in the 401(k) plan 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same basis as our other employees. The Internal Revenue Code allows eligible employees to defer a portion of their compensation, within prescribed limits, on a pre-tax basis through contributions to the 401(k) plan. Currently, we provide matching contributions of 50% on the first 6% of each participating employee’s deferral up to the contribution limit permitted under the Internal Revenue Code.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incentive plans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equity incentive plan</w:t>
      </w:r>
    </w:p>
    <w:p>
      <w:pPr>
        <w:spacing w:after="0" w:line="15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board of directors adopted the 2023 Equity Incentive Plan, or 2023 Plan, in October 2023, and our stockholders approved the 2023 Plan in October 2023. The 2023 Plan will become effective upon the execution of the underwriting agreement for this offering. Once the 2023 Plan becomes effective, no further grants will be made under the 2021 Equity Incentive Plan, or the Existing Plan.</w:t>
      </w:r>
    </w:p>
    <w:p>
      <w:pPr>
        <w:spacing w:after="0" w:line="11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. Our 2023 Plan provides for the grant of incentive stock options, or ISOs, nonstatutory stock options, or NSOs,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consultants, and the employees and consultants of our affiliates.</w:t>
      </w:r>
    </w:p>
    <w:p>
      <w:pPr>
        <w:spacing w:after="0" w:line="90"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of common stock that may be issued under our 2023 Plan is 4,737,000 shares,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the sum of (i) 1,803,980 new shares, plus (ii) the Existing Plan’s available reserve, plus (iii) the number of returning shares, if any, as such shares become available from time to time. In addition, the number of shares of common stock reserved for issuance under our 2023 Plan will automatically increase on January 1 of each year, beginning on January 1, 2024, and continuing through and including January 1, 2033, by 5% of the total number of shares of common stock outstanding on December 31 of the immediately preceding calendar year, or a lesser number of shares determined by our board of directors prior to the applicable January 1. The maximum number of shares that may be issued upon the exercise of ISOs under our 2023 Plan is 14,211,000 shares.</w:t>
      </w:r>
    </w:p>
    <w:p>
      <w:pPr>
        <w:spacing w:after="0" w:line="12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Shares issued under our 2023 Plan will be authorized but unissued or reacquired shares of common stock. Shares subject to awards granted under our 2023 Plan that expire or terminate without being exercised in full, or that are paid out in cash rather than in shares, will not reduce the number of shares available for issuance under our 2023 Plan. Additionally, shares issued pursuant to awards under our 2023 Plan that we repurchase or that are forfeited, as well as shares used to pay the exercise price of an award or to satisfy the tax withholding obligations to an award, will become available for future grant under our 2023 Plan.</w:t>
      </w:r>
    </w:p>
    <w:p>
      <w:pPr>
        <w:spacing w:after="0" w:line="12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maximum number of shares of common stock subject to stock awards granted under the 2023 Plan or otherwise during any calendar year beginning in 2024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0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2023 Plan. We expect that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will delegate concurrent authority to administer our 2023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2023 Plan.</w:t>
      </w:r>
    </w:p>
    <w:p>
      <w:pPr>
        <w:spacing w:after="0" w:line="11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subject to the terms of the 2023 Plan, the administrator also has the power to modify outstanding awards under our 2023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a stock option, within the terms and conditions of the 2023 Plan, provided that the exercise price of a stock option generally cannot be less than 100% of the fair market value of our common stock on the date of grant. Options granted under the 2023 Plan vest at the rate specified in the stock option agreement as specified in the stock option agreement by the administrator.</w:t>
      </w:r>
    </w:p>
    <w:p>
      <w:pPr>
        <w:spacing w:after="0" w:line="9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2023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13"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8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03"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pursuant to restricted stock award agreements adopted by the administrator.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may be granted in consideration for cash, check, bank draft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2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pursuant to restricted stock unit award agreements adopted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the strike price for a stock appreciation right, which generally cannot be less than 100% of the fair market value of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2023 Plan vests at the rate specified in the stock appreciation right agreement as determined by the administrator.</w:t>
      </w:r>
    </w:p>
    <w:p>
      <w:pPr>
        <w:spacing w:after="0" w:line="97"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2023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9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2023 Plan permits the grant of performance-based stock and cash awards. The administrator can structure such awards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1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performance goals may be based on any measure of performance selected by the board of directors. The administrator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administrator will appropriately make adjustments in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1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under the award and all other terms and conditions of such awards.</w:t>
      </w:r>
    </w:p>
    <w:p>
      <w:pPr>
        <w:spacing w:after="0" w:line="10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2023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0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2023 Plan in the event of a corporate transaction, unless otherwise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a participant’s stock award agreement or other written agreement with us or one of our affiliates or unless otherwise expressly provided by the administrator at the time of grant. Under the 2023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2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of a corporate transaction, any stock awards outstanding under the 2023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60"/>
        <w:spacing w:after="0" w:line="311" w:lineRule="auto"/>
        <w:rPr>
          <w:sz w:val="20"/>
          <w:szCs w:val="20"/>
          <w:color w:val="auto"/>
        </w:rPr>
      </w:pPr>
      <w:r>
        <w:rPr>
          <w:rFonts w:ascii="Arial" w:cs="Arial" w:eastAsia="Arial" w:hAnsi="Arial"/>
          <w:sz w:val="16"/>
          <w:szCs w:val="16"/>
          <w:color w:val="auto"/>
        </w:rPr>
        <w:t>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81"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2023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2023 Plan.</w:t>
      </w:r>
    </w:p>
    <w:p>
      <w:pPr>
        <w:spacing w:after="0" w:line="8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2023 Plan, provided that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existing rights of any participant without such participant’s written consent. Certain material amendments also require the approval of our stockholders. No ISOs may be granted after the tenth anniversary of the date our board adopted our 2023 Plan. No awards may be granted under our 2023 Plan while it is suspended or after it is terminated.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employee stock purchase plan</w:t>
      </w:r>
    </w:p>
    <w:p>
      <w:pPr>
        <w:spacing w:after="0" w:line="144"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board of directors adopted the 2023 ESPP in October 2023, and our stockholders adopted the 2023 ESPP in October 2023. The 2023 ESPP will become effective upon the execution of the underwriting agreement for this offering. The purpose of the 2023 ESPP is to secure the services of new employees, to retain the services of existing employees and to provide incentives for such individuals to exert maximum efforts toward our success and that of our affiliates. The 2023 ESPP includes two components. One component is designed to allow our eligible U.S. employees to purchase common stock in a manner that may qualify for favorable tax treatment under Section 423 of the Code. In addition, purchase rights may be granted under a component that does not qualify for such favorable tax treatment when necessary or appropriate to permit participation by our eligible employees who are foreign nationals or employed outside of the United States while complying with applicable foreign laws.</w:t>
      </w:r>
    </w:p>
    <w:p>
      <w:pPr>
        <w:spacing w:after="0" w:line="99"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aggregate number of shares of common stock that may be issued under our 2023 ESPP is 238,600 shares.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reserved for issuance under our 2023 ESPP will automatically increase on January 1 of each calendar year, beginning on January 1, 2024 and continuing through and including January 1, 2033, by the lesser of (1) 1% of the total number of shares of capital stock outstanding on December 31 of the preceding calendar year, (2) 477,200 shares and (3) a number of shares determined by our board. Shares subject to purchase rights granted under our 2023 ESPP that terminate without having been exercised in full will not reduce the number of shares available for issuance under our 2023 ESPP.</w:t>
      </w:r>
    </w:p>
    <w:p>
      <w:pPr>
        <w:spacing w:after="0" w:line="1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or a duly authorized committee thereof, will administer our 2023 ESPP. We anticipate that our board will delegate</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authority to administer our 2023 ESPP to the compensation committee under the terms of the compensation committee’s charter. The 2023 ESPP is implemented through a series of offerings with specific terms approved by the administrator and under which eligible employees are granted purchase rights to purchase shares of common stock on specified dates during such offerings. Under the 2023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2023 ESPP may be terminated under certain circumstances.</w:t>
      </w:r>
    </w:p>
    <w:p>
      <w:pPr>
        <w:spacing w:after="0" w:line="11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2023 ESPP and may contribute, normally through payroll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deductions, with a maximum dollar amount as designated by the board. Unless otherwise determined by the administrator, common stock will be purchased for the accounts of employees participating in the 2023 ESPP at a price per share equal to the lower of (a) 85% of the fair market value of a share of common stock on the first date of an offering or (b) 85% of the fair market value of a share of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. Our employees, including executive officers, or any of our designated affiliates may have to satisfy one or more of the following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before participating in our 2023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2023 ESPP if such employee (1) immediately after the grant would own stock possessing 5% or more of the total combined voting power or value of common stock, or (2) holds rights to purchase stock under our 2023 ESPP that would accrue at a rate that exceeds $25,000 worth of our stock for each calendar year that the rights remain outstanding.</w:t>
      </w:r>
    </w:p>
    <w:p>
      <w:pPr>
        <w:spacing w:after="0" w:line="12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2023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1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corporate transactions, including: (1) a sale of all or substantially all of our assets, (2)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50% of our outstanding securities, (3) the consummation of a merger or consolidation where we do not survive the transaction, and (4)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2023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common stock within 10 business days (or such other period specified by the board) prior to such corporate transaction and such purchase rights will terminate immediately.</w:t>
      </w:r>
    </w:p>
    <w:p>
      <w:pPr>
        <w:spacing w:after="0" w:line="1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2023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common stock outstanding immediately before such transaction are converted or exchanged into other property by virtue of the transaction.</w:t>
      </w:r>
    </w:p>
    <w:p>
      <w:pPr>
        <w:spacing w:after="0" w:line="11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 xml:space="preserve">2023 </w:t>
      </w: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2023 ESPP, provided that except in certain circumstances such amendment or termination may not materially impair any outstanding purchase rights without the holder’s consent. We will obtain stockholder approval of any amendment to our 2023 ESPP as required by applicable law or listing requirements.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adopted the Existing Plan in February 2021, and our stockholders approved the Existing Plan in September 2021.</w:t>
      </w:r>
    </w:p>
    <w:p>
      <w:pPr>
        <w:spacing w:after="0" w:line="15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Existing Plan provides for the grant of ISOs, NSOs, and restricted stock awards, or collectively, stock awards. ISOs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our employees and the employees of any parent corporation or subsidiary corporation. All other awards may be granted to our service providers. We have granted ISOs and NSOs under the Existing Plan. As of June 30, 2023, options to purchase 1,873,093 shares of our common stock were outstanding with a weighted average exercise price of $7.94 per share, with 30,516 restricted shares of our common stock issued remaining subject to our right of repurchase, and 1,039,784 shares of our common stock remained available for future awards under the Existing Plan.</w:t>
      </w:r>
    </w:p>
    <w:p>
      <w:pPr>
        <w:spacing w:after="0" w:line="8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. Subject to certain capitalization adjustments, the aggregate number of shares of our common stock that has been reserved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Existing Plan is 3,051,334 shares.</w:t>
      </w:r>
    </w:p>
    <w:p>
      <w:pPr>
        <w:spacing w:after="0" w:line="10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Shares subject to stock awards granted under our Existing Plan that expire or are forfeited or become unexercisable without having been exercised in full, or are surrendered pursuant to an exchange program shall continue to be available under the Existing Plan for issuance pursuant to future awards. If any shares of common stock issued pursuant to a stock award are forfeited back to or repurchased by us for at the original purchase price, the shares that are forfeited or repurchased or reacquired will revert to and again become available for issuance under the Existing Plan. Any shares retained in satisfaction of tax withholding obligations or as consideration for the exercise or purchase price of a stock award will again become available for issuance under the Existing Plan.</w:t>
      </w:r>
    </w:p>
    <w:p>
      <w:pPr>
        <w:spacing w:after="0" w:line="1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administers and interprets the provisions of the Existing Plan. The board of directors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 committee, or committees, of the board, referred to as the “administrator.” The administrator may additionally delegate limited authority to specified directors or executive officers. Under our Existing Plan, the administrator has the authority to, among other things, approve award recipients, determine the numbers and types of stock awards to be granted, determine the applicable fair market value and the provisions of each stock award, including the period of their exercisability and the vesting schedule applicable to a stock award, construe and interpret the Existing Plan and awards granted thereunder, and prescribe, amend, modify, and rescind or terminate rules and regulations for the administration of the Existing Plan.</w:t>
      </w:r>
    </w:p>
    <w:p>
      <w:pPr>
        <w:spacing w:after="0" w:line="83"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in such form and containing such provisions as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administrator determines the exercise price for stock options, within the terms and conditions of the Existing Plan, provided that the exercise price of a stock option generally will not be less than 100% of the fair market value of our common stock on the date of grant (or 110% of the fair market value for 10% stockholders as required by the Code). Stock options granted under the Existing Plan vest at the rate specified in the stock option agreements and option rules as determined by the administrator.</w:t>
      </w:r>
    </w:p>
    <w:p>
      <w:pPr>
        <w:spacing w:after="0" w:line="12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administrator determines the term of stock options granted under the Existing Plan, up to a maximum of 10 years (or five years for 10% stockholders as required by the Code). If an optionholder’s service relationship with us or any of our affiliates ceases for any reason other than disability, death, or cause the optionholder may generally exercise any vested options for a period of up to three months following the cessation of service, or such other period of time set forth in the option agreement. If an optionholder’s service relationship with us or any of our affiliates ceases due to death or disability (or the participant dies within three months after a termination other than for cause), then options vested as of the termination date may generally be exercised within 12 months following the date of termination, or such other period of time set forth in the option agreement. In no event may an option be exercised beyond the expiration of its term. If an optionholder’s service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relationship with us or any of our affiliates ceases due to termination for cause, the optionholder’s vested options shall expire on the optionholder’s termination date, or such later time as determined by the administrator.</w:t>
      </w:r>
    </w:p>
    <w:p>
      <w:pPr>
        <w:spacing w:after="0" w:line="103"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exercise price for shares issued under the Existing Plan are generally payable in cash, check, promissory note, surrender of previously owned shares, consideration received through a broker-assisted (or other) cashless exercise program (whether through a broker or otherwise) implemented by us, net exercise, or other forms of consideration determined by the administrator (or any combination thereof).</w:t>
      </w:r>
    </w:p>
    <w:p>
      <w:pPr>
        <w:spacing w:after="0" w:line="9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Unless the administrator provides otherwise, options generally are not transferable except by will, the laws of descent and distribution, or, with respect to NSOs for participants in the United States, by gift to a family member.</w:t>
      </w:r>
    </w:p>
    <w:p>
      <w:pPr>
        <w:spacing w:after="0" w:line="8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administrator determines to whom an offer of restricted stock will be made, the number of shares the person may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the restrictions to which the shares will be subject, and other terms and conditions. If a participant’s service relationship with us ends for any reason, we may receive any or all of the shares of common stock held by the participant that have not vested as of the date the participant terminates service with us through, but not limited to, a repurchase right.</w:t>
      </w:r>
    </w:p>
    <w:p>
      <w:pPr>
        <w:spacing w:after="0" w:line="11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of any stock split, reverse stock split, stock dividend, combination, consolidation, recapitalization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 recapitalization through a large nonrecurring cash dividend) or reclassification of the shares, subdivision of the shares, a rights offering, a reorganization, merger, spin-off, split-up, repurchase, or exchange of our common stock or other securities of ours or other significant corporate transaction, or other change affecting our common stock, then in order to prevent diminution or enlargement of the benefits or potential benefits intended to be made available under the Existing Plan, the administrator will adjust the number, kind and class of securities that may be delivered under the Existing Plan and/or the number, class, kind and price of securities covered by each outstanding award.</w:t>
      </w:r>
    </w:p>
    <w:p>
      <w:pPr>
        <w:spacing w:after="0" w:line="11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Change in Control under the Existing Plan shall be subject to the agreement evidencing the acquisition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which need not treat all outstanding awards in an identical manner. Such agreement, without the participant’s consent, shall provide for one or more of the following with respect to all outstanding awards:</w:t>
      </w:r>
    </w:p>
    <w:p>
      <w:pPr>
        <w:spacing w:after="0" w:line="116" w:lineRule="exact"/>
        <w:rPr>
          <w:sz w:val="20"/>
          <w:szCs w:val="20"/>
          <w:color w:val="auto"/>
        </w:rPr>
      </w:pPr>
    </w:p>
    <w:p>
      <w:pPr>
        <w:ind w:left="340" w:hanging="224"/>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continuation of such outstanding awards;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assumption of such outstanding awards by the surviving corporation or its parent;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new options or other equity awards for such awards;</w:t>
      </w:r>
    </w:p>
    <w:p>
      <w:pPr>
        <w:spacing w:after="0" w:line="157" w:lineRule="exact"/>
        <w:rPr>
          <w:rFonts w:ascii="Arial" w:cs="Arial" w:eastAsia="Arial" w:hAnsi="Arial"/>
          <w:sz w:val="18"/>
          <w:szCs w:val="18"/>
          <w:color w:val="auto"/>
        </w:rPr>
      </w:pPr>
    </w:p>
    <w:p>
      <w:pPr>
        <w:ind w:left="340" w:right="340" w:hanging="224"/>
        <w:spacing w:after="0" w:line="279"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cancellation of such awards in exchange for a payment to the participants equal to the excess, if any, of (1) the fair market value of the shares subject to such awards as of the closing date of such Change in Control over (2) the exercise or purchase price paid or to be paid for the shares subject to the awards; provided that at the discretion of the administrator, such payment may be subject to the same conditions that apply to the consideration that will be paid to holders of shares in connection with the transaction; or</w:t>
      </w:r>
    </w:p>
    <w:p>
      <w:pPr>
        <w:spacing w:after="0" w:line="103" w:lineRule="exact"/>
        <w:rPr>
          <w:rFonts w:ascii="Arial" w:cs="Arial" w:eastAsia="Arial" w:hAnsi="Arial"/>
          <w:sz w:val="17"/>
          <w:szCs w:val="17"/>
          <w:color w:val="auto"/>
        </w:rPr>
      </w:pPr>
    </w:p>
    <w:p>
      <w:pPr>
        <w:ind w:left="340" w:right="300" w:hanging="224"/>
        <w:spacing w:after="0" w:line="277"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opportunity for participants to exercise the options prior to the occurrence of the Change in Control and the termination (for no consideration) upon the consummation of such Change in Control of any options not exercised prior thereto.</w:t>
      </w:r>
    </w:p>
    <w:p>
      <w:pPr>
        <w:spacing w:after="0" w:line="8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Under the Existing Plan, a Change in Control is generally defined as (i)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power of the continuing or surviving entity’s securities outstanding immediately after such merger, consolidation or reorganization; (ii) the consummation of the sale, transfer or other disposition of all or substantially all of the company’s assets; (iii) a change in the effective control of the company; or (iv) the consummation of any transaction as a result of which any Person (as defined below)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2(h), the term “Person” shall have the same meaning as when used in Sections 13(d) and 14(d) of the Exchange Act but shall exclude:</w:t>
      </w:r>
    </w:p>
    <w:p>
      <w:pPr>
        <w:spacing w:after="0" w:line="110" w:lineRule="exact"/>
        <w:rPr>
          <w:sz w:val="20"/>
          <w:szCs w:val="20"/>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trustee or other fiduciary holding securities under an employee benefit plan of the company or an affiliate of the company;</w:t>
      </w:r>
    </w:p>
    <w:p>
      <w:pPr>
        <w:spacing w:after="0" w:line="157"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owned directly or indirectly by the stockholders of the company in substantially the same proportions as their ownership our common stock;</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of which at least a majority of its combined voting power is owned directly or indirectly by the company.</w:t>
      </w:r>
    </w:p>
    <w:p>
      <w:pPr>
        <w:spacing w:after="0" w:line="15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1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. The board may at any time terminate, amend or suspend the Existing Plan and all outstanding options or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upon a dissolution or liquidation of 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16" w:lineRule="exact"/>
        <w:rPr>
          <w:sz w:val="20"/>
          <w:szCs w:val="20"/>
          <w:color w:val="auto"/>
        </w:rPr>
      </w:pPr>
    </w:p>
    <w:p>
      <w:pPr>
        <w:ind w:left="340" w:hanging="224"/>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57" w:lineRule="exact"/>
        <w:rPr>
          <w:rFonts w:ascii="Arial" w:cs="Arial" w:eastAsia="Arial" w:hAnsi="Arial"/>
          <w:sz w:val="18"/>
          <w:szCs w:val="18"/>
          <w:color w:val="auto"/>
        </w:rPr>
      </w:pPr>
    </w:p>
    <w:p>
      <w:pPr>
        <w:ind w:left="340" w:right="60" w:hanging="224"/>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0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that will be in effect upon the closing of this offering will provide that we are required to indemnify our directors to the fullest extent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we expect to enter into amended and restated indemnification agreements with each of our directors and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83"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10b5-1 sales plans</w:t>
      </w:r>
    </w:p>
    <w:p>
      <w:pPr>
        <w:spacing w:after="0" w:line="13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 for this offering.</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policies</w:t>
      </w:r>
    </w:p>
    <w:p>
      <w:pPr>
        <w:spacing w:after="0" w:line="1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After we become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our Company for any bonus or other incentive-based or equity-based compensation they receive in accordance with the provisions of Section 304 of the Sarbanes-Oxley Act of 2002.</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Additionally, we adopted a formal clawback policy that complies with regulations mandated under the Dodd-Frank Wall Street Reform and Consumer Protection Act of 2010 to be effective when the applicable rules adopted by the SEC in October 2022 become effective.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0940"/>
          </w:cols>
          <w:pgMar w:left="320" w:top="459" w:right="6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7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following is a description of transactions since January 1,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Agreements with Ronald G. Crystal, M.D.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5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October 2020, we entered into a consulting agreement, or the Crystal Consulting Agreement, with Ronald G. Crystal, M.D., our founder and Chief Scientific Advisor and a holder of more than 5% of our voting securities. Under the Crystal Consulting Agreement, in consideration for an annual consulting fee of $250,000, Dr. Crystal will provide us with consulting services in relation to his extensive expertise in gene therapy technologies, including (a) consulting and advisory services with respect to matters related to gene therapies for diseases; (b) participation in corporate and research and development strategy sessions; and (c) advising on recruiting and interviewing, or the Services. The Crystal Consulting Agreement shall continue for five years and, unless sooner terminated in accordance with its terms, is renewable annually for one-year periods after the initial term of five years. The Crystal Consulting Agreement is terminable by either party with proper notice or by us for cause.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 agreement</w:t>
      </w:r>
    </w:p>
    <w:p>
      <w:pPr>
        <w:spacing w:after="0" w:line="1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March 2021, we granted Dr. Crystal an option to purchase 169,131 shares of our common stock at an exercise price per share of $2.33 and entered into our standard Stock Option Award Agreement with Dr. Crystal, or the Crystal Option Agreement. Of the shares subject to the option, 25% vested on the one-year anniversary of June 30, 2021 and the remainder of the shares subject to the option vest monthly on the thirtieth day of the month, or if there is no such date, the last day of the month, subject in each case to Dr. Crystal continuing to provide services to us. All of the shares subject to the option were exercisable immediately upon grant, and any then-unvested shares subject to the option will become fully vested as of immediately prior to a change of control of Lexeo.</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Agreements with Eric Adler, M.D.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44"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July 2021, in connection with the execution of the Stock Purchase Agreement with Stelios Therapeutics, Inc., or Stelios, we entered into a consulting agreement with Eric Adler, M.D., effective July 16, 2021, or the Adler Consulting Agreement, pursuant to which Dr. Adler agreed, among other things, to serve as a member of our advisory board and to advise us on TNNI3-associated hypertrophic cardiomyopathy, ARVC and other, to-be-determined cardiomyopathies. Dr. Adler agreed to provide consulting services of no more than six hours per week. In connection with the Adler Consulting Agreement, Dr. Adler received a cash payment of $50,000, and we agreed to grant, subject to the approval of our board of directors, an option to purchase an aggregate of 505,366 shares to Dr. Adler. Dr. Adler provided consulting services until his appointment as the Company’s Chief Scientific Officer in August 2022.</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Consultant stock option award agreements</w:t>
      </w:r>
    </w:p>
    <w:p>
      <w:pPr>
        <w:spacing w:after="0" w:line="14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November 2021, we granted Dr. Adler options to purchase 39,284 shares of common stock at an exercise price of $4.87 per share, and entered into the Stock Option Award Agreement, dated November 4, 2021, or the Adler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Consulting Stock Option Agreement. Commencing July 16, 2021, the shares subject to the Adler Consulting Stock Option Agreement vest in 48 equal monthly installments on the first day of each month, subject to Dr. Adler’s continuing to provide services to us.</w:t>
      </w:r>
    </w:p>
    <w:p>
      <w:pPr>
        <w:spacing w:after="0" w:line="10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in November 2021, we granted Dr. Adler options to purchase 26,707 shares of common stock at an exercise price of $4.87 per share, and entered into the Stock Option Award Agreement, dated November 9, 2021, or the Adler Performance Stock Option Agreement. All of the shares subject to the Adler Performance Stock Option Agreement vested upon our completion of the first milestone of an HCM- or ARVC-sponsored research program in June 2022.</w:t>
      </w:r>
    </w:p>
    <w:p>
      <w:pPr>
        <w:spacing w:after="0" w:line="11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All of the shares subject to the above options were exercisable immediately upon grant, and any then-unvested shares subject to the above options will become fully vested immediately prior to a change of control of the Company. In December 2022, our board of directors approved an amendment to Dr. Adler’s Stock Option Award Agreements to extend the length of the post-termination exercise period from three months to 10 years.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stock option award agreement</w:t>
      </w:r>
    </w:p>
    <w:p>
      <w:pPr>
        <w:spacing w:after="0" w:line="158"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In March 2023, in connection with our employment agreement with Dr. Adler, dated December 21, 2022, we granted Dr. Adler an option to purchase 181,250 shares of our common stock at an exercise price per share of $17.59 and entered into the Stock Option Award Agreement, dated March 14, 2023, or the Adler Employment Stock Option Award Agreement. Of the shares subject to the option, 25% will vest on the one-year anniversary of March 14, 2023 and the remainder of the shares subject to the option vest monthly on the 14th day of each month, subject in each case to Dr. Adler’s continuing to provide services to us. All of the shares subject to the option were exercisable immediately upon grant, and any then-unvested shares subject to the option will become fully vested as of immediately prior to a change of control of the Company.</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Stelios Therapeutics Inc. acquisition</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July 16, 2021, we purchased all of the issued and outstanding capital stock of Stelios for initial cash consideration of $7.0 million, with payments of up to an additional $20.5 million due to the selling shareholders upon the achievement of the following milestones when and if we achieve them: clinical candidate selection for either the ARVC or the TNNI3-associated programs; first patient dosed in a Phase 1 clinical trial for any product in our CX43 program; first patient dosed in a Phase 1 clinical trial for any product in our PKP2 program; or first patient dosed in a Phase 1 clinical trial for any candidate in our TNNI3 program. In the third quarter of 2022, a development milestone associated with a clinical candidate selection was achieved resulting in an aggregate payment of $2.0 million to the selling shareholders of Stelios. Dr. Eric Adler, our Chief Scientific Officer, was a co-founder of Stelios and a selling shareholder. Of the initial $7.0 million cash consideration, Dr. Adler received approximately $1.2 million, and of the $2.0 million milestone payment, Dr. Adler received approximately $0.4 million. On December 15, 2022, Stelios was merged into Lexeo Therapeutics, Inc. and ceased to exist. See the section titled “Management’s Discussion and Analysis of Financial Condition and Results of Operations” for additional information related to our acquisition of Stelios.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Private placements of our securities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convertible preferred stock financing</w:t>
      </w:r>
    </w:p>
    <w:p>
      <w:pPr>
        <w:spacing w:after="0" w:line="144"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November 2020, we entered into a preferred stock purchase agreement with certain investors, including beneficial owners of greater than 5% of our capital stock and affiliates of members of our board of directors. In connection with the initial closing of our Series A convertible preferred stock, we sold an aggregate of 34,495,725 shares of our Series A convertible preferred stock at a purchase price of $1.00 per share (including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approximately $4 million in principal and accrued interest on outstanding convertible promissory notes issued to certain investors, the conversion of which resulted in issuance of 4,495,729 shares of our Series A convertible preferred stock) for aggregate gross proceeds of approximately $34 million. In July 2021, we sold an aggregate of 50,999,997 shares of our Series A convertible preferred stock at a purchase price of $1.00 per share for aggregate gross proceeds of approximately $51 million.</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below sets forth the aggregate number of shares of Series A convertible preferred stock issued to our related parties in this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22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w w:val="89"/>
              </w:rPr>
              <w:t>Series A Convertible</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Aggregate Purchase</w:t>
            </w:r>
          </w:p>
        </w:tc>
        <w:tc>
          <w:tcPr>
            <w:tcW w:w="0" w:type="dxa"/>
            <w:vAlign w:val="bottom"/>
          </w:tcPr>
          <w:p>
            <w:pPr>
              <w:spacing w:after="0"/>
              <w:rPr>
                <w:sz w:val="1"/>
                <w:szCs w:val="1"/>
                <w:color w:val="auto"/>
              </w:rPr>
            </w:pPr>
          </w:p>
        </w:tc>
      </w:tr>
      <w:tr>
        <w:trPr>
          <w:trHeight w:val="213"/>
        </w:trPr>
        <w:tc>
          <w:tcPr>
            <w:tcW w:w="7280" w:type="dxa"/>
            <w:vAlign w:val="bottom"/>
            <w:gridSpan w:val="2"/>
            <w:vMerge w:val="continue"/>
          </w:tcPr>
          <w:p>
            <w:pPr>
              <w:spacing w:after="0"/>
              <w:rPr>
                <w:sz w:val="18"/>
                <w:szCs w:val="18"/>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w w:val="97"/>
              </w:rPr>
              <w:t>Preferred Stock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Price ($)</w:t>
            </w:r>
          </w:p>
        </w:tc>
        <w:tc>
          <w:tcPr>
            <w:tcW w:w="0" w:type="dxa"/>
            <w:vAlign w:val="bottom"/>
          </w:tcPr>
          <w:p>
            <w:pPr>
              <w:spacing w:after="0"/>
              <w:rPr>
                <w:sz w:val="1"/>
                <w:szCs w:val="1"/>
                <w:color w:val="auto"/>
              </w:rPr>
            </w:pPr>
          </w:p>
        </w:tc>
      </w:tr>
      <w:tr>
        <w:trPr>
          <w:trHeight w:val="212"/>
        </w:trPr>
        <w:tc>
          <w:tcPr>
            <w:tcW w:w="6460" w:type="dxa"/>
            <w:vAlign w:val="bottom"/>
            <w:tcBorders>
              <w:top w:val="single" w:sz="8" w:color="auto"/>
            </w:tcBorders>
            <w:shd w:val="clear" w:color="auto" w:fill="CCEEFF"/>
          </w:tcPr>
          <w:p>
            <w:pPr>
              <w:spacing w:after="0" w:line="212" w:lineRule="exact"/>
              <w:rPr>
                <w:sz w:val="20"/>
                <w:szCs w:val="20"/>
                <w:color w:val="auto"/>
              </w:rPr>
            </w:pPr>
            <w:r>
              <w:rPr>
                <w:rFonts w:ascii="Arial" w:cs="Arial" w:eastAsia="Arial" w:hAnsi="Arial"/>
                <w:sz w:val="17"/>
                <w:szCs w:val="17"/>
                <w:color w:val="auto"/>
              </w:rPr>
              <w:t>Entities affiliated with Janus Henderson Investors</w:t>
            </w:r>
            <w:r>
              <w:rPr>
                <w:rFonts w:ascii="Arial" w:cs="Arial" w:eastAsia="Arial" w:hAnsi="Arial"/>
                <w:sz w:val="24"/>
                <w:szCs w:val="24"/>
                <w:color w:val="auto"/>
                <w:vertAlign w:val="superscript"/>
              </w:rPr>
              <w:t>(1)</w:t>
            </w:r>
          </w:p>
        </w:tc>
        <w:tc>
          <w:tcPr>
            <w:tcW w:w="8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Arial" w:cs="Arial" w:eastAsia="Arial" w:hAnsi="Arial"/>
                <w:sz w:val="17"/>
                <w:szCs w:val="17"/>
                <w:color w:val="auto"/>
              </w:rPr>
              <w:t>Longitude Venture Partners IV, L.P.</w:t>
            </w:r>
            <w:r>
              <w:rPr>
                <w:rFonts w:ascii="Arial" w:cs="Arial" w:eastAsia="Arial" w:hAnsi="Arial"/>
                <w:sz w:val="25"/>
                <w:szCs w:val="25"/>
                <w:color w:val="auto"/>
                <w:vertAlign w:val="superscript"/>
              </w:rPr>
              <w:t>(2)</w:t>
            </w: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18,999,999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18,999,999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Lundbeckfond Invest A/S</w:t>
            </w:r>
            <w:r>
              <w:rPr>
                <w:rFonts w:ascii="Arial" w:cs="Arial" w:eastAsia="Arial" w:hAnsi="Arial"/>
                <w:sz w:val="25"/>
                <w:szCs w:val="25"/>
                <w:color w:val="auto"/>
                <w:vertAlign w:val="superscript"/>
              </w:rPr>
              <w:t>(3)</w:t>
            </w: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13,999,999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Arial" w:cs="Arial" w:eastAsia="Arial" w:hAnsi="Arial"/>
                <w:sz w:val="17"/>
                <w:szCs w:val="17"/>
                <w:color w:val="auto"/>
              </w:rPr>
              <w:t>Omega Fund VI, L.P.</w:t>
            </w:r>
            <w:r>
              <w:rPr>
                <w:rFonts w:ascii="Arial" w:cs="Arial" w:eastAsia="Arial" w:hAnsi="Arial"/>
                <w:sz w:val="25"/>
                <w:szCs w:val="25"/>
                <w:color w:val="auto"/>
                <w:vertAlign w:val="superscript"/>
              </w:rPr>
              <w:t>(4)</w:t>
            </w: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14,999,999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PBM LEX Holdings, LLC</w:t>
            </w:r>
            <w:r>
              <w:rPr>
                <w:rFonts w:ascii="Arial" w:cs="Arial" w:eastAsia="Arial" w:hAnsi="Arial"/>
                <w:sz w:val="26"/>
                <w:szCs w:val="26"/>
                <w:color w:val="auto"/>
                <w:vertAlign w:val="superscript"/>
              </w:rPr>
              <w:t>(5)</w:t>
            </w:r>
          </w:p>
        </w:tc>
        <w:tc>
          <w:tcPr>
            <w:tcW w:w="8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11,999,999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11,999,999</w:t>
            </w:r>
          </w:p>
        </w:tc>
        <w:tc>
          <w:tcPr>
            <w:tcW w:w="0" w:type="dxa"/>
            <w:vAlign w:val="bottom"/>
          </w:tcPr>
          <w:p>
            <w:pPr>
              <w:spacing w:after="0"/>
              <w:rPr>
                <w:sz w:val="1"/>
                <w:szCs w:val="1"/>
                <w:color w:val="auto"/>
              </w:rPr>
            </w:pPr>
          </w:p>
        </w:tc>
      </w:tr>
      <w:tr>
        <w:trPr>
          <w:trHeight w:val="20"/>
        </w:trPr>
        <w:tc>
          <w:tcPr>
            <w:tcW w:w="6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40" w:right="20" w:hanging="324"/>
        <w:spacing w:after="0" w:line="250"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Entities affiliated with Janus Henderson Investors hold more than 5% of our voting securities. Consists of (i) 3,643,715 shares of Series A preferred stock purchased by Janus Henderson Global Life Sciences Fund, (ii) 3,466,664 shares of Series A preferred stock purchased by Janus Henderson Biotech Innovation Master Fund Limited, (iii) 2,660,459 shares of Series A preferred stock purchased by Janus Henderson Capital Funds PLC on behalf of its Series Janus Henderson Global Life Sciences Fund and (iv) 229,162 shares of Series A preferred stock purchased by Janus Henderson Horizon Fund—Biotechnology Fund.</w:t>
      </w:r>
    </w:p>
    <w:p>
      <w:pPr>
        <w:spacing w:after="0" w:line="52" w:lineRule="exact"/>
        <w:rPr>
          <w:rFonts w:ascii="Arial" w:cs="Arial" w:eastAsia="Arial" w:hAnsi="Arial"/>
          <w:sz w:val="13"/>
          <w:szCs w:val="13"/>
          <w:color w:val="auto"/>
        </w:rPr>
      </w:pPr>
    </w:p>
    <w:p>
      <w:pPr>
        <w:ind w:left="440" w:right="220" w:hanging="324"/>
        <w:spacing w:after="0" w:line="274"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Longitude Venture Partners IV, L.P., or LVP IV, holds more than 5% of our capital stock prior to this offering. Longitude Capital Partners IV, LLC is the general partner of LVP IV. Reinaldo Diaz was designated to serve as a member of our board of directors by LVP IV.</w:t>
      </w:r>
    </w:p>
    <w:p>
      <w:pPr>
        <w:spacing w:after="0" w:line="36" w:lineRule="exact"/>
        <w:rPr>
          <w:rFonts w:ascii="Arial" w:cs="Arial" w:eastAsia="Arial" w:hAnsi="Arial"/>
          <w:sz w:val="13"/>
          <w:szCs w:val="13"/>
          <w:color w:val="auto"/>
        </w:rPr>
      </w:pPr>
    </w:p>
    <w:p>
      <w:pPr>
        <w:ind w:left="440" w:right="80" w:hanging="324"/>
        <w:spacing w:after="0" w:line="274"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Lundbeckfond Invest A/S, which is wholly owned by the Lundbeck Foundation, holds more than 5% of our capital stock prior to this offering. Mette Kirstine Agger is the former Managing Partner of Lundbeckfonden BioCapital, a department within Lundbeckfond Invest A/S, and was designated to serve as a member of our board of directors by Lundbeckfond Invest A/S.</w:t>
      </w:r>
    </w:p>
    <w:p>
      <w:pPr>
        <w:spacing w:after="0" w:line="36" w:lineRule="exact"/>
        <w:rPr>
          <w:rFonts w:ascii="Arial" w:cs="Arial" w:eastAsia="Arial" w:hAnsi="Arial"/>
          <w:sz w:val="13"/>
          <w:szCs w:val="13"/>
          <w:color w:val="auto"/>
        </w:rPr>
      </w:pPr>
    </w:p>
    <w:p>
      <w:pPr>
        <w:ind w:left="440" w:right="40" w:hanging="324"/>
        <w:spacing w:after="0" w:line="274"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Omega Fund VI, L.P., or Omega Fund, holds more than 5% of our capital stock prior to this offering. Omega Fund VI GP, L.P., or Omega GP, is the sole general partner of Omega Fund, and Omega Fund VI GP Manager, Ltd. is the sole general partner of Omega GP. Bernard Davitian was designated to serve as a member of our board of directors by Omega Fund.</w:t>
      </w:r>
    </w:p>
    <w:p>
      <w:pPr>
        <w:spacing w:after="0" w:line="36" w:lineRule="exact"/>
        <w:rPr>
          <w:rFonts w:ascii="Arial" w:cs="Arial" w:eastAsia="Arial" w:hAnsi="Arial"/>
          <w:sz w:val="13"/>
          <w:szCs w:val="13"/>
          <w:color w:val="auto"/>
        </w:rPr>
      </w:pPr>
    </w:p>
    <w:p>
      <w:pPr>
        <w:ind w:left="440" w:right="60" w:hanging="324"/>
        <w:spacing w:after="0" w:line="247" w:lineRule="auto"/>
        <w:tabs>
          <w:tab w:leader="none" w:pos="4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PBM LEX Holdings, LLC is affiliated with PBM Capital Group, LLC. Entities affiliated with PBM Capital Group, LLC collectively beneficially own more than 5% of our capital stock prior to this offering. In October 2023, all entities affiliated with PBM LEX Holdings, LLC holding securities in the Company distributed all of their securities previously held to their beneficial owners, including Paul B. Manning, the Chief Executive Officer of PBM Capital Group, LLC, for no additional consideration in accordance with the terms of each entity’s operating agreement. Under the terms of the distribution, Mr. Manning retains sole voting and shared dispositive power over all distributed shares through the completion of this offering, at which time Mr. Manning’s voting and dispositive power over the distributed shares will terminate except with respect to any shares held by Mr. Manning.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August 2021, we entered into a preferred stock purchase agreement with certain investors, including beneficial owners of greater than 5% of our capital stock, affiliates of members of our board of directors and certain of our executive officers, pursuant to which we issued and sold to such investors an aggregate of 58,157,823 shares of our Series B convertible preferred stock at a purchase price of $1.72049 per share for aggregate gross proceeds of approximately $100 million.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below sets forth the aggregate number of shares of Series B convertible preferred stock issued to our related parties in this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7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20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9"/>
              </w:rPr>
              <w:t>Series B Convertible</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Aggregate Purchase</w:t>
            </w: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20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97"/>
              </w:rPr>
              <w:t>Preferred Stock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Price ($)</w:t>
            </w:r>
          </w:p>
        </w:tc>
        <w:tc>
          <w:tcPr>
            <w:tcW w:w="0" w:type="dxa"/>
            <w:vAlign w:val="bottom"/>
          </w:tcPr>
          <w:p>
            <w:pPr>
              <w:spacing w:after="0"/>
              <w:rPr>
                <w:sz w:val="1"/>
                <w:szCs w:val="1"/>
                <w:color w:val="auto"/>
              </w:rPr>
            </w:pPr>
          </w:p>
        </w:tc>
      </w:tr>
      <w:tr>
        <w:trPr>
          <w:trHeight w:val="213"/>
        </w:trPr>
        <w:tc>
          <w:tcPr>
            <w:tcW w:w="6860" w:type="dxa"/>
            <w:vAlign w:val="bottom"/>
            <w:tcBorders>
              <w:top w:val="single" w:sz="8" w:color="auto"/>
            </w:tcBorders>
            <w:shd w:val="clear" w:color="auto" w:fill="CCEEFF"/>
          </w:tcPr>
          <w:p>
            <w:pPr>
              <w:spacing w:after="0" w:line="212" w:lineRule="exact"/>
              <w:rPr>
                <w:sz w:val="20"/>
                <w:szCs w:val="20"/>
                <w:color w:val="auto"/>
              </w:rPr>
            </w:pPr>
            <w:r>
              <w:rPr>
                <w:rFonts w:ascii="Arial" w:cs="Arial" w:eastAsia="Arial" w:hAnsi="Arial"/>
                <w:sz w:val="17"/>
                <w:szCs w:val="17"/>
                <w:color w:val="auto"/>
              </w:rPr>
              <w:t>D1 Master Holdco I LLC</w:t>
            </w:r>
            <w:r>
              <w:rPr>
                <w:rFonts w:ascii="Arial" w:cs="Arial" w:eastAsia="Arial" w:hAnsi="Arial"/>
                <w:sz w:val="24"/>
                <w:szCs w:val="24"/>
                <w:color w:val="auto"/>
                <w:vertAlign w:val="superscript"/>
              </w:rPr>
              <w:t>(1)</w:t>
            </w:r>
          </w:p>
        </w:tc>
        <w:tc>
          <w:tcPr>
            <w:tcW w:w="6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20,343,041</w:t>
            </w:r>
          </w:p>
        </w:tc>
        <w:tc>
          <w:tcPr>
            <w:tcW w:w="6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Janus Henderson Investors</w:t>
            </w:r>
            <w:r>
              <w:rPr>
                <w:rFonts w:ascii="Arial" w:cs="Arial" w:eastAsia="Arial" w:hAnsi="Arial"/>
                <w:sz w:val="25"/>
                <w:szCs w:val="25"/>
                <w:color w:val="auto"/>
                <w:vertAlign w:val="superscript"/>
              </w:rPr>
              <w:t>(2)</w:t>
            </w:r>
          </w:p>
        </w:tc>
        <w:tc>
          <w:tcPr>
            <w:tcW w:w="2080" w:type="dxa"/>
            <w:vAlign w:val="bottom"/>
            <w:gridSpan w:val="2"/>
          </w:tcPr>
          <w:p>
            <w:pPr>
              <w:jc w:val="right"/>
              <w:ind w:right="660"/>
              <w:spacing w:after="0"/>
              <w:rPr>
                <w:sz w:val="20"/>
                <w:szCs w:val="20"/>
                <w:color w:val="auto"/>
              </w:rPr>
            </w:pPr>
            <w:r>
              <w:rPr>
                <w:rFonts w:ascii="Arial" w:cs="Arial" w:eastAsia="Arial" w:hAnsi="Arial"/>
                <w:sz w:val="18"/>
                <w:szCs w:val="18"/>
                <w:color w:val="auto"/>
              </w:rPr>
              <w:t>2,324,918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3,999,998</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Longitude Venture Partners IV, L.P.</w:t>
            </w:r>
            <w:r>
              <w:rPr>
                <w:rFonts w:ascii="Arial" w:cs="Arial" w:eastAsia="Arial" w:hAnsi="Arial"/>
                <w:sz w:val="25"/>
                <w:szCs w:val="25"/>
                <w:color w:val="auto"/>
                <w:vertAlign w:val="superscript"/>
              </w:rPr>
              <w:t>(3)</w:t>
            </w:r>
          </w:p>
        </w:tc>
        <w:tc>
          <w:tcPr>
            <w:tcW w:w="2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2,906,148</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line="216" w:lineRule="exact"/>
              <w:rPr>
                <w:sz w:val="20"/>
                <w:szCs w:val="20"/>
                <w:color w:val="auto"/>
              </w:rPr>
            </w:pPr>
            <w:r>
              <w:rPr>
                <w:rFonts w:ascii="Arial" w:cs="Arial" w:eastAsia="Arial" w:hAnsi="Arial"/>
                <w:sz w:val="17"/>
                <w:szCs w:val="17"/>
                <w:color w:val="auto"/>
              </w:rPr>
              <w:t>Lundbeckfond Invest A/S</w:t>
            </w:r>
            <w:r>
              <w:rPr>
                <w:rFonts w:ascii="Arial" w:cs="Arial" w:eastAsia="Arial" w:hAnsi="Arial"/>
                <w:sz w:val="25"/>
                <w:szCs w:val="25"/>
                <w:color w:val="auto"/>
                <w:vertAlign w:val="superscript"/>
              </w:rPr>
              <w:t>(4)</w:t>
            </w:r>
          </w:p>
        </w:tc>
        <w:tc>
          <w:tcPr>
            <w:tcW w:w="2080" w:type="dxa"/>
            <w:vAlign w:val="bottom"/>
            <w:gridSpan w:val="2"/>
          </w:tcPr>
          <w:p>
            <w:pPr>
              <w:jc w:val="right"/>
              <w:ind w:right="660"/>
              <w:spacing w:after="0"/>
              <w:rPr>
                <w:sz w:val="20"/>
                <w:szCs w:val="20"/>
                <w:color w:val="auto"/>
              </w:rPr>
            </w:pPr>
            <w:r>
              <w:rPr>
                <w:rFonts w:ascii="Arial" w:cs="Arial" w:eastAsia="Arial" w:hAnsi="Arial"/>
                <w:sz w:val="18"/>
                <w:szCs w:val="18"/>
                <w:color w:val="auto"/>
              </w:rPr>
              <w:t>2,615,533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4,499,998</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Mutual Fund Series Trust, On Behalf Of Eventide Healthcare &amp; Life Sciences Fund</w:t>
            </w:r>
            <w:r>
              <w:rPr>
                <w:rFonts w:ascii="Arial" w:cs="Arial" w:eastAsia="Arial" w:hAnsi="Arial"/>
                <w:sz w:val="25"/>
                <w:szCs w:val="25"/>
                <w:color w:val="auto"/>
                <w:vertAlign w:val="superscript"/>
              </w:rPr>
              <w:t>(5)</w:t>
            </w:r>
          </w:p>
        </w:tc>
        <w:tc>
          <w:tcPr>
            <w:tcW w:w="2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8,718,446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line="216" w:lineRule="exact"/>
              <w:rPr>
                <w:sz w:val="20"/>
                <w:szCs w:val="20"/>
                <w:color w:val="auto"/>
              </w:rPr>
            </w:pPr>
            <w:r>
              <w:rPr>
                <w:rFonts w:ascii="Arial" w:cs="Arial" w:eastAsia="Arial" w:hAnsi="Arial"/>
                <w:sz w:val="17"/>
                <w:szCs w:val="17"/>
                <w:color w:val="auto"/>
              </w:rPr>
              <w:t>Omega Fund VI, L.P.</w:t>
            </w:r>
            <w:r>
              <w:rPr>
                <w:rFonts w:ascii="Arial" w:cs="Arial" w:eastAsia="Arial" w:hAnsi="Arial"/>
                <w:sz w:val="25"/>
                <w:szCs w:val="25"/>
                <w:color w:val="auto"/>
                <w:vertAlign w:val="superscript"/>
              </w:rPr>
              <w:t>(6)</w:t>
            </w:r>
          </w:p>
        </w:tc>
        <w:tc>
          <w:tcPr>
            <w:tcW w:w="2080" w:type="dxa"/>
            <w:vAlign w:val="bottom"/>
            <w:gridSpan w:val="2"/>
          </w:tcPr>
          <w:p>
            <w:pPr>
              <w:jc w:val="right"/>
              <w:ind w:right="660"/>
              <w:spacing w:after="0"/>
              <w:rPr>
                <w:sz w:val="20"/>
                <w:szCs w:val="20"/>
                <w:color w:val="auto"/>
              </w:rPr>
            </w:pPr>
            <w:r>
              <w:rPr>
                <w:rFonts w:ascii="Arial" w:cs="Arial" w:eastAsia="Arial" w:hAnsi="Arial"/>
                <w:sz w:val="18"/>
                <w:szCs w:val="18"/>
                <w:color w:val="auto"/>
              </w:rPr>
              <w:t>2,615,533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4,499,998</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Paul McCormac, Ph.D.</w:t>
            </w:r>
            <w:r>
              <w:rPr>
                <w:rFonts w:ascii="Arial" w:cs="Arial" w:eastAsia="Arial" w:hAnsi="Arial"/>
                <w:sz w:val="26"/>
                <w:szCs w:val="26"/>
                <w:color w:val="auto"/>
                <w:vertAlign w:val="superscript"/>
              </w:rPr>
              <w:t>(7)</w:t>
            </w:r>
          </w:p>
        </w:tc>
        <w:tc>
          <w:tcPr>
            <w:tcW w:w="6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29,061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0"/>
        </w:trPr>
        <w:tc>
          <w:tcPr>
            <w:tcW w:w="6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40" w:right="180" w:hanging="324"/>
        <w:spacing w:after="0" w:line="250"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D1 Master Holdco I LLC, or Holdco I, holds more than 5% of our capital stock prior to this offering. Holdco I is a wholly owned subsidiary of D1 Capital Partners Master LP. D1 Capital Partners L.P. is a registered investment adviser and serves as the investment manager of private investment vehicles and accounts, including D1 Capital Partners Master LP, and may be deemed to beneficially own the shares held by Holdco I. Daniel Sundheim indirectly controls D1 Capital Partners L.P., and may be deemed to beneficially own the shares held by Holdco I. Paula HJ Cholmondeley was designated to serve as a member of our board of directors by Holdco I.</w:t>
      </w:r>
    </w:p>
    <w:p>
      <w:pPr>
        <w:spacing w:after="0" w:line="52" w:lineRule="exact"/>
        <w:rPr>
          <w:rFonts w:ascii="Arial" w:cs="Arial" w:eastAsia="Arial" w:hAnsi="Arial"/>
          <w:sz w:val="13"/>
          <w:szCs w:val="13"/>
          <w:color w:val="auto"/>
        </w:rPr>
      </w:pPr>
    </w:p>
    <w:p>
      <w:pPr>
        <w:ind w:left="440" w:right="280" w:hanging="324"/>
        <w:spacing w:after="0" w:line="317" w:lineRule="auto"/>
        <w:tabs>
          <w:tab w:leader="none" w:pos="4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Consists of (i) 883,469 shares of Series B preferred stock purchased by Janus Henderson Global Life Sciences Fund and (ii) 1,441,449 shares of Series B preferred stock purchased by Janus Henderson Capital Funds PLC on behalf of its Series Janus Henderson Global Life Sciences Fund. Entities affiliated with Janus Henderson Investors hold more than 5% of our voting securities.</w:t>
      </w:r>
    </w:p>
    <w:p>
      <w:pPr>
        <w:spacing w:after="0" w:line="13" w:lineRule="exact"/>
        <w:rPr>
          <w:rFonts w:ascii="Arial" w:cs="Arial" w:eastAsia="Arial" w:hAnsi="Arial"/>
          <w:sz w:val="12"/>
          <w:szCs w:val="12"/>
          <w:color w:val="auto"/>
        </w:rPr>
      </w:pPr>
    </w:p>
    <w:p>
      <w:pPr>
        <w:ind w:left="440" w:right="220" w:hanging="324"/>
        <w:spacing w:after="0" w:line="274"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Longitude Venture Partners IV, L.P., or LVP IV, holds more than 5% of our capital stock prior to this offering. Longitude Capital Partners IV, LLC is the general partner of LVP IV. Reinaldo Diaz was designated to serve as a member of our board of directors by LVP IV.</w:t>
      </w:r>
    </w:p>
    <w:p>
      <w:pPr>
        <w:spacing w:after="0" w:line="36" w:lineRule="exact"/>
        <w:rPr>
          <w:rFonts w:ascii="Arial" w:cs="Arial" w:eastAsia="Arial" w:hAnsi="Arial"/>
          <w:sz w:val="13"/>
          <w:szCs w:val="13"/>
          <w:color w:val="auto"/>
        </w:rPr>
      </w:pPr>
    </w:p>
    <w:p>
      <w:pPr>
        <w:ind w:left="440" w:right="180" w:hanging="324"/>
        <w:spacing w:after="0" w:line="274" w:lineRule="auto"/>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Lundbeckfond Invest A/S holds more than 5% of our capital stock prior to this offering. Mette Kirstine Agger is the former Managing Partner of Lundbeckfonden BioCapital, a department within Lundbeckfond Invest A/S, and was designated to serve as a member of our board of directors by Lundbeckfond Invest A/S.</w:t>
      </w:r>
    </w:p>
    <w:p>
      <w:pPr>
        <w:spacing w:after="0" w:line="36" w:lineRule="exact"/>
        <w:rPr>
          <w:rFonts w:ascii="Arial" w:cs="Arial" w:eastAsia="Arial" w:hAnsi="Arial"/>
          <w:sz w:val="13"/>
          <w:szCs w:val="13"/>
          <w:color w:val="auto"/>
        </w:rPr>
      </w:pPr>
    </w:p>
    <w:p>
      <w:pPr>
        <w:ind w:left="440" w:hanging="324"/>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Mutual Fund Series Trust, on behalf of Eventide Healthcare &amp; Life Sciences Fund, holds more than 5% of our capital stock prior to this offering.</w:t>
      </w:r>
    </w:p>
    <w:p>
      <w:pPr>
        <w:spacing w:after="0" w:line="80" w:lineRule="exact"/>
        <w:rPr>
          <w:rFonts w:ascii="Arial" w:cs="Arial" w:eastAsia="Arial" w:hAnsi="Arial"/>
          <w:sz w:val="13"/>
          <w:szCs w:val="13"/>
          <w:color w:val="auto"/>
        </w:rPr>
      </w:pPr>
    </w:p>
    <w:p>
      <w:pPr>
        <w:ind w:left="440" w:right="400" w:hanging="324"/>
        <w:spacing w:after="0" w:line="317" w:lineRule="auto"/>
        <w:tabs>
          <w:tab w:leader="none" w:pos="4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Omega Fund VI , L.P. , or Omega Fund, holds more than 5% of our capital stock prior to this offering. Omega Fund VI GP, L.P., or Omega GP, is the sole general partner of Omega Fund, and Omega Fund VI GP Manager, Ltd. is the sole general partner of Omega GP. Bernard Davitian was designated to serve as a member of our board of directors by Omega Fund.</w:t>
      </w:r>
    </w:p>
    <w:p>
      <w:pPr>
        <w:spacing w:after="0" w:line="13" w:lineRule="exact"/>
        <w:rPr>
          <w:rFonts w:ascii="Arial" w:cs="Arial" w:eastAsia="Arial" w:hAnsi="Arial"/>
          <w:sz w:val="12"/>
          <w:szCs w:val="12"/>
          <w:color w:val="auto"/>
        </w:rPr>
      </w:pPr>
    </w:p>
    <w:p>
      <w:pPr>
        <w:ind w:left="440" w:hanging="324"/>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All shares are held by Paul McCormac, Ph.D., our Chief Technical Officer.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voting and right of first refusal agreements</w:t>
      </w:r>
    </w:p>
    <w:p>
      <w:pPr>
        <w:spacing w:after="0" w:line="138"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In connection with the sales of convertible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convertible preferred stock, including funds affiliated with D1 Capital Partners, Eventide Healthcare &amp; Life Sciences Fund, Janus Henderson Investors, Longitude Capital, Lundbeckfond Invest A/S, Omega Funds and PBM Capital.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arrangements</w:t>
      </w:r>
    </w:p>
    <w:p>
      <w:pPr>
        <w:spacing w:after="0" w:line="13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such employment agreements, see “Executive Compensation—Agreements with our Named Executive Officers.”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16" w:lineRule="exact"/>
        <w:rPr>
          <w:sz w:val="20"/>
          <w:szCs w:val="20"/>
          <w:color w:val="auto"/>
        </w:rPr>
      </w:pPr>
    </w:p>
    <w:p>
      <w:pPr>
        <w:ind w:left="120" w:right="1060"/>
        <w:spacing w:after="0" w:line="258"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amended and restated indemnification agreements with each of our directors and enter into</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indemnification agreements with each of our executive officers prior to the closing of this offering. For more information regarding these agreements, see “Executive Compensation—Limitations on Liability and Indemnification Matters.”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Related person transaction policy</w:t>
      </w:r>
    </w:p>
    <w:p>
      <w:pPr>
        <w:spacing w:after="0" w:line="1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1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111" w:lineRule="exact"/>
        <w:rPr>
          <w:sz w:val="20"/>
          <w:szCs w:val="20"/>
          <w:color w:val="auto"/>
        </w:rPr>
      </w:pPr>
    </w:p>
    <w:p>
      <w:pPr>
        <w:ind w:left="340" w:hanging="224"/>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57" w:lineRule="exact"/>
        <w:rPr>
          <w:rFonts w:ascii="Arial" w:cs="Arial" w:eastAsia="Arial" w:hAnsi="Arial"/>
          <w:sz w:val="18"/>
          <w:szCs w:val="18"/>
          <w:color w:val="auto"/>
        </w:rPr>
      </w:pPr>
    </w:p>
    <w:p>
      <w:pPr>
        <w:ind w:left="340" w:right="360" w:hanging="224"/>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4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03"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stockholders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158" w:lineRule="exact"/>
        <w:rPr>
          <w:sz w:val="20"/>
          <w:szCs w:val="20"/>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named executive officers;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58" w:lineRule="exact"/>
        <w:rPr>
          <w:sz w:val="20"/>
          <w:szCs w:val="20"/>
          <w:color w:val="auto"/>
        </w:rPr>
      </w:pPr>
    </w:p>
    <w:p>
      <w:pPr>
        <w:ind w:left="120" w:right="200"/>
        <w:spacing w:after="0" w:line="268" w:lineRule="auto"/>
        <w:rPr>
          <w:sz w:val="20"/>
          <w:szCs w:val="20"/>
          <w:color w:val="auto"/>
        </w:rPr>
      </w:pPr>
      <w:r>
        <w:rPr>
          <w:rFonts w:ascii="Arial" w:cs="Arial" w:eastAsia="Arial" w:hAnsi="Arial"/>
          <w:sz w:val="17"/>
          <w:szCs w:val="17"/>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before the offering is based on 15,220,250 shares of common stock outstanding as of September 30, 2023, after giving effect to the Stock Split and conversion of all of our convertible preferred stock into shares of our common stock upon the closing of this offering. Applicable percentage ownership after the offering is based on 25,030,808 shares of common stock outstanding as of September 30, 2023 (including 486,987 additional shares issuable upon conversion of our Series B convertible preferred stock due to anti-dilution adjustments, based on an assumed initial public offering price of $14.00 per share, which is the midpoint of the estimated offering price range set forth on the cover page of this prospectus) upon the closing of this offering. In computing the number of shares beneficially owned by an individual or entity and the percentage ownership of that person, shares of common stock subject to options held by such person that are currently exercisable or will become exercisable within 60 days of September 30, 2023 are considered outstanding, although these shares are not considered outstanding for purposes of computing the percentage ownership of any other person. For the purposes of beneficial ownership, all shares of common stock issued pursuant to the early exercise of unvested options that are subject to a right of repurchase by us are considered outstanding. For more information about the conversion of the shares of our preferred stock, see the section titled “Description of Capital Stock.”</w:t>
      </w:r>
    </w:p>
    <w:p>
      <w:pPr>
        <w:spacing w:after="0" w:line="10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Unless noted otherwise, the address of all listed stockholders is c/o Lexeo Therapeutics, Inc., 345 Park Avenue South, Floor 6, New York, New York 10010.</w:t>
      </w:r>
    </w:p>
    <w:p>
      <w:pPr>
        <w:spacing w:after="0" w:line="103"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2140" w:type="dxa"/>
            <w:vAlign w:val="bottom"/>
          </w:tcPr>
          <w:p>
            <w:pPr>
              <w:jc w:val="right"/>
              <w:ind w:right="573"/>
              <w:spacing w:after="0"/>
              <w:rPr>
                <w:sz w:val="20"/>
                <w:szCs w:val="20"/>
                <w:color w:val="auto"/>
              </w:rPr>
            </w:pPr>
            <w:r>
              <w:rPr>
                <w:rFonts w:ascii="Arial" w:cs="Arial" w:eastAsia="Arial" w:hAnsi="Arial"/>
                <w:sz w:val="16"/>
                <w:szCs w:val="16"/>
                <w:b w:val="1"/>
                <w:bCs w:val="1"/>
                <w:color w:val="auto"/>
              </w:rPr>
              <w:t>Number of</w:t>
            </w: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Percentage of Shares</w:t>
            </w:r>
          </w:p>
        </w:tc>
      </w:tr>
      <w:tr>
        <w:trPr>
          <w:trHeight w:val="223"/>
        </w:trPr>
        <w:tc>
          <w:tcPr>
            <w:tcW w:w="7140" w:type="dxa"/>
            <w:vAlign w:val="bottom"/>
          </w:tcPr>
          <w:p>
            <w:pPr>
              <w:spacing w:after="0"/>
              <w:rPr>
                <w:sz w:val="19"/>
                <w:szCs w:val="19"/>
                <w:color w:val="auto"/>
              </w:rPr>
            </w:pPr>
          </w:p>
        </w:tc>
        <w:tc>
          <w:tcPr>
            <w:tcW w:w="2140" w:type="dxa"/>
            <w:vAlign w:val="bottom"/>
          </w:tcPr>
          <w:p>
            <w:pPr>
              <w:jc w:val="right"/>
              <w:ind w:right="573"/>
              <w:spacing w:after="0"/>
              <w:rPr>
                <w:sz w:val="20"/>
                <w:szCs w:val="20"/>
                <w:color w:val="auto"/>
              </w:rPr>
            </w:pPr>
            <w:r>
              <w:rPr>
                <w:rFonts w:ascii="Arial" w:cs="Arial" w:eastAsia="Arial" w:hAnsi="Arial"/>
                <w:sz w:val="16"/>
                <w:szCs w:val="16"/>
                <w:b w:val="1"/>
                <w:bCs w:val="1"/>
                <w:color w:val="auto"/>
              </w:rPr>
              <w:t>Shares</w:t>
            </w: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Beneficially Owned</w:t>
            </w:r>
          </w:p>
        </w:tc>
      </w:tr>
      <w:tr>
        <w:trPr>
          <w:trHeight w:val="202"/>
        </w:trPr>
        <w:tc>
          <w:tcPr>
            <w:tcW w:w="7140" w:type="dxa"/>
            <w:vAlign w:val="bottom"/>
          </w:tcPr>
          <w:p>
            <w:pPr>
              <w:spacing w:after="0"/>
              <w:rPr>
                <w:sz w:val="17"/>
                <w:szCs w:val="17"/>
                <w:color w:val="auto"/>
              </w:rPr>
            </w:pPr>
          </w:p>
        </w:tc>
        <w:tc>
          <w:tcPr>
            <w:tcW w:w="2140" w:type="dxa"/>
            <w:vAlign w:val="bottom"/>
          </w:tcPr>
          <w:p>
            <w:pPr>
              <w:jc w:val="right"/>
              <w:ind w:right="573"/>
              <w:spacing w:after="0"/>
              <w:rPr>
                <w:sz w:val="20"/>
                <w:szCs w:val="20"/>
                <w:color w:val="auto"/>
              </w:rPr>
            </w:pPr>
            <w:r>
              <w:rPr>
                <w:rFonts w:ascii="Arial" w:cs="Arial" w:eastAsia="Arial" w:hAnsi="Arial"/>
                <w:sz w:val="16"/>
                <w:szCs w:val="16"/>
                <w:b w:val="1"/>
                <w:bCs w:val="1"/>
                <w:color w:val="auto"/>
              </w:rPr>
              <w:t>Beneficially</w:t>
            </w:r>
          </w:p>
        </w:tc>
        <w:tc>
          <w:tcPr>
            <w:tcW w:w="840" w:type="dxa"/>
            <w:vAlign w:val="bottom"/>
            <w:tcBorders>
              <w:top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Before</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After</w:t>
            </w:r>
          </w:p>
        </w:tc>
        <w:tc>
          <w:tcPr>
            <w:tcW w:w="80" w:type="dxa"/>
            <w:vAlign w:val="bottom"/>
          </w:tcPr>
          <w:p>
            <w:pPr>
              <w:spacing w:after="0"/>
              <w:rPr>
                <w:sz w:val="17"/>
                <w:szCs w:val="17"/>
                <w:color w:val="auto"/>
              </w:rPr>
            </w:pPr>
          </w:p>
        </w:tc>
      </w:tr>
      <w:tr>
        <w:trPr>
          <w:trHeight w:val="213"/>
        </w:trPr>
        <w:tc>
          <w:tcPr>
            <w:tcW w:w="7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Owned</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3"/>
              </w:rPr>
              <w:t>Offering</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Offering</w:t>
            </w:r>
          </w:p>
        </w:tc>
      </w:tr>
      <w:tr>
        <w:trPr>
          <w:trHeight w:val="198"/>
        </w:trPr>
        <w:tc>
          <w:tcPr>
            <w:tcW w:w="7140" w:type="dxa"/>
            <w:vAlign w:val="bottom"/>
          </w:tcPr>
          <w:p>
            <w:pPr>
              <w:spacing w:after="0" w:line="198" w:lineRule="exact"/>
              <w:rPr>
                <w:sz w:val="20"/>
                <w:szCs w:val="20"/>
                <w:color w:val="auto"/>
              </w:rPr>
            </w:pPr>
            <w:r>
              <w:rPr>
                <w:rFonts w:ascii="Arial" w:cs="Arial" w:eastAsia="Arial" w:hAnsi="Arial"/>
                <w:sz w:val="18"/>
                <w:szCs w:val="18"/>
                <w:b w:val="1"/>
                <w:bCs w:val="1"/>
                <w:color w:val="auto"/>
              </w:rPr>
              <w:t>Greater than 5% stockholders</w:t>
            </w:r>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D1 Master Holdco I LLC</w:t>
            </w:r>
            <w:r>
              <w:rPr>
                <w:rFonts w:ascii="Arial" w:cs="Arial" w:eastAsia="Arial" w:hAnsi="Arial"/>
                <w:sz w:val="25"/>
                <w:szCs w:val="25"/>
                <w:color w:val="auto"/>
                <w:vertAlign w:val="superscript"/>
              </w:rPr>
              <w:t>(1)</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2,090,543</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13.7%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Entities affiliated with PBM LEX Holdings, LLC</w:t>
            </w:r>
            <w:r>
              <w:rPr>
                <w:rFonts w:ascii="Arial" w:cs="Arial" w:eastAsia="Arial" w:hAnsi="Arial"/>
                <w:sz w:val="25"/>
                <w:szCs w:val="25"/>
                <w:color w:val="auto"/>
                <w:vertAlign w:val="superscript"/>
              </w:rPr>
              <w:t>(2)</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1,132,692</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Entities affiliated with Janus Henderson Investors</w:t>
            </w:r>
            <w:r>
              <w:rPr>
                <w:rFonts w:ascii="Arial" w:cs="Arial" w:eastAsia="Arial" w:hAnsi="Arial"/>
                <w:sz w:val="25"/>
                <w:szCs w:val="25"/>
                <w:color w:val="auto"/>
                <w:vertAlign w:val="superscript"/>
              </w:rPr>
              <w:t>(3)</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1,182,829</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Longitude Venture Partners IV, L.P.</w:t>
            </w:r>
            <w:r>
              <w:rPr>
                <w:rFonts w:ascii="Arial" w:cs="Arial" w:eastAsia="Arial" w:hAnsi="Arial"/>
                <w:sz w:val="25"/>
                <w:szCs w:val="25"/>
                <w:color w:val="auto"/>
                <w:vertAlign w:val="superscript"/>
              </w:rPr>
              <w:t>(4)</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2,092,078</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13.7%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Lundbeckfond Invest A/S</w:t>
            </w:r>
            <w:r>
              <w:rPr>
                <w:rFonts w:ascii="Arial" w:cs="Arial" w:eastAsia="Arial" w:hAnsi="Arial"/>
                <w:sz w:val="25"/>
                <w:szCs w:val="25"/>
                <w:color w:val="auto"/>
                <w:vertAlign w:val="superscript"/>
              </w:rPr>
              <w:t>(5)</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1,590,258</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Mutual Fund Series Trust, on Behalf of Eventide Healthcare &amp; Life Sciences Fund</w:t>
            </w:r>
            <w:r>
              <w:rPr>
                <w:rFonts w:ascii="Arial" w:cs="Arial" w:eastAsia="Arial" w:hAnsi="Arial"/>
                <w:sz w:val="25"/>
                <w:szCs w:val="25"/>
                <w:color w:val="auto"/>
                <w:vertAlign w:val="superscript"/>
              </w:rPr>
              <w:t>(6)</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895,947</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r>
      <w:tr>
        <w:trPr>
          <w:trHeight w:val="216"/>
        </w:trPr>
        <w:tc>
          <w:tcPr>
            <w:tcW w:w="7140" w:type="dxa"/>
            <w:vAlign w:val="bottom"/>
          </w:tcPr>
          <w:p>
            <w:pPr>
              <w:ind w:left="360"/>
              <w:spacing w:after="0" w:line="216" w:lineRule="exact"/>
              <w:rPr>
                <w:sz w:val="20"/>
                <w:szCs w:val="20"/>
                <w:color w:val="auto"/>
              </w:rPr>
            </w:pPr>
            <w:r>
              <w:rPr>
                <w:rFonts w:ascii="Arial" w:cs="Arial" w:eastAsia="Arial" w:hAnsi="Arial"/>
                <w:sz w:val="17"/>
                <w:szCs w:val="17"/>
                <w:color w:val="auto"/>
              </w:rPr>
              <w:t>Omega Fund VI, L.P</w:t>
            </w:r>
            <w:r>
              <w:rPr>
                <w:rFonts w:ascii="Arial" w:cs="Arial" w:eastAsia="Arial" w:hAnsi="Arial"/>
                <w:sz w:val="25"/>
                <w:szCs w:val="25"/>
                <w:color w:val="auto"/>
                <w:vertAlign w:val="superscript"/>
              </w:rPr>
              <w:t>(7)</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1,684,649</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r>
      <w:tr>
        <w:trPr>
          <w:trHeight w:val="356"/>
        </w:trPr>
        <w:tc>
          <w:tcPr>
            <w:tcW w:w="7140" w:type="dxa"/>
            <w:vAlign w:val="bottom"/>
          </w:tcPr>
          <w:p>
            <w:pPr>
              <w:ind w:left="360"/>
              <w:spacing w:after="0"/>
              <w:rPr>
                <w:sz w:val="20"/>
                <w:szCs w:val="20"/>
                <w:color w:val="auto"/>
              </w:rPr>
            </w:pPr>
            <w:r>
              <w:rPr>
                <w:rFonts w:ascii="Arial" w:cs="Arial" w:eastAsia="Arial" w:hAnsi="Arial"/>
                <w:sz w:val="18"/>
                <w:szCs w:val="18"/>
                <w:color w:val="auto"/>
              </w:rPr>
              <w:t>Ronald G. Crystal, M.D., and affiliates</w:t>
            </w:r>
            <w:r>
              <w:rPr>
                <w:rFonts w:ascii="Arial" w:cs="Arial" w:eastAsia="Arial" w:hAnsi="Arial"/>
                <w:sz w:val="26"/>
                <w:szCs w:val="26"/>
                <w:color w:val="auto"/>
                <w:vertAlign w:val="superscript"/>
              </w:rPr>
              <w:t>(8)</w:t>
            </w:r>
          </w:p>
        </w:tc>
        <w:tc>
          <w:tcPr>
            <w:tcW w:w="2140" w:type="dxa"/>
            <w:vAlign w:val="bottom"/>
          </w:tcPr>
          <w:p>
            <w:pPr>
              <w:jc w:val="right"/>
              <w:ind w:right="573"/>
              <w:spacing w:after="0"/>
              <w:rPr>
                <w:sz w:val="20"/>
                <w:szCs w:val="20"/>
                <w:color w:val="auto"/>
              </w:rPr>
            </w:pPr>
            <w:r>
              <w:rPr>
                <w:rFonts w:ascii="Arial" w:cs="Arial" w:eastAsia="Arial" w:hAnsi="Arial"/>
                <w:sz w:val="18"/>
                <w:szCs w:val="18"/>
                <w:color w:val="auto"/>
              </w:rPr>
              <w:t>1,506,596</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39"/>
        </w:trPr>
        <w:tc>
          <w:tcPr>
            <w:tcW w:w="7140" w:type="dxa"/>
            <w:vAlign w:val="bottom"/>
          </w:tcPr>
          <w:p>
            <w:pPr>
              <w:ind w:left="5360"/>
              <w:spacing w:after="0"/>
              <w:rPr>
                <w:sz w:val="20"/>
                <w:szCs w:val="20"/>
                <w:color w:val="auto"/>
              </w:rPr>
            </w:pPr>
            <w:r>
              <w:rPr>
                <w:rFonts w:ascii="Arial" w:cs="Arial" w:eastAsia="Arial" w:hAnsi="Arial"/>
                <w:sz w:val="18"/>
                <w:szCs w:val="18"/>
                <w:color w:val="auto"/>
              </w:rPr>
              <w:t>225</w:t>
            </w:r>
          </w:p>
        </w:tc>
        <w:tc>
          <w:tcPr>
            <w:tcW w:w="2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860" w:type="dxa"/>
            <w:vAlign w:val="bottom"/>
          </w:tcPr>
          <w:p>
            <w:pPr>
              <w:jc w:val="right"/>
              <w:ind w:right="573"/>
              <w:spacing w:after="0"/>
              <w:rPr>
                <w:sz w:val="20"/>
                <w:szCs w:val="20"/>
                <w:color w:val="auto"/>
              </w:rPr>
            </w:pPr>
            <w:r>
              <w:rPr>
                <w:rFonts w:ascii="Arial" w:cs="Arial" w:eastAsia="Arial" w:hAnsi="Arial"/>
                <w:sz w:val="16"/>
                <w:szCs w:val="16"/>
                <w:b w:val="1"/>
                <w:bCs w:val="1"/>
                <w:color w:val="auto"/>
              </w:rPr>
              <w:t>Number of</w:t>
            </w: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Percentage of Shares</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2860" w:type="dxa"/>
            <w:vAlign w:val="bottom"/>
          </w:tcPr>
          <w:p>
            <w:pPr>
              <w:jc w:val="right"/>
              <w:ind w:right="573"/>
              <w:spacing w:after="0"/>
              <w:rPr>
                <w:sz w:val="20"/>
                <w:szCs w:val="20"/>
                <w:color w:val="auto"/>
              </w:rPr>
            </w:pPr>
            <w:r>
              <w:rPr>
                <w:rFonts w:ascii="Arial" w:cs="Arial" w:eastAsia="Arial" w:hAnsi="Arial"/>
                <w:sz w:val="16"/>
                <w:szCs w:val="16"/>
                <w:b w:val="1"/>
                <w:bCs w:val="1"/>
                <w:color w:val="auto"/>
              </w:rPr>
              <w:t>Shares</w:t>
            </w: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202"/>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860" w:type="dxa"/>
            <w:vAlign w:val="bottom"/>
          </w:tcPr>
          <w:p>
            <w:pPr>
              <w:jc w:val="right"/>
              <w:ind w:right="573"/>
              <w:spacing w:after="0"/>
              <w:rPr>
                <w:sz w:val="20"/>
                <w:szCs w:val="20"/>
                <w:color w:val="auto"/>
              </w:rPr>
            </w:pPr>
            <w:r>
              <w:rPr>
                <w:rFonts w:ascii="Arial" w:cs="Arial" w:eastAsia="Arial" w:hAnsi="Arial"/>
                <w:sz w:val="16"/>
                <w:szCs w:val="16"/>
                <w:b w:val="1"/>
                <w:bCs w:val="1"/>
                <w:color w:val="auto"/>
              </w:rPr>
              <w:t>Beneficially</w:t>
            </w:r>
          </w:p>
        </w:tc>
        <w:tc>
          <w:tcPr>
            <w:tcW w:w="900" w:type="dxa"/>
            <w:vAlign w:val="bottom"/>
            <w:tcBorders>
              <w:top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Before</w:t>
            </w:r>
          </w:p>
        </w:tc>
        <w:tc>
          <w:tcPr>
            <w:tcW w:w="76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After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Owned</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3"/>
              </w:rPr>
              <w:t>Offering</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Offering</w:t>
            </w:r>
          </w:p>
        </w:tc>
        <w:tc>
          <w:tcPr>
            <w:tcW w:w="0" w:type="dxa"/>
            <w:vAlign w:val="bottom"/>
          </w:tcPr>
          <w:p>
            <w:pPr>
              <w:spacing w:after="0"/>
              <w:rPr>
                <w:sz w:val="1"/>
                <w:szCs w:val="1"/>
                <w:color w:val="auto"/>
              </w:rPr>
            </w:pPr>
          </w:p>
        </w:tc>
      </w:tr>
      <w:tr>
        <w:trPr>
          <w:trHeight w:val="195"/>
        </w:trPr>
        <w:tc>
          <w:tcPr>
            <w:tcW w:w="6420" w:type="dxa"/>
            <w:vAlign w:val="bottom"/>
          </w:tcPr>
          <w:p>
            <w:pPr>
              <w:ind w:left="360"/>
              <w:spacing w:after="0" w:line="195" w:lineRule="exact"/>
              <w:rPr>
                <w:sz w:val="20"/>
                <w:szCs w:val="20"/>
                <w:color w:val="auto"/>
              </w:rPr>
            </w:pPr>
            <w:r>
              <w:rPr>
                <w:rFonts w:ascii="Arial" w:cs="Arial" w:eastAsia="Arial" w:hAnsi="Arial"/>
                <w:sz w:val="16"/>
                <w:szCs w:val="16"/>
                <w:color w:val="auto"/>
              </w:rPr>
              <w:t>R. Nolan Townsend</w:t>
            </w:r>
            <w:r>
              <w:rPr>
                <w:rFonts w:ascii="Arial" w:cs="Arial" w:eastAsia="Arial" w:hAnsi="Arial"/>
                <w:sz w:val="22"/>
                <w:szCs w:val="22"/>
                <w:color w:val="auto"/>
                <w:vertAlign w:val="superscript"/>
              </w:rPr>
              <w:t>(9)</w:t>
            </w:r>
          </w:p>
        </w:tc>
        <w:tc>
          <w:tcPr>
            <w:tcW w:w="2860" w:type="dxa"/>
            <w:vAlign w:val="bottom"/>
          </w:tcPr>
          <w:p>
            <w:pPr>
              <w:jc w:val="right"/>
              <w:ind w:right="573"/>
              <w:spacing w:after="0" w:line="195" w:lineRule="exact"/>
              <w:rPr>
                <w:sz w:val="20"/>
                <w:szCs w:val="20"/>
                <w:color w:val="auto"/>
              </w:rPr>
            </w:pPr>
            <w:r>
              <w:rPr>
                <w:rFonts w:ascii="Arial" w:cs="Arial" w:eastAsia="Arial" w:hAnsi="Arial"/>
                <w:sz w:val="18"/>
                <w:szCs w:val="18"/>
                <w:color w:val="auto"/>
              </w:rPr>
              <w:t>906,222</w:t>
            </w:r>
          </w:p>
        </w:tc>
        <w:tc>
          <w:tcPr>
            <w:tcW w:w="900" w:type="dxa"/>
            <w:vAlign w:val="bottom"/>
          </w:tcPr>
          <w:p>
            <w:pPr>
              <w:jc w:val="right"/>
              <w:ind w:right="193"/>
              <w:spacing w:after="0" w:line="195" w:lineRule="exact"/>
              <w:rPr>
                <w:sz w:val="20"/>
                <w:szCs w:val="20"/>
                <w:color w:val="auto"/>
              </w:rPr>
            </w:pPr>
            <w:r>
              <w:rPr>
                <w:rFonts w:ascii="Arial" w:cs="Arial" w:eastAsia="Arial" w:hAnsi="Arial"/>
                <w:sz w:val="18"/>
                <w:szCs w:val="18"/>
                <w:color w:val="auto"/>
              </w:rPr>
              <w:t>5.7%</w:t>
            </w:r>
          </w:p>
        </w:tc>
        <w:tc>
          <w:tcPr>
            <w:tcW w:w="84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Jenny R. Robertson</w:t>
            </w:r>
            <w:r>
              <w:rPr>
                <w:rFonts w:ascii="Arial" w:cs="Arial" w:eastAsia="Arial" w:hAnsi="Arial"/>
                <w:sz w:val="26"/>
                <w:szCs w:val="26"/>
                <w:color w:val="auto"/>
                <w:vertAlign w:val="superscript"/>
              </w:rPr>
              <w:t>(10)</w:t>
            </w:r>
          </w:p>
        </w:tc>
        <w:tc>
          <w:tcPr>
            <w:tcW w:w="2860" w:type="dxa"/>
            <w:vAlign w:val="bottom"/>
          </w:tcPr>
          <w:p>
            <w:pPr>
              <w:jc w:val="right"/>
              <w:ind w:right="573"/>
              <w:spacing w:after="0"/>
              <w:rPr>
                <w:sz w:val="20"/>
                <w:szCs w:val="20"/>
                <w:color w:val="auto"/>
              </w:rPr>
            </w:pPr>
            <w:r>
              <w:rPr>
                <w:rFonts w:ascii="Arial" w:cs="Arial" w:eastAsia="Arial" w:hAnsi="Arial"/>
                <w:sz w:val="18"/>
                <w:szCs w:val="18"/>
                <w:color w:val="auto"/>
              </w:rPr>
              <w:t>135,516</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line="216" w:lineRule="exact"/>
              <w:rPr>
                <w:sz w:val="20"/>
                <w:szCs w:val="20"/>
                <w:color w:val="auto"/>
              </w:rPr>
            </w:pPr>
            <w:r>
              <w:rPr>
                <w:rFonts w:ascii="Arial" w:cs="Arial" w:eastAsia="Arial" w:hAnsi="Arial"/>
                <w:sz w:val="17"/>
                <w:szCs w:val="17"/>
                <w:color w:val="auto"/>
              </w:rPr>
              <w:t>Paul McCormac, Ph.D.</w:t>
            </w:r>
            <w:r>
              <w:rPr>
                <w:rFonts w:ascii="Arial" w:cs="Arial" w:eastAsia="Arial" w:hAnsi="Arial"/>
                <w:sz w:val="25"/>
                <w:szCs w:val="25"/>
                <w:color w:val="auto"/>
                <w:vertAlign w:val="superscript"/>
              </w:rPr>
              <w:t>(11)</w:t>
            </w:r>
          </w:p>
        </w:tc>
        <w:tc>
          <w:tcPr>
            <w:tcW w:w="2860" w:type="dxa"/>
            <w:vAlign w:val="bottom"/>
          </w:tcPr>
          <w:p>
            <w:pPr>
              <w:jc w:val="right"/>
              <w:ind w:right="573"/>
              <w:spacing w:after="0"/>
              <w:rPr>
                <w:sz w:val="20"/>
                <w:szCs w:val="20"/>
                <w:color w:val="auto"/>
              </w:rPr>
            </w:pPr>
            <w:r>
              <w:rPr>
                <w:rFonts w:ascii="Arial" w:cs="Arial" w:eastAsia="Arial" w:hAnsi="Arial"/>
                <w:sz w:val="18"/>
                <w:szCs w:val="18"/>
                <w:color w:val="auto"/>
              </w:rPr>
              <w:t>184,611</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Mette Kirstine Agger</w:t>
            </w:r>
          </w:p>
        </w:tc>
        <w:tc>
          <w:tcPr>
            <w:tcW w:w="2860" w:type="dxa"/>
            <w:vAlign w:val="bottom"/>
          </w:tcPr>
          <w:p>
            <w:pPr>
              <w:jc w:val="right"/>
              <w:ind w:right="533"/>
              <w:spacing w:after="0"/>
              <w:rPr>
                <w:sz w:val="20"/>
                <w:szCs w:val="20"/>
                <w:color w:val="auto"/>
              </w:rPr>
            </w:pPr>
            <w:r>
              <w:rPr>
                <w:rFonts w:ascii="Arial" w:cs="Arial" w:eastAsia="Arial" w:hAnsi="Arial"/>
                <w:sz w:val="18"/>
                <w:szCs w:val="18"/>
                <w:color w:val="auto"/>
              </w:rPr>
              <w:t>—  </w:t>
            </w:r>
          </w:p>
        </w:tc>
        <w:tc>
          <w:tcPr>
            <w:tcW w:w="900" w:type="dxa"/>
            <w:vAlign w:val="bottom"/>
          </w:tcPr>
          <w:p>
            <w:pPr>
              <w:ind w:left="3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line="216" w:lineRule="exact"/>
              <w:rPr>
                <w:sz w:val="20"/>
                <w:szCs w:val="20"/>
                <w:color w:val="auto"/>
              </w:rPr>
            </w:pPr>
            <w:r>
              <w:rPr>
                <w:rFonts w:ascii="Arial" w:cs="Arial" w:eastAsia="Arial" w:hAnsi="Arial"/>
                <w:sz w:val="17"/>
                <w:szCs w:val="17"/>
                <w:color w:val="auto"/>
              </w:rPr>
              <w:t>Steven Altschuler, M.D.</w:t>
            </w:r>
            <w:r>
              <w:rPr>
                <w:rFonts w:ascii="Arial" w:cs="Arial" w:eastAsia="Arial" w:hAnsi="Arial"/>
                <w:sz w:val="25"/>
                <w:szCs w:val="25"/>
                <w:color w:val="auto"/>
                <w:vertAlign w:val="superscript"/>
              </w:rPr>
              <w:t>(12)</w:t>
            </w:r>
          </w:p>
        </w:tc>
        <w:tc>
          <w:tcPr>
            <w:tcW w:w="2860" w:type="dxa"/>
            <w:vAlign w:val="bottom"/>
          </w:tcPr>
          <w:p>
            <w:pPr>
              <w:jc w:val="right"/>
              <w:ind w:right="573"/>
              <w:spacing w:after="0"/>
              <w:rPr>
                <w:sz w:val="20"/>
                <w:szCs w:val="20"/>
                <w:color w:val="auto"/>
              </w:rPr>
            </w:pPr>
            <w:r>
              <w:rPr>
                <w:rFonts w:ascii="Arial" w:cs="Arial" w:eastAsia="Arial" w:hAnsi="Arial"/>
                <w:sz w:val="18"/>
                <w:szCs w:val="18"/>
                <w:color w:val="auto"/>
              </w:rPr>
              <w:t>119,625</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line="216" w:lineRule="exact"/>
              <w:rPr>
                <w:sz w:val="20"/>
                <w:szCs w:val="20"/>
                <w:color w:val="auto"/>
              </w:rPr>
            </w:pPr>
            <w:r>
              <w:rPr>
                <w:rFonts w:ascii="Arial" w:cs="Arial" w:eastAsia="Arial" w:hAnsi="Arial"/>
                <w:sz w:val="17"/>
                <w:szCs w:val="17"/>
                <w:color w:val="auto"/>
              </w:rPr>
              <w:t>Paula HJ Cholmondeley</w:t>
            </w:r>
            <w:r>
              <w:rPr>
                <w:rFonts w:ascii="Arial" w:cs="Arial" w:eastAsia="Arial" w:hAnsi="Arial"/>
                <w:sz w:val="25"/>
                <w:szCs w:val="25"/>
                <w:color w:val="auto"/>
                <w:vertAlign w:val="superscript"/>
              </w:rPr>
              <w:t>(13)</w:t>
            </w:r>
          </w:p>
        </w:tc>
        <w:tc>
          <w:tcPr>
            <w:tcW w:w="2860" w:type="dxa"/>
            <w:vAlign w:val="bottom"/>
          </w:tcPr>
          <w:p>
            <w:pPr>
              <w:jc w:val="right"/>
              <w:ind w:right="573"/>
              <w:spacing w:after="0"/>
              <w:rPr>
                <w:sz w:val="20"/>
                <w:szCs w:val="20"/>
                <w:color w:val="auto"/>
              </w:rPr>
            </w:pPr>
            <w:r>
              <w:rPr>
                <w:rFonts w:ascii="Arial" w:cs="Arial" w:eastAsia="Arial" w:hAnsi="Arial"/>
                <w:sz w:val="18"/>
                <w:szCs w:val="18"/>
                <w:color w:val="auto"/>
              </w:rPr>
              <w:t>59,811</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line="216" w:lineRule="exact"/>
              <w:rPr>
                <w:sz w:val="20"/>
                <w:szCs w:val="20"/>
                <w:color w:val="auto"/>
              </w:rPr>
            </w:pPr>
            <w:r>
              <w:rPr>
                <w:rFonts w:ascii="Arial" w:cs="Arial" w:eastAsia="Arial" w:hAnsi="Arial"/>
                <w:sz w:val="17"/>
                <w:szCs w:val="17"/>
                <w:color w:val="auto"/>
              </w:rPr>
              <w:t>Brenda Cooperstone, M.D.</w:t>
            </w:r>
            <w:r>
              <w:rPr>
                <w:rFonts w:ascii="Arial" w:cs="Arial" w:eastAsia="Arial" w:hAnsi="Arial"/>
                <w:sz w:val="25"/>
                <w:szCs w:val="25"/>
                <w:color w:val="auto"/>
                <w:vertAlign w:val="superscript"/>
              </w:rPr>
              <w:t>(14)</w:t>
            </w:r>
          </w:p>
        </w:tc>
        <w:tc>
          <w:tcPr>
            <w:tcW w:w="2860" w:type="dxa"/>
            <w:vAlign w:val="bottom"/>
          </w:tcPr>
          <w:p>
            <w:pPr>
              <w:jc w:val="right"/>
              <w:ind w:right="573"/>
              <w:spacing w:after="0"/>
              <w:rPr>
                <w:sz w:val="20"/>
                <w:szCs w:val="20"/>
                <w:color w:val="auto"/>
              </w:rPr>
            </w:pPr>
            <w:r>
              <w:rPr>
                <w:rFonts w:ascii="Arial" w:cs="Arial" w:eastAsia="Arial" w:hAnsi="Arial"/>
                <w:sz w:val="18"/>
                <w:szCs w:val="18"/>
                <w:color w:val="auto"/>
              </w:rPr>
              <w:t>59,812</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Bernard Davitian</w:t>
            </w:r>
          </w:p>
        </w:tc>
        <w:tc>
          <w:tcPr>
            <w:tcW w:w="2860" w:type="dxa"/>
            <w:vAlign w:val="bottom"/>
          </w:tcPr>
          <w:p>
            <w:pPr>
              <w:jc w:val="right"/>
              <w:ind w:right="533"/>
              <w:spacing w:after="0"/>
              <w:rPr>
                <w:sz w:val="20"/>
                <w:szCs w:val="20"/>
                <w:color w:val="auto"/>
              </w:rPr>
            </w:pPr>
            <w:r>
              <w:rPr>
                <w:rFonts w:ascii="Arial" w:cs="Arial" w:eastAsia="Arial" w:hAnsi="Arial"/>
                <w:sz w:val="18"/>
                <w:szCs w:val="18"/>
                <w:color w:val="auto"/>
              </w:rPr>
              <w:t>—  </w:t>
            </w:r>
          </w:p>
        </w:tc>
        <w:tc>
          <w:tcPr>
            <w:tcW w:w="900" w:type="dxa"/>
            <w:vAlign w:val="bottom"/>
          </w:tcPr>
          <w:p>
            <w:pPr>
              <w:ind w:left="3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Reinaldo Diaz</w:t>
            </w:r>
          </w:p>
        </w:tc>
        <w:tc>
          <w:tcPr>
            <w:tcW w:w="2860" w:type="dxa"/>
            <w:vAlign w:val="bottom"/>
          </w:tcPr>
          <w:p>
            <w:pPr>
              <w:jc w:val="right"/>
              <w:ind w:right="533"/>
              <w:spacing w:after="0"/>
              <w:rPr>
                <w:sz w:val="20"/>
                <w:szCs w:val="20"/>
                <w:color w:val="auto"/>
              </w:rPr>
            </w:pPr>
            <w:r>
              <w:rPr>
                <w:rFonts w:ascii="Arial" w:cs="Arial" w:eastAsia="Arial" w:hAnsi="Arial"/>
                <w:sz w:val="18"/>
                <w:szCs w:val="18"/>
                <w:color w:val="auto"/>
              </w:rPr>
              <w:t>—  </w:t>
            </w:r>
          </w:p>
        </w:tc>
        <w:tc>
          <w:tcPr>
            <w:tcW w:w="900" w:type="dxa"/>
            <w:vAlign w:val="bottom"/>
          </w:tcPr>
          <w:p>
            <w:pPr>
              <w:ind w:left="3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3"/>
        </w:trPr>
        <w:tc>
          <w:tcPr>
            <w:tcW w:w="6420" w:type="dxa"/>
            <w:vAlign w:val="bottom"/>
            <w:tcBorders>
              <w:bottom w:val="single" w:sz="8" w:color="auto"/>
            </w:tcBorders>
          </w:tcPr>
          <w:p>
            <w:pPr>
              <w:spacing w:after="0" w:line="283" w:lineRule="exact"/>
              <w:rPr>
                <w:sz w:val="20"/>
                <w:szCs w:val="20"/>
                <w:color w:val="auto"/>
              </w:rPr>
            </w:pPr>
            <w:r>
              <w:rPr>
                <w:rFonts w:ascii="Arial" w:cs="Arial" w:eastAsia="Arial" w:hAnsi="Arial"/>
                <w:sz w:val="18"/>
                <w:szCs w:val="18"/>
                <w:color w:val="auto"/>
              </w:rPr>
              <w:t>All current executive officers and directors as a group (10 persons)</w:t>
            </w:r>
            <w:r>
              <w:rPr>
                <w:rFonts w:ascii="Arial" w:cs="Arial" w:eastAsia="Arial" w:hAnsi="Arial"/>
                <w:sz w:val="26"/>
                <w:szCs w:val="26"/>
                <w:color w:val="auto"/>
                <w:vertAlign w:val="superscript"/>
              </w:rPr>
              <w:t>(15)</w:t>
            </w:r>
          </w:p>
        </w:tc>
        <w:tc>
          <w:tcPr>
            <w:tcW w:w="28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1,722,276</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11.0%</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40" w:hanging="324"/>
        <w:spacing w:after="0"/>
        <w:tabs>
          <w:tab w:leader="none" w:pos="4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80" w:lineRule="exact"/>
        <w:rPr>
          <w:sz w:val="20"/>
          <w:szCs w:val="20"/>
          <w:color w:val="auto"/>
        </w:rPr>
      </w:pPr>
    </w:p>
    <w:p>
      <w:pPr>
        <w:ind w:left="440" w:right="60" w:hanging="324"/>
        <w:spacing w:after="0" w:line="242" w:lineRule="auto"/>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All of the shares are held by D1 Master Holdco I LLC, or Holdco I. Consists of 2,090,543 shares of common stock issuable upon conversion of Series B convertible preferred stock. Holdco I is a wholly owned subsidiary of D1 Capital Partners Master LP. D1 Capital Partners L.P. is a registered investment adviser and serves as the investment manager of private investment vehicles and accounts, including D1 Capital Partners Master LP, and may be deemed to beneficially own the shares of common stock held by Holdco I. Daniel Sundheim indirectly controls D1 Capital Partners L.P. and may be deemed to beneficially own the shares of common stock held by Holdco I. The business address of each of D1 Master Holdco I LLC, D1 Capital Partners L.P. and Daniel Sundheim is 9 West 57</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Street, 36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New York 10019.</w:t>
      </w:r>
    </w:p>
    <w:p>
      <w:pPr>
        <w:ind w:left="440" w:right="40" w:hanging="324"/>
        <w:spacing w:after="0"/>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1,132,692 shares of common stock issuable upon conversion of Series A convertible preferred stock held by entities affiliated with PBM LEX Holdings, LLC. PBM LEX Holdings, LLC is majority owned by PBM Capital Investments II, LLC, which is managed by PBM Capital Group, LLC. In October 2023, all entities affiliated with PBM Capital Investments II, LLC holding securities in the Company distributed all of their Series A convertible preferred stock previously held to their beneficial owners, including Paul B. Manning, the Chief Executive Officer of PBM Capital Group, LLC, for no additional consideration in accordance with the terms of each entity’s operating agreement. Under the terms of the distribution, Mr. Manning retains sole voting and shared dispositive power over all distributed shares through the completion of this offering, at which time Mr. Manning’s voting and dispositive power over the distributed shares will terminate except with respect to any shares held by Mr. Manning. The percentage of shares beneficially owned after the offering in the table above does not take into account the termination, upon the completion of the offering, of Mr. Manning’s sole voting and shared dispositive power over the distributed shares. The business address for each person and entity named in this footnote is 200 Garrett Street, Suite S, Charlottesville, Virginia 22902.</w:t>
      </w:r>
    </w:p>
    <w:p>
      <w:pPr>
        <w:spacing w:after="0" w:line="61" w:lineRule="exact"/>
        <w:rPr>
          <w:rFonts w:ascii="Arial" w:cs="Arial" w:eastAsia="Arial" w:hAnsi="Arial"/>
          <w:sz w:val="13"/>
          <w:szCs w:val="13"/>
          <w:color w:val="auto"/>
        </w:rPr>
      </w:pPr>
    </w:p>
    <w:p>
      <w:pPr>
        <w:ind w:left="440" w:right="320" w:hanging="324"/>
        <w:spacing w:after="0" w:line="265" w:lineRule="auto"/>
        <w:tabs>
          <w:tab w:leader="none" w:pos="4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(i) 327,222 shares of common stock issuable upon conversion of Series A convertible preferred stock held by Janus Henderson Biotech Innovation Master Fund Limited, (ii) 21,631 shares of common stock issuable upon conversion of Series A convertible preferred stock held by Janus Henderson Horizon Fund – Biotechnology Fund, (iii) 251,123 shares of common stock issuable upon conversion of Series A convertible preferred stock held by Janus Henderson Capital Funds PLC On Behalf Of Its Series Janus Henderson Global Life Sciences Fund,</w:t>
      </w:r>
    </w:p>
    <w:p>
      <w:pPr>
        <w:ind w:left="440" w:right="60"/>
        <w:spacing w:after="0" w:line="258" w:lineRule="auto"/>
        <w:tabs>
          <w:tab w:leader="none" w:pos="669" w:val="left"/>
        </w:tabs>
        <w:numPr>
          <w:ilvl w:val="1"/>
          <w:numId w:val="114"/>
        </w:numPr>
        <w:rPr>
          <w:rFonts w:ascii="Arial" w:cs="Arial" w:eastAsia="Arial" w:hAnsi="Arial"/>
          <w:sz w:val="12"/>
          <w:szCs w:val="12"/>
          <w:color w:val="auto"/>
        </w:rPr>
      </w:pPr>
      <w:r>
        <w:rPr>
          <w:rFonts w:ascii="Arial" w:cs="Arial" w:eastAsia="Arial" w:hAnsi="Arial"/>
          <w:sz w:val="12"/>
          <w:szCs w:val="12"/>
          <w:color w:val="auto"/>
        </w:rPr>
        <w:t>148,130 shares of common stock issuable upon conversion of Series B convertible preferred stock held by Janus Henderson Capital Funds PLC On Behalf Of Its Series Janus Henderson Global Life Sciences Fund, (v) 343,934 shares of common stock issuable upon conversion of Series A convertible preferred stock held by Janus Henderson Global Life Sciences Fund and</w:t>
      </w:r>
    </w:p>
    <w:p>
      <w:pPr>
        <w:jc w:val="both"/>
        <w:ind w:left="440" w:right="40"/>
        <w:spacing w:after="0" w:line="241" w:lineRule="auto"/>
        <w:tabs>
          <w:tab w:leader="none" w:pos="669" w:val="left"/>
        </w:tabs>
        <w:numPr>
          <w:ilvl w:val="1"/>
          <w:numId w:val="115"/>
        </w:numPr>
        <w:rPr>
          <w:rFonts w:ascii="Arial" w:cs="Arial" w:eastAsia="Arial" w:hAnsi="Arial"/>
          <w:sz w:val="13"/>
          <w:szCs w:val="13"/>
          <w:color w:val="auto"/>
        </w:rPr>
      </w:pPr>
      <w:r>
        <w:rPr>
          <w:rFonts w:ascii="Arial" w:cs="Arial" w:eastAsia="Arial" w:hAnsi="Arial"/>
          <w:sz w:val="13"/>
          <w:szCs w:val="13"/>
          <w:color w:val="auto"/>
        </w:rPr>
        <w:t>90,789 shares of common stock issuable upon conversion of Series B convertible preferred stock held by Janus Henderson Global Life Sciences Fund. Such shares owned by the funds may be deemed to be beneficially owned by, Janus Henderson Investors US LLC, or Janus, an investment adviser registered under the Investment Advisers Act of 1940, who acts as investment adviser for the funds set forth above and has the ability to make decisions with respect to the voting and disposition of the shares subject to the oversight of the board of trustees (or similar entity) of each fund. Under the terms of its management contract with each fund, Janus has overall responsibility for directing the investments of the fund in accordance with the fund’s investment objective, policies and limitations. Each fund has one or more portfolio managers appointed by and serving at the pleasure of Janus who makes decisions with respect to the disposition of the Shares. The address for Janus and each of the foregoing entities is 151 Detroit Street, Denver, Colorado 80206.</w:t>
      </w:r>
    </w:p>
    <w:p>
      <w:pPr>
        <w:spacing w:after="0" w:line="59" w:lineRule="exact"/>
        <w:rPr>
          <w:rFonts w:ascii="Arial" w:cs="Arial" w:eastAsia="Arial" w:hAnsi="Arial"/>
          <w:sz w:val="13"/>
          <w:szCs w:val="13"/>
          <w:color w:val="auto"/>
        </w:rPr>
      </w:pPr>
    </w:p>
    <w:p>
      <w:pPr>
        <w:ind w:left="440" w:hanging="324"/>
        <w:spacing w:after="0"/>
        <w:tabs>
          <w:tab w:leader="none" w:pos="4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All of the shares are held by Longitude Venture Partners IV, L.P. (LVP IV). Consists of (i) 1,793,429 shares of common stock issuable upon conversion of Series A convertible preferred stock and</w:t>
      </w:r>
    </w:p>
    <w:p>
      <w:pPr>
        <w:spacing w:after="0" w:line="22" w:lineRule="exact"/>
        <w:rPr>
          <w:rFonts w:ascii="Arial" w:cs="Arial" w:eastAsia="Arial" w:hAnsi="Arial"/>
          <w:sz w:val="12"/>
          <w:szCs w:val="12"/>
          <w:color w:val="auto"/>
        </w:rPr>
      </w:pPr>
    </w:p>
    <w:p>
      <w:pPr>
        <w:ind w:left="440" w:right="100"/>
        <w:spacing w:after="0" w:line="238" w:lineRule="auto"/>
        <w:tabs>
          <w:tab w:leader="none" w:pos="639" w:val="left"/>
        </w:tabs>
        <w:numPr>
          <w:ilvl w:val="1"/>
          <w:numId w:val="116"/>
        </w:numPr>
        <w:rPr>
          <w:rFonts w:ascii="Arial" w:cs="Arial" w:eastAsia="Arial" w:hAnsi="Arial"/>
          <w:sz w:val="13"/>
          <w:szCs w:val="13"/>
          <w:color w:val="auto"/>
        </w:rPr>
      </w:pPr>
      <w:r>
        <w:rPr>
          <w:rFonts w:ascii="Arial" w:cs="Arial" w:eastAsia="Arial" w:hAnsi="Arial"/>
          <w:sz w:val="13"/>
          <w:szCs w:val="13"/>
          <w:color w:val="auto"/>
        </w:rPr>
        <w:t>298,649 shares of common stock issuable upon conversion of Series B convertible preferred stock. Longitude Capital Partners IV, LLC (LCP IV), is the general partner of LVP IV and may be deemed to have voting and investment power over the shares held by LVP IV. Patrick Enright and Juliet Tammenoms Bakker are managing members of LCP IV and may be deemed to share voting and investment power over the shares held by LVP IV. Each of LCP IV, Ms. Tammenoms Bakker and Mr. Enright disclaims beneficial ownership of such shares except to the extent of their respective pecuniary interests therein. The address for this entity is 2740 Sand Hill Road, 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Floor, Menlo Park, California 94025.</w:t>
      </w:r>
    </w:p>
    <w:p>
      <w:pPr>
        <w:spacing w:after="0" w:line="2" w:lineRule="exact"/>
        <w:rPr>
          <w:rFonts w:ascii="Arial" w:cs="Arial" w:eastAsia="Arial" w:hAnsi="Arial"/>
          <w:sz w:val="13"/>
          <w:szCs w:val="13"/>
          <w:color w:val="auto"/>
        </w:rPr>
      </w:pPr>
    </w:p>
    <w:p>
      <w:pPr>
        <w:ind w:left="440" w:right="20" w:hanging="324"/>
        <w:spacing w:after="0" w:line="241" w:lineRule="auto"/>
        <w:tabs>
          <w:tab w:leader="none" w:pos="4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All of the shares are held by Lundbeckfond Invest A/S. Consists of (i) 1,321,474 shares of common stock issuable upon conversion of Series A convertible preferred stock and (ii) 268,784 shares of common stock issuable upon conversion of Series B convertible preferred stock. The board of directors of Lundbeckfond Invest A/S, including Steffen Kragh, Peter Schütze, Thomas Mears Werge, Mikkel Helmer Nielsen, Svend Andersen, Katja Barnkob, Susanne Krüger Kjær, Henrik Sindal Jensen, Michael Kjær, Morten Egholm Aagaard, Lars Erik Holmqvist and Lene Skole, the chief executive officer of Lundbeckfond Invest A/S, may be deemed to share voting and investment authority over the shares held by Lundbeckfond Invest A/S. Neither Lene Skole nor any individual member of the Lundbeckfond Invest A/S board of directors is deemed to hold any beneficial ownership or reportable pecuniary interest in the shares held by Lundbeckfond Invest A/S. The principal business address of Lundbeckfond Invest A/S is Scherfigsvej 7 DK-2100, København Ø, Denmark.</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440" w:right="100" w:hanging="324"/>
        <w:spacing w:after="0" w:line="243" w:lineRule="auto"/>
        <w:tabs>
          <w:tab w:leader="none" w:pos="4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All of the shares are held by Mutual Fund Series Trust, On Behalf of Eventide Healthcare &amp; Life Sciences Fund. Consists of 895,947 shares of common stock issuable upon conversion of Series B convertible preferred stock. Eventide Healthcare &amp; Life Sciences Fund is a registered investment company for which Eventide Asset Management, LLC acts as investment advisor. Eventide Asset Management, LLC has voting and investment power with respect to the shares. The address for this entity is c/o Eventide Asset Management, LLC, One International Place, Suite 4210, Boston, Massachusetts 02110.</w:t>
      </w:r>
    </w:p>
    <w:p>
      <w:pPr>
        <w:ind w:left="440" w:hanging="324"/>
        <w:spacing w:after="0"/>
        <w:tabs>
          <w:tab w:leader="none" w:pos="4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All of the shares are held by Omega Fund VI, L.P., or Omega Fund. Consists of (i) 1,415,865 shares of common stock issuable upon conversion of Series A convertible preferred stock and</w:t>
      </w:r>
    </w:p>
    <w:p>
      <w:pPr>
        <w:spacing w:after="0" w:line="10" w:lineRule="exact"/>
        <w:rPr>
          <w:rFonts w:ascii="Arial" w:cs="Arial" w:eastAsia="Arial" w:hAnsi="Arial"/>
          <w:sz w:val="12"/>
          <w:szCs w:val="12"/>
          <w:color w:val="auto"/>
        </w:rPr>
      </w:pPr>
    </w:p>
    <w:p>
      <w:pPr>
        <w:ind w:left="440"/>
        <w:spacing w:after="0" w:line="242" w:lineRule="auto"/>
        <w:tabs>
          <w:tab w:leader="none" w:pos="639" w:val="left"/>
        </w:tabs>
        <w:numPr>
          <w:ilvl w:val="1"/>
          <w:numId w:val="117"/>
        </w:numPr>
        <w:rPr>
          <w:rFonts w:ascii="Arial" w:cs="Arial" w:eastAsia="Arial" w:hAnsi="Arial"/>
          <w:sz w:val="13"/>
          <w:szCs w:val="13"/>
          <w:color w:val="auto"/>
        </w:rPr>
      </w:pPr>
      <w:r>
        <w:rPr>
          <w:rFonts w:ascii="Arial" w:cs="Arial" w:eastAsia="Arial" w:hAnsi="Arial"/>
          <w:sz w:val="13"/>
          <w:szCs w:val="13"/>
          <w:color w:val="auto"/>
        </w:rPr>
        <w:t>268,784 shares of common stock issuable upon conversion of Series B convertible preferred stock. Omega Fund VI GP Manager, Ltd., or Omega Ltd., is the sole general partner of Omega Fund VI GP, L.P., or Omega GP, which is the sole general partner of Omega Fund; and each of Omega Ltd. and Omega GP may be deemed to own beneficially the shares held by Omega Fund. Claudio Nessi, Otello Stampacchia and Anne-Mari Paster are the directors of Omega Ltd. and, as a result, may be deemed to share voting and investment power over the shares held directly by Omega Fund. Each of Dr. Stampacchia, Dr. Nessi, and Ms. Paster, and Omega Ltd. and Omega GP disclaims beneficial ownership of the shares held by Omega Fund except to the extent of their pecuniary interest therein. The address for this entity is 888 Boylston Street, Suite 1111, Boston, Massachusetts 02199.</w:t>
      </w:r>
    </w:p>
    <w:p>
      <w:pPr>
        <w:spacing w:after="0" w:line="57" w:lineRule="exact"/>
        <w:rPr>
          <w:rFonts w:ascii="Arial" w:cs="Arial" w:eastAsia="Arial" w:hAnsi="Arial"/>
          <w:sz w:val="13"/>
          <w:szCs w:val="13"/>
          <w:color w:val="auto"/>
        </w:rPr>
      </w:pPr>
    </w:p>
    <w:p>
      <w:pPr>
        <w:ind w:left="440" w:right="40" w:hanging="324"/>
        <w:spacing w:after="0" w:line="256" w:lineRule="auto"/>
        <w:tabs>
          <w:tab w:leader="none" w:pos="4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1,003,099 shares of common stock held by Ronald G. Crystal, M.D., (ii) 334,366 shares of common stock held by the Ronald G. Crystal 2021 Grantor Retained Annuity Trust over which Dr. Crystal retains sole voting and dispositive power and (iii) 169,131 shares of common stock issuable to Dr. Crystal upon exercise of outstanding options that are exercisable within 60 days of September 30, 2023, including 73,995 unvested shares which may be acquired through early option exercise.</w:t>
      </w:r>
    </w:p>
    <w:p>
      <w:pPr>
        <w:spacing w:after="0" w:line="48" w:lineRule="exact"/>
        <w:rPr>
          <w:rFonts w:ascii="Arial" w:cs="Arial" w:eastAsia="Arial" w:hAnsi="Arial"/>
          <w:sz w:val="13"/>
          <w:szCs w:val="13"/>
          <w:color w:val="auto"/>
        </w:rPr>
      </w:pPr>
    </w:p>
    <w:p>
      <w:pPr>
        <w:ind w:left="440" w:right="360" w:hanging="324"/>
        <w:spacing w:after="0" w:line="274" w:lineRule="auto"/>
        <w:tabs>
          <w:tab w:leader="none" w:pos="4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126,945 shares of common stock and (ii) 779,277 shares of common stock issuable to Mr. Townsend upon exercise of outstanding options that are exercisable within 60 days of September 30, 2023, including 384,819 unvested shares which may be acquired through early option exercise.</w:t>
      </w:r>
    </w:p>
    <w:p>
      <w:pPr>
        <w:spacing w:after="0" w:line="36" w:lineRule="exact"/>
        <w:rPr>
          <w:rFonts w:ascii="Arial" w:cs="Arial" w:eastAsia="Arial" w:hAnsi="Arial"/>
          <w:sz w:val="13"/>
          <w:szCs w:val="13"/>
          <w:color w:val="auto"/>
        </w:rPr>
      </w:pPr>
    </w:p>
    <w:p>
      <w:pPr>
        <w:ind w:left="460" w:right="200" w:hanging="344"/>
        <w:spacing w:after="0" w:line="274"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Includes 135,516 shares of common stock issuable to Ms. Robertson upon exercise of outstanding options that are exercisable within 60 days of September 30, 2023, including 106,820 unvested shares which may be acquired through early option exercise.</w:t>
      </w:r>
    </w:p>
    <w:p>
      <w:pPr>
        <w:spacing w:after="0" w:line="36" w:lineRule="exact"/>
        <w:rPr>
          <w:rFonts w:ascii="Arial" w:cs="Arial" w:eastAsia="Arial" w:hAnsi="Arial"/>
          <w:sz w:val="13"/>
          <w:szCs w:val="13"/>
          <w:color w:val="auto"/>
        </w:rPr>
      </w:pPr>
    </w:p>
    <w:p>
      <w:pPr>
        <w:ind w:left="460" w:right="140" w:hanging="344"/>
        <w:spacing w:after="0" w:line="256"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14,158 shares of common stock, (ii) 2,986 shares of common stock issuable upon conversion of Series B convertible preferred stock and (iii) 167,467 shares of common stock issuable to Dr. McCormac upon exercise of outstanding options that are exercisable within 60 days of September 30, 2023, including 60,555 unvested shares which may be acquired through early option exercise.</w:t>
      </w:r>
    </w:p>
    <w:p>
      <w:pPr>
        <w:spacing w:after="0" w:line="48" w:lineRule="exact"/>
        <w:rPr>
          <w:rFonts w:ascii="Arial" w:cs="Arial" w:eastAsia="Arial" w:hAnsi="Arial"/>
          <w:sz w:val="13"/>
          <w:szCs w:val="13"/>
          <w:color w:val="auto"/>
        </w:rPr>
      </w:pPr>
    </w:p>
    <w:p>
      <w:pPr>
        <w:ind w:left="460" w:right="300" w:hanging="344"/>
        <w:spacing w:after="0" w:line="274"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Includes 119,625 shares of common stock issuable to Dr. Altschuler upon exercise of outstanding options that are exercisable within 60 days of September 30, 2023, including 39,660 unvested shares which may be acquired through early option exercise.</w:t>
      </w:r>
    </w:p>
    <w:p>
      <w:pPr>
        <w:spacing w:after="0" w:line="36" w:lineRule="exact"/>
        <w:rPr>
          <w:rFonts w:ascii="Arial" w:cs="Arial" w:eastAsia="Arial" w:hAnsi="Arial"/>
          <w:sz w:val="13"/>
          <w:szCs w:val="13"/>
          <w:color w:val="auto"/>
        </w:rPr>
      </w:pPr>
    </w:p>
    <w:p>
      <w:pPr>
        <w:ind w:left="460" w:right="120" w:hanging="344"/>
        <w:spacing w:after="0" w:line="256"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15,627 shares of common stock, of which 7,814 restricted shares of our common stock held by Ms. Cholmondeley will continue to remain subject to our right of repurchase 60 days after September 30, 2023 and (ii) 44,184 shares of common stock issuable to Ms. Cholmondeley upon exercise of outstanding options that are exercisable within 60 days of September 30, 2023, including 40,772 unvested shares which may be acquired through early option exercise.</w:t>
      </w:r>
    </w:p>
    <w:p>
      <w:pPr>
        <w:spacing w:after="0" w:line="48" w:lineRule="exact"/>
        <w:rPr>
          <w:rFonts w:ascii="Arial" w:cs="Arial" w:eastAsia="Arial" w:hAnsi="Arial"/>
          <w:sz w:val="13"/>
          <w:szCs w:val="13"/>
          <w:color w:val="auto"/>
        </w:rPr>
      </w:pPr>
    </w:p>
    <w:p>
      <w:pPr>
        <w:ind w:left="460" w:right="260" w:hanging="344"/>
        <w:spacing w:after="0" w:line="274"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Includes 59,812 shares of common stock issuable to Dr. Cooperstone upon exercise of outstanding options that are exercisable within 60 days of September 30, 2023, including 56,074 unvested shares which may be acquired through early option exercise.</w:t>
      </w:r>
    </w:p>
    <w:p>
      <w:pPr>
        <w:spacing w:after="0" w:line="36" w:lineRule="exact"/>
        <w:rPr>
          <w:rFonts w:ascii="Arial" w:cs="Arial" w:eastAsia="Arial" w:hAnsi="Arial"/>
          <w:sz w:val="13"/>
          <w:szCs w:val="13"/>
          <w:color w:val="auto"/>
        </w:rPr>
      </w:pPr>
    </w:p>
    <w:p>
      <w:pPr>
        <w:ind w:left="460" w:hanging="344"/>
        <w:spacing w:after="0" w:line="256"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156,730 shares of common stock, of which 7,814 restricted shares of our common stock will continue to remain subject to our right of repurchase 60 days after September 30, 2023, (ii) 2,986 shares of common stock issuable upon conversion of Series B convertible preferred stock and (iii) 1,562,560 shares of common stock issuable upon exercise of outstanding options that are exercisable within 60 days of September 30, 2023, including 839,117 unvested shares which may be acquired through early option exercise.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7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500,000,000 of common stock, $0.0001 par value per share, and 10,000,000 of preferred stock, $0.0001 par value per share, all of which shares of preferred stock will be undesignated. Our board of directors may establish the rights and preferences of the preferred stock from time to time. As of June 30, 2023, there were 85,495,722 shares of Series A convertible preferred stock outstanding and 58,157,823 shares of Series B convertible preferred stock outstanding, held by 44 stockholders of record. All currently outstanding shares of convertible preferred stock will be converted into an aggregate of 14,046,587 shares of common stock upon the closing of this offering (including 486,987 additional shares of common stock issuable upon conversion of our Series B convertible preferred stock due to anti-dilution adjustments, based on an assumed initial public offering price of $14.00 per share, which is the midpoint of the estimated offering price range set forth on the cover page of this prospectus).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60"/>
          </w:cols>
          <w:pgMar w:left="320" w:top="459" w:right="51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5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Upon the completion of this offering, all outstanding shares of our redeemable convertible preferred stock will be converted into shares of our common stock. The number of shares of our common stock to be issued in connection with the conversion of our Series B convertible preferred stock depends on the initial public offering price of our common stock. We expect the initial public offering price of our common stock to be between $13.00 and $15.00 per share, as set forth on the cover page of this prospectus. However, the actual initial public offering price may be lower or higher, which would increase or decrease, respectively, the number of shares of our common stock to be issued in connection with this adjustment of our Series B convertible preferred stock, as described in more detail below. We will not know the initial public offering price and, as a result, the total number of shares of our common stock to be issued in connection with such adjustment, until the determination of the actual price per share following the effectiveness of the registration statement of which this prospectus forms a part.</w:t>
      </w:r>
    </w:p>
    <w:p>
      <w:pPr>
        <w:spacing w:after="0" w:line="11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Based on an assumed initial public offering price of $14.00 per share, which is the midpoint of the estimated offering price range set forth on the cover page of this prospectus, the 58,157,823 shares of our Series B convertible preferred stock outstanding prior to the Stock Split would convert into 5,976,560 shares of our common stock including 486,987 shares of common stock issuable in respect of anti-dilution adjustments. A $1.00 decrease in the initial public offering price would increase the number of shares of our common stock issuable in respect of our Series B convertible preferred stock by 127,861 shares, and a $1.00 increase in the initial public offering price would decrease the number of shares of our common stock issuable in respect of our Series B convertible preferred stock by 121,884 shares; provided, however, that in no event would the outstanding shares of our Series B convertible preferred stock convert into fewer than 5,489,573 shares of our common stock upon the closing of this offering. A 1.0 million share increase in the size of this offering would increase the number of shares of our common stock issuable in respect of our Series B convertible preferred stock by 35,380 shares, and a 1.0 million share decrease in the size of this offering would decrease the number of shares of our common stock issuable in respect of our Series B convertible preferred stock by 37,582 shares.</w:t>
      </w:r>
    </w:p>
    <w:p>
      <w:pPr>
        <w:spacing w:after="0" w:line="10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Following the closing of this offering, our board of directors will have the authority under our amended and restated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2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 present plans to issue any shares of preferred stock following completion of this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 and restricted stock awards</w:t>
      </w:r>
    </w:p>
    <w:p>
      <w:pPr>
        <w:spacing w:after="0" w:line="15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June 30, 2023, there were options to purchase 1,873,093 shares of common stock outstanding and no shares of common stock had been issued pursuant to restricted stock awards, with 30,516 restricted shares of our common stock issued pursuant to the early exercise of unvested options remaining subject to a right of repurchase by us. For additional information regarding the terms of the Existing Plan, see “Executive Compensation— Equity Incentive Plans.”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5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the holders of our existing convertible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 These shares are collectively referred to herein as registrable securities.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5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At any time beginning 180 days following the effective date of the registration statement of which this prospectus is a part, the holders of a majority of registrable securities then outstanding have the right to demand that we file a Form S-1 registration statement covering registrable securities then outstanding having an aggregate offering price in excess of $10 million. These registration rights are subject to specified conditions and limitations, including the right of the underwriters, if any, to limit the number of shares included in any such registration under specified circumstances. Upon such a request, we are required to effect a Form S-1 registration statement as soon as practicable, but in any event no later than 60 days after the date such request is given by the initiating holders. An aggregate of 14,046,587 shares of common stock will be entitled to these demand registration rights.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An aggregate of 14,046,587 shares of common stock will be entitled to these piggyback registration rights.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5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At any time after we become eligible to file a registration statement on Form S-3, the holders of at least 10%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$1 million. Upon receipt of this request, the holders of registrable securities will each be entitled to participate in this registration. An aggregate of 14,046,587 shares of common stock will be entitled to these Form S-3 registration rights.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5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required to pay all expenses, including reasonable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4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registration rights granted under the investors’ rights agreement will terminate with respect to any particular stockholder upon the earlier of (a) 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 or such later date that is 180 days following the expiration of all deferrals of our obligations with respect to any registration rights exercised by holders of registrable securities as of such fifth anniversary.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Anti-takeover provisions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5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16" w:lineRule="exact"/>
        <w:rPr>
          <w:sz w:val="20"/>
          <w:szCs w:val="20"/>
          <w:color w:val="auto"/>
        </w:rPr>
      </w:pPr>
    </w:p>
    <w:p>
      <w:pPr>
        <w:ind w:left="340" w:right="60" w:hanging="224"/>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02" w:lineRule="exact"/>
        <w:rPr>
          <w:rFonts w:ascii="Arial" w:cs="Arial" w:eastAsia="Arial" w:hAnsi="Arial"/>
          <w:sz w:val="18"/>
          <w:szCs w:val="18"/>
          <w:color w:val="auto"/>
        </w:rPr>
      </w:pPr>
    </w:p>
    <w:p>
      <w:pPr>
        <w:ind w:left="340" w:right="40" w:hanging="224"/>
        <w:spacing w:after="0" w:line="25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20" w:lineRule="exact"/>
        <w:rPr>
          <w:rFonts w:ascii="Arial" w:cs="Arial" w:eastAsia="Arial" w:hAnsi="Arial"/>
          <w:sz w:val="18"/>
          <w:szCs w:val="18"/>
          <w:color w:val="auto"/>
        </w:rPr>
      </w:pPr>
    </w:p>
    <w:p>
      <w:pPr>
        <w:ind w:left="340" w:right="700" w:hanging="224"/>
        <w:spacing w:after="0" w:line="263"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58" w:lineRule="exact"/>
        <w:rPr>
          <w:sz w:val="20"/>
          <w:szCs w:val="20"/>
          <w:color w:val="auto"/>
        </w:rPr>
      </w:pPr>
    </w:p>
    <w:p>
      <w:pPr>
        <w:ind w:left="340" w:right="520" w:hanging="224"/>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102"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102" w:lineRule="exact"/>
        <w:rPr>
          <w:rFonts w:ascii="Arial" w:cs="Arial" w:eastAsia="Arial" w:hAnsi="Arial"/>
          <w:sz w:val="18"/>
          <w:szCs w:val="18"/>
          <w:color w:val="auto"/>
        </w:rPr>
      </w:pPr>
    </w:p>
    <w:p>
      <w:pPr>
        <w:ind w:left="340" w:right="320" w:hanging="224"/>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102" w:lineRule="exact"/>
        <w:rPr>
          <w:rFonts w:ascii="Arial" w:cs="Arial" w:eastAsia="Arial" w:hAnsi="Arial"/>
          <w:sz w:val="18"/>
          <w:szCs w:val="18"/>
          <w:color w:val="auto"/>
        </w:rPr>
      </w:pPr>
    </w:p>
    <w:p>
      <w:pPr>
        <w:ind w:left="340" w:right="200" w:hanging="224"/>
        <w:spacing w:after="0" w:line="308"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560" w:hanging="224"/>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03"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5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3"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0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1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66-2/3% or more of our outstanding common stock.</w:t>
      </w:r>
    </w:p>
    <w:p>
      <w:pPr>
        <w:spacing w:after="0" w:line="8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described in “—Preferred Stock” above, our restated certificate will give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1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Choice of forum</w:t>
      </w:r>
    </w:p>
    <w:p>
      <w:pPr>
        <w:spacing w:after="0" w:line="13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103" w:lineRule="exact"/>
        <w:rPr>
          <w:sz w:val="20"/>
          <w:szCs w:val="20"/>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57" w:lineRule="exact"/>
        <w:rPr>
          <w:rFonts w:ascii="Arial" w:cs="Arial" w:eastAsia="Arial" w:hAnsi="Arial"/>
          <w:sz w:val="18"/>
          <w:szCs w:val="18"/>
          <w:color w:val="auto"/>
        </w:rPr>
      </w:pPr>
    </w:p>
    <w:p>
      <w:pPr>
        <w:ind w:left="340" w:right="520" w:hanging="224"/>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 or</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5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w:t>
      </w:r>
    </w:p>
    <w:p>
      <w:pPr>
        <w:spacing w:after="0" w:line="1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6"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9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arising under the Securities Act, subject to and contingent upon a final adjudication in the State of Delaware of the enforceability of such exclusive forum provision.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transfer agent and registrar for our common stock is Equiniti Trust Company, LLC. The transfer agent’s address is 6201 15th Avenue, Brooklyn, New York 11219.</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common stock on the Nasdaq Global Market under the trading symbol “LXEO.”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0820"/>
          </w:cols>
          <w:pgMar w:left="320" w:top="459" w:right="7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7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2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Based on the number of shares outstanding as of June 30, 2023, upon the closing of this offering and assuming no exercise of the underwriters’ option to purchase additional shares, 24,668,641 shares of common stock will be outstanding. All of the shares of common stock sold in this offering will be freely tradable without restrictions or further registration under the Securities Act, except for any shares sold to our “affiliates,” as that term is defined under Rule 144 under the Securities Act. The remaining 15,668,641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8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103" w:lineRule="exact"/>
        <w:rPr>
          <w:sz w:val="20"/>
          <w:szCs w:val="20"/>
          <w:color w:val="auto"/>
        </w:rPr>
      </w:pPr>
    </w:p>
    <w:p>
      <w:pPr>
        <w:ind w:left="340" w:hanging="224"/>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existing shares will be eligible for immediate sale upon the completion of this offering; and</w:t>
      </w:r>
    </w:p>
    <w:p>
      <w:pPr>
        <w:spacing w:after="0" w:line="157" w:lineRule="exact"/>
        <w:rPr>
          <w:rFonts w:ascii="Arial" w:cs="Arial" w:eastAsia="Arial" w:hAnsi="Arial"/>
          <w:sz w:val="18"/>
          <w:szCs w:val="18"/>
          <w:color w:val="auto"/>
        </w:rPr>
      </w:pPr>
    </w:p>
    <w:p>
      <w:pPr>
        <w:ind w:left="340" w:right="40" w:hanging="224"/>
        <w:spacing w:after="0" w:line="26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15,668,641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Non-affiliates</w:t>
      </w:r>
    </w:p>
    <w:p>
      <w:pPr>
        <w:spacing w:after="0" w:line="14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03" w:lineRule="exact"/>
        <w:rPr>
          <w:sz w:val="20"/>
          <w:szCs w:val="20"/>
          <w:color w:val="auto"/>
        </w:rPr>
      </w:pPr>
    </w:p>
    <w:p>
      <w:pPr>
        <w:ind w:left="340" w:hanging="224"/>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15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Affiliates</w:t>
      </w:r>
    </w:p>
    <w:p>
      <w:pPr>
        <w:spacing w:after="0" w:line="14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119" w:lineRule="exact"/>
        <w:rPr>
          <w:sz w:val="20"/>
          <w:szCs w:val="20"/>
          <w:color w:val="auto"/>
        </w:rPr>
      </w:pPr>
    </w:p>
    <w:p>
      <w:pPr>
        <w:ind w:left="340" w:right="40" w:hanging="224"/>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246,686 shares immediately after the completion of this offering based on the number of shares outstanding as of June 30, 2023; or</w:t>
      </w:r>
    </w:p>
    <w:p>
      <w:pPr>
        <w:spacing w:after="0" w:line="102" w:lineRule="exact"/>
        <w:rPr>
          <w:rFonts w:ascii="Arial" w:cs="Arial" w:eastAsia="Arial" w:hAnsi="Arial"/>
          <w:sz w:val="18"/>
          <w:szCs w:val="18"/>
          <w:color w:val="auto"/>
        </w:rPr>
      </w:pPr>
    </w:p>
    <w:p>
      <w:pPr>
        <w:ind w:left="340" w:right="580" w:hanging="224"/>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0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5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 S-8 registration statements</w:t>
      </w:r>
    </w:p>
    <w:p>
      <w:pPr>
        <w:spacing w:after="0" w:line="15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 or otherwise agreed, subject to limited exceptions, that we and they will not, offer, pledge, announce the intention to sell, sell, contract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common stock, or any securities convertible into, or exchangeable for or that represent the right to receive shares of our common stock, without the prior written consent of J.P. Morgan Securities LLC and Leerink Partners LLC for a period of 180 days from the date of this prospectus. See “Underwriting” for additional information on these lock-up agreements.</w:t>
      </w:r>
    </w:p>
    <w:p>
      <w:pPr>
        <w:spacing w:after="0" w:line="12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5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Upon the closing of this offering, the holders of 14,046,587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7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is a summary of material U.S. federal income tax consequences to non-U.S. holders (as defined below) of the purchase,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judicial decisions and published rulings, and administrative pronouncements of the Internal Revenue Service, or the IRS, all as in effect as of the date hereof. These authorities are subject to differing interpretations and may change, possibly retroactively, resulting in U.S. federal income tax consequences different from those discussed below. We have not requested, and do not intend to request, a ruling from the IRS with respect to the U.S. federal income tax consequences discussed below, and there can be no assurance that the IRS or a court will agree with such tax consequences.</w:t>
      </w:r>
    </w:p>
    <w:p>
      <w:pPr>
        <w:spacing w:after="0" w:line="118"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This discussion is further limited to non-U.S. holders that hold our common stock as a “capital asset” within the meaning of Section 1221 of the Code (generally, property held for investment). This discussion also does not address all U.S. federal income tax consequences that may be relevant to a particular non-U.S. holder in light of such non-U.S. holder’s particular circumstances. Finally, this discussion does not address any specific facts or circumstances that may be relevant to non-U.S. holders subject to special rules under U.S. federal income tax laws, including:</w:t>
      </w:r>
    </w:p>
    <w:p>
      <w:pPr>
        <w:spacing w:after="0" w:line="104" w:lineRule="exact"/>
        <w:rPr>
          <w:sz w:val="20"/>
          <w:szCs w:val="20"/>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partnerships, S corporations, or other entities or arrangements treated as partnerships, pass-through entities, or disregarded entities (including hybrid entities) for U.S. federal income tax purposes (and investors therein);</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“controlled foreign corporations” within the meaning of Section 957(a) of the Code;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“passive foreign investment companies” within the meaning of Section 1297(a) of the Code;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that have elected to mark securities to market;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governmental organizations, or international organizations;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warrants or conversion rights under convertible instruments;</w:t>
      </w:r>
    </w:p>
    <w:p>
      <w:pPr>
        <w:spacing w:after="0" w:line="157" w:lineRule="exact"/>
        <w:rPr>
          <w:rFonts w:ascii="Arial" w:cs="Arial" w:eastAsia="Arial" w:hAnsi="Arial"/>
          <w:sz w:val="18"/>
          <w:szCs w:val="18"/>
          <w:color w:val="auto"/>
        </w:rPr>
      </w:pPr>
    </w:p>
    <w:p>
      <w:pPr>
        <w:ind w:left="340" w:hanging="224"/>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hold our common stock as “qualified small business stock” under Section 1202 of the Code or “Section 1244 stock” under Section 1244 of the Code;</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that acquired our common stock in a transaction subject to the gain rollover provisions of the Code (including Section 1045 of the Code);</w:t>
      </w:r>
    </w:p>
    <w:p>
      <w:pPr>
        <w:spacing w:after="0" w:line="180" w:lineRule="exact"/>
        <w:rPr>
          <w:rFonts w:ascii="Arial" w:cs="Arial" w:eastAsia="Arial" w:hAnsi="Arial"/>
          <w:sz w:val="16"/>
          <w:szCs w:val="16"/>
          <w:color w:val="auto"/>
        </w:rPr>
      </w:pPr>
    </w:p>
    <w:p>
      <w:pPr>
        <w:ind w:left="340" w:hanging="224"/>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7" w:lineRule="exact"/>
        <w:rPr>
          <w:rFonts w:ascii="Arial" w:cs="Arial" w:eastAsia="Arial" w:hAnsi="Arial"/>
          <w:sz w:val="18"/>
          <w:szCs w:val="18"/>
          <w:color w:val="auto"/>
        </w:rPr>
      </w:pPr>
    </w:p>
    <w:p>
      <w:pPr>
        <w:ind w:left="340" w:right="100" w:hanging="224"/>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897(l)(2) of the Code and entities all of the interests of which are held by qualified foreign pension funds; and</w:t>
      </w:r>
    </w:p>
    <w:p>
      <w:pPr>
        <w:spacing w:after="0" w:line="102"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hold our common stock as part of a hedging or conversion transaction, straddle, a constructive sale, or any other risk reduction strategy or integrated investment.</w:t>
      </w:r>
    </w:p>
    <w:p>
      <w:pPr>
        <w:spacing w:after="0" w:line="103"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a partnership (or an entity or arrangement that is treated as a partnership for U.S. federal income tax purposes) holds our common stock, the U.S. federal income tax treatment of a partner in such partnership will generally depend on the status of the partner and the activities of the partnership. Partnerships that hold our common stock and the partners in such partnerships are urged to consult their tax advisors about the particular U.S. federal income tax consequences to them of holding and disposing of our common stock.</w:t>
      </w:r>
    </w:p>
    <w:p>
      <w:pPr>
        <w:spacing w:after="0" w:line="115"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non-U.S. holder</w:t>
      </w:r>
    </w:p>
    <w:p>
      <w:pPr>
        <w:spacing w:after="0" w:line="152"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“United States person” or a partnership (including any entity or arrangement treated as a partnership) for U.S. federal income tax purposes. A U.S. person is any person that, for U.S. federal income tax purposes, is or is treated as any of the following:</w:t>
      </w:r>
    </w:p>
    <w:p>
      <w:pPr>
        <w:spacing w:after="0" w:line="116" w:lineRule="exact"/>
        <w:rPr>
          <w:sz w:val="20"/>
          <w:szCs w:val="20"/>
          <w:color w:val="auto"/>
        </w:rPr>
      </w:pPr>
    </w:p>
    <w:p>
      <w:pPr>
        <w:ind w:left="340" w:hanging="224"/>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340" w:right="140" w:hanging="224"/>
        <w:spacing w:after="0" w:line="277"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57" w:lineRule="exact"/>
        <w:rPr>
          <w:rFonts w:ascii="Arial" w:cs="Arial" w:eastAsia="Arial" w:hAnsi="Arial"/>
          <w:sz w:val="18"/>
          <w:szCs w:val="18"/>
          <w:color w:val="auto"/>
        </w:rPr>
      </w:pPr>
    </w:p>
    <w:p>
      <w:pPr>
        <w:jc w:val="both"/>
        <w:ind w:left="340" w:right="120" w:hanging="224"/>
        <w:spacing w:after="0" w:line="263"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“United States persons” within the meaning of Section 7701(a)(30) of the Code who have the authority to control all substantial decisions of the trust or (2) that has a valid election in effect under applicable Treasury Regulations to be treated as a United States person.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 on our common stock</w:t>
      </w:r>
    </w:p>
    <w:p>
      <w:pPr>
        <w:spacing w:after="0" w:line="15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described in the section titled “Dividend Policy” above, we have not paid and do not anticipate paying dividends in the foreseeable future. However, if we make cash or other property distributions on our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will constitute a return of capital and first be applied against and reduce the non-U.S. holder’s tax basis in our common stock, but not below zero. Any amount distributed in excess of tax basis will be treated as gain realized on the sale or other disposition of our common stock and, therefore, treated as described in the section titled “—Gain on Disposition of Our Common Stock” below.</w:t>
      </w:r>
    </w:p>
    <w:p>
      <w:pPr>
        <w:spacing w:after="0" w:line="1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the Foreign Account Tax Compliance Act (FATCA), dividends paid to a non-U.S. holder generally will be subject to U.S. federal withholding tax at a rate of 30% (or such lower rate specified by an applicable income tax treaty) of the gross amount of the dividends. To receive the benefit of a lower treaty rate, a non-U.S. holder must furnish the applicable withholding agent with a valid IRS Form W-8BEN or IRS Form W-8BEN-E (or applicable successor form) certifying such non-U.S. holder’s qualification for such rate. This certification must be provided to the applicable withholding agent before the payment of dividends and updated periodically. If the non-U.S. holder holds our common stock through a financial institution or other agent acting on the non-U.S. holder’s behalf, the non-U.S. holder will be required to provide appropriate documentation to the financial institution or agent, which then will be required to provide certification to the applicable withholding agent, either directly or through other intermediaries.</w:t>
      </w:r>
    </w:p>
    <w:p>
      <w:pPr>
        <w:spacing w:after="0" w:line="1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8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non-U.S. holder’s U.S. trade or business (and are attributable to such non-U.S. holder’s permanent establishment in the United States, if required by an applicable tax treaty), the non-U.S. holder generally will be exempt from U.S. federal withholding tax. To claim the exemption, the non-U.S. holder must generally furnish a valid IRS Form W-8ECI (or applicable successor form) to the applicable withholding agent.</w:t>
      </w:r>
    </w:p>
    <w:p>
      <w:pPr>
        <w:spacing w:after="0" w:line="12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are urged to consult their tax advisors about any applicable income tax treaties that may provide for different rules.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5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03" w:lineRule="exact"/>
        <w:rPr>
          <w:sz w:val="20"/>
          <w:szCs w:val="20"/>
          <w:color w:val="auto"/>
        </w:rPr>
      </w:pPr>
    </w:p>
    <w:p>
      <w:pPr>
        <w:ind w:left="340" w:right="480" w:hanging="224"/>
        <w:spacing w:after="0" w:line="277"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the non-U.S. holder’s permanent establishment in the United States;</w:t>
      </w:r>
    </w:p>
    <w:p>
      <w:pPr>
        <w:spacing w:after="0" w:line="102" w:lineRule="exact"/>
        <w:rPr>
          <w:rFonts w:ascii="Arial" w:cs="Arial" w:eastAsia="Arial" w:hAnsi="Arial"/>
          <w:sz w:val="18"/>
          <w:szCs w:val="18"/>
          <w:color w:val="auto"/>
        </w:rPr>
      </w:pPr>
    </w:p>
    <w:p>
      <w:pPr>
        <w:ind w:left="340" w:right="360" w:hanging="224"/>
        <w:spacing w:after="0" w:line="277"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sale or other disposition, and certain other requirements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80" w:hanging="224"/>
        <w:spacing w:after="0" w:line="259"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sale or other disposition or the non-U.S. holder’s holding period for our common stock, and our common stock is not regularly traded on an established securities market as defined by applicable Treasury Regulations.</w:t>
      </w:r>
    </w:p>
    <w:p>
      <w:pPr>
        <w:spacing w:after="0" w:line="11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that we will not in the future become a USRPHC. Even if we are or were to become a USRPHC, gain arising from the sale or other disposition by a non-U.S. holder of our common stock may not be subject to U.S. federal income tax if our common stock is “regularly traded,” as defined by applicable Treasury Regulations, on an established securities market.</w:t>
      </w:r>
    </w:p>
    <w:p>
      <w:pPr>
        <w:spacing w:after="0" w:line="9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which may be offset by certain U.S.-source capital losses (even though the individual is not considered a resident of the United States), provided that the non-U.S. holder has timely filed U.S. federal income tax returns with respect to such losses. If we are or become a USRPHC during the period described in the third bullet point above and our common stock is not regularly traded for purposes of the relevant rules, gain arising from the sale or other taxable disposition of our common stock by a non-U.S. holder will generally be subject to U.S. federal income tax in the same manner as gain that is effectively connected with the conduct of a U.S. trade or business, except that the branch profits tax generally will not apply. Non-U.S. holders are urged to consult their tax advisors about any applicable income tax treaties that may provide for different rules.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distributions on our common stock paid to such non-U.S. holder and the amount of any tax withheld with respect to those distributions. These information reporting requirements apply even if no withholding was required (because the distributions were effectively connected with the non-U.S.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sale or other disposition of our common stock provided that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non-U.S. holder is a United States person who is not an exempt recipient.</w:t>
      </w:r>
    </w:p>
    <w:p>
      <w:pPr>
        <w:spacing w:after="0" w:line="10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non-U.S. holders are urged to consult their tax advisors about the possibility of and procedure for obtaining a refund or a credit against the non-U.S. holder’s U.S. federal income tax liability, if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 tax compliance act</w:t>
      </w:r>
    </w:p>
    <w:p>
      <w:pPr>
        <w:spacing w:after="0" w:line="15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FATCA imposes a U.S. federal withholding tax of 30% on certain payments made to a “foreign financial institution” (as specially defined under the FATCA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non-U.S.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U.S. federal withholding tax of 30% applicable to the gross proceeds of a sale or other disposition of our common stock. In its preamble to such proposed Treasury Regulations, the U.S. Treasury Department stated that taxpayers may generally rely on the proposed Treasury Regulations until final regulations are issued.</w:t>
      </w:r>
    </w:p>
    <w:p>
      <w:pPr>
        <w:spacing w:after="0" w:line="100"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Prospective investors are urged to consult with their tax advisors about the possible implications of FATCA on their investment in our common stock. 242</w:t>
      </w:r>
    </w:p>
    <w:p>
      <w:pPr>
        <w:sectPr>
          <w:pgSz w:w="11900" w:h="16838" w:orient="portrait"/>
          <w:cols w:equalWidth="0" w:num="1">
            <w:col w:w="11080"/>
          </w:cols>
          <w:pgMar w:left="320" w:top="459" w:right="49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7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Leerink Partners LLC, Stifel, Nicolaus &amp; Company, Incorporated and RBC Capital Markets,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9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1"/>
              </w:rPr>
              <w:t>Number of Shares</w:t>
            </w:r>
          </w:p>
        </w:tc>
      </w:t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8"/>
              </w:rPr>
              <w:t>    </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Leerink Partners LLC</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6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9,000,000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608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43"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underwriters are committed to purchase all the common stock offered by us if they purchase any shares. The underwriting agreement also provides that if an underwriter defaults, the purchase commitments of non-defaulting underwriters may also be increased or the offering may be terminated.</w:t>
      </w:r>
    </w:p>
    <w:p>
      <w:pPr>
        <w:spacing w:after="0" w:line="4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common stock is not sold at the initial public offering price, the underwriters may change the offering price and the other selling terms. Sales of any shares made outside of the United States may be made by affiliates of the underwriters.</w:t>
      </w:r>
    </w:p>
    <w:p>
      <w:pPr>
        <w:spacing w:after="0" w:line="1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underwriters have an option to buy up to 1,350,000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5160" w:type="dxa"/>
            <w:vAlign w:val="bottom"/>
            <w:gridSpan w:val="2"/>
          </w:tcPr>
          <w:p>
            <w:pPr>
              <w:ind w:left="2360"/>
              <w:spacing w:after="0"/>
              <w:rPr>
                <w:sz w:val="20"/>
                <w:szCs w:val="20"/>
                <w:color w:val="auto"/>
              </w:rPr>
            </w:pPr>
            <w:r>
              <w:rPr>
                <w:rFonts w:ascii="Arial" w:cs="Arial" w:eastAsia="Arial" w:hAnsi="Arial"/>
                <w:sz w:val="16"/>
                <w:szCs w:val="16"/>
                <w:b w:val="1"/>
                <w:bCs w:val="1"/>
                <w:color w:val="auto"/>
              </w:rPr>
              <w:t>Without Option to Purchase</w:t>
            </w:r>
          </w:p>
        </w:tc>
        <w:tc>
          <w:tcPr>
            <w:tcW w:w="2800" w:type="dxa"/>
            <w:vAlign w:val="bottom"/>
            <w:gridSpan w:val="2"/>
          </w:tcPr>
          <w:p>
            <w:pPr>
              <w:ind w:left="700"/>
              <w:spacing w:after="0"/>
              <w:rPr>
                <w:sz w:val="20"/>
                <w:szCs w:val="20"/>
                <w:color w:val="auto"/>
              </w:rPr>
            </w:pPr>
            <w:r>
              <w:rPr>
                <w:rFonts w:ascii="Arial" w:cs="Arial" w:eastAsia="Arial" w:hAnsi="Arial"/>
                <w:sz w:val="16"/>
                <w:szCs w:val="16"/>
                <w:b w:val="1"/>
                <w:bCs w:val="1"/>
                <w:color w:val="auto"/>
                <w:w w:val="94"/>
              </w:rPr>
              <w:t>With Full Option to Purchase</w:t>
            </w:r>
          </w:p>
        </w:tc>
      </w:tr>
      <w:tr>
        <w:trPr>
          <w:trHeight w:val="213"/>
        </w:trPr>
        <w:tc>
          <w:tcPr>
            <w:tcW w:w="30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Additional Shares Exercise</w:t>
            </w:r>
          </w:p>
        </w:tc>
        <w:tc>
          <w:tcPr>
            <w:tcW w:w="8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2"/>
              </w:rPr>
              <w:t>Additional Shares Exercise</w:t>
            </w: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460" w:type="dxa"/>
            <w:vAlign w:val="bottom"/>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2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6"/>
              </w:rPr>
              <w:t>     </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ind w:left="2360"/>
              <w:spacing w:after="0"/>
              <w:rPr>
                <w:sz w:val="20"/>
                <w:szCs w:val="20"/>
                <w:color w:val="auto"/>
              </w:rPr>
            </w:pPr>
            <w:r>
              <w:rPr>
                <w:rFonts w:ascii="Arial" w:cs="Arial" w:eastAsia="Arial" w:hAnsi="Arial"/>
                <w:sz w:val="18"/>
                <w:szCs w:val="18"/>
                <w:color w:val="auto"/>
                <w:w w:val="79"/>
              </w:rPr>
              <w:t>$</w:t>
            </w:r>
          </w:p>
        </w:tc>
        <w:tc>
          <w:tcPr>
            <w:tcW w:w="2700" w:type="dxa"/>
            <w:vAlign w:val="bottom"/>
          </w:tcPr>
          <w:p>
            <w:pPr>
              <w:ind w:left="1280"/>
              <w:spacing w:after="0"/>
              <w:rPr>
                <w:sz w:val="20"/>
                <w:szCs w:val="20"/>
                <w:color w:val="auto"/>
              </w:rPr>
            </w:pPr>
            <w:r>
              <w:rPr>
                <w:rFonts w:ascii="Arial" w:cs="Arial" w:eastAsia="Arial" w:hAnsi="Arial"/>
                <w:sz w:val="18"/>
                <w:szCs w:val="18"/>
                <w:color w:val="auto"/>
              </w:rPr>
              <w:t>       </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980" w:type="dxa"/>
            <w:vAlign w:val="bottom"/>
          </w:tcPr>
          <w:p>
            <w:pPr>
              <w:ind w:left="1340"/>
              <w:spacing w:after="0"/>
              <w:rPr>
                <w:sz w:val="20"/>
                <w:szCs w:val="20"/>
                <w:color w:val="auto"/>
              </w:rPr>
            </w:pPr>
            <w:r>
              <w:rPr>
                <w:rFonts w:ascii="Arial" w:cs="Arial" w:eastAsia="Arial" w:hAnsi="Arial"/>
                <w:sz w:val="18"/>
                <w:szCs w:val="18"/>
                <w:color w:val="auto"/>
                <w:w w:val="96"/>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608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1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approximately $4,300,000. We have agreed to reimburse the underwriters for their expenses relating to the clearance of this offering with the Financial Industry Regulatory Authority, Inc.</w:t>
      </w:r>
    </w:p>
    <w:p>
      <w:pPr>
        <w:spacing w:after="0" w:line="103"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1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Leerink Partners LLC for a period of 180 days after the date of this prospectus, other than the shares of our common stock to be sold in this offering.</w:t>
      </w:r>
    </w:p>
    <w:p>
      <w:pPr>
        <w:spacing w:after="0" w:line="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restrictions on our actions, as described above, do not apply to: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(iii) the issuance of up to 5%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or (iv)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1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Our directors and executive officers, and substantially all of our shareholders (such persons, the “lock-up parties”) have entered into lock 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Leerink Partners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1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or if the lock-up party is a trust, to a trustor, trustee (or co-trustee) or beneficiary of the trust or to the estate of a beneficiary of the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transfer or disposition to stockholders, partners, members, beneficiaries or other equity holders of the lock-up party; (vii) by operation of law, such as pursuant to a qualified domestic order, divorce settlement, divorce decree, or separation agreement; (viii) to us from an employee upon death, disability or termination of employment of such employee; (ix) as part of a sale of lock-up securities acquired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or (xii) to an immediate family member of the lock-up party;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(1) such plan does not provide for the transfer of lock-up securities during the restricted period and (2) any required public disclosure of such plan includes the restrictions set forth in the immediately preceding paragraph.</w:t>
      </w:r>
    </w:p>
    <w:p>
      <w:pPr>
        <w:spacing w:after="0" w:line="10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J.P. Morgan Securities LLC and Leerink Partners LLC, in their sole discretion, may release the securities subject to any of the lock-up agreements with the underwriters described above, in whole or in part at any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common stock on the Nasdaq Global Market under the symbol “LXEO”.</w:t>
      </w:r>
    </w:p>
    <w:p>
      <w:pPr>
        <w:spacing w:after="0" w:line="1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9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over-the-counter market or otherwise.</w:t>
      </w:r>
    </w:p>
    <w:p>
      <w:pPr>
        <w:spacing w:after="0" w:line="11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6" w:lineRule="exact"/>
        <w:rPr>
          <w:sz w:val="20"/>
          <w:szCs w:val="20"/>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57" w:lineRule="exact"/>
        <w:rPr>
          <w:rFonts w:ascii="Arial" w:cs="Arial" w:eastAsia="Arial" w:hAnsi="Arial"/>
          <w:sz w:val="18"/>
          <w:szCs w:val="18"/>
          <w:color w:val="auto"/>
        </w:rPr>
      </w:pPr>
    </w:p>
    <w:p>
      <w:pPr>
        <w:ind w:left="340" w:hanging="224"/>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103"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5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other than at any time under the following exemptions under the Prospectus Regulation:</w:t>
      </w:r>
    </w:p>
    <w:p>
      <w:pPr>
        <w:spacing w:after="0" w:line="109"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57" w:lineRule="exact"/>
        <w:rPr>
          <w:rFonts w:ascii="Arial" w:cs="Arial" w:eastAsia="Arial" w:hAnsi="Arial"/>
          <w:sz w:val="18"/>
          <w:szCs w:val="18"/>
          <w:color w:val="auto"/>
        </w:rPr>
      </w:pPr>
    </w:p>
    <w:p>
      <w:pPr>
        <w:ind w:left="540" w:right="380" w:hanging="424"/>
        <w:spacing w:after="0" w:line="277"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provided that no such offer of shares of common stock shall require us or any underwriter to publish a prospectus pursuant to Article 3 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w:t>
      </w:r>
    </w:p>
    <w:p>
      <w:pPr>
        <w:spacing w:after="0" w:line="10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has been obtained to each such proposed offer or resale.</w:t>
      </w:r>
    </w:p>
    <w:p>
      <w:pPr>
        <w:spacing w:after="0" w:line="9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5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of our common stock which either (i) has been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the share of our common stock may be offered to the public in the United Kingdom at any time:</w:t>
      </w:r>
    </w:p>
    <w:p>
      <w:pPr>
        <w:spacing w:after="0" w:line="116"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provided that no such offer of the share of our common stock shall require us or any representative to publish a prospectus pursuant to Section 85 of the FSMA or supplement a prospectus pursuant to Article 23 of the UK Prospectus Regulation.</w:t>
      </w:r>
    </w:p>
    <w:p>
      <w:pPr>
        <w:spacing w:after="0" w:line="103"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of our common stock in the United Kingdom means the communication in any form and by any means of sufficient information on the terms of the offer and any shares of our common stock to be offered so as to enable an investor to decide to purchase or subscribe for any shares of our common stock and the expression “UK Prospectus Regulation” means Regulation (EU) 2017/1129 as it forms part of domestic law by virtue of the European Union (Withdrawal) Act 2018.</w:t>
      </w:r>
    </w:p>
    <w:p>
      <w:pPr>
        <w:spacing w:after="0" w:line="7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5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90"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1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Neither this document nor any other offering or marketing material relating to the offering, us, or the shares of common stock have been or will be filed with or approved by any Swiss regulatory authority. In particular, this document will not be filed with, and the offer of shares of common stock will not be supervised by, the Swiss Financial Market Supervisory Authority,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5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the SFO,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5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Each representative has acknowledged that this prospectus has not been registered as a prospectus with the Monetary Authority of Singapore. Accordingly, each representative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10" w:lineRule="exact"/>
        <w:rPr>
          <w:sz w:val="20"/>
          <w:szCs w:val="20"/>
          <w:color w:val="auto"/>
        </w:rPr>
      </w:pPr>
    </w:p>
    <w:p>
      <w:pPr>
        <w:ind w:left="540" w:right="180" w:hanging="424"/>
        <w:spacing w:after="0" w:line="277"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77"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58" w:lineRule="exact"/>
        <w:rPr>
          <w:sz w:val="20"/>
          <w:szCs w:val="20"/>
          <w:color w:val="auto"/>
        </w:rPr>
      </w:pPr>
    </w:p>
    <w:p>
      <w:pPr>
        <w:ind w:left="540" w:right="80" w:hanging="424"/>
        <w:spacing w:after="0" w:line="277"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540" w:right="80" w:hanging="424"/>
        <w:spacing w:after="0" w:line="301"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rFonts w:ascii="Arial" w:cs="Arial" w:eastAsia="Arial" w:hAnsi="Arial"/>
          <w:sz w:val="16"/>
          <w:szCs w:val="16"/>
          <w:color w:val="auto"/>
        </w:rPr>
      </w:pPr>
    </w:p>
    <w:p>
      <w:pPr>
        <w:ind w:left="1080" w:hanging="532"/>
        <w:spacing w:after="0"/>
        <w:tabs>
          <w:tab w:leader="none" w:pos="10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43" w:lineRule="exact"/>
        <w:rPr>
          <w:rFonts w:ascii="Arial" w:cs="Arial" w:eastAsia="Arial" w:hAnsi="Arial"/>
          <w:sz w:val="16"/>
          <w:szCs w:val="16"/>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080" w:right="760" w:hanging="532"/>
        <w:spacing w:after="0" w:line="277"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the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5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5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or the DIFC) other than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 or the DFSA.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3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58"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or the Corporations Act;</w:t>
      </w:r>
    </w:p>
    <w:p>
      <w:pPr>
        <w:spacing w:after="0" w:line="169" w:lineRule="exact"/>
        <w:rPr>
          <w:rFonts w:ascii="Arial" w:cs="Arial" w:eastAsia="Arial" w:hAnsi="Arial"/>
          <w:sz w:val="17"/>
          <w:szCs w:val="17"/>
          <w:color w:val="auto"/>
        </w:rPr>
      </w:pPr>
    </w:p>
    <w:p>
      <w:pPr>
        <w:ind w:left="540" w:right="460" w:hanging="424"/>
        <w:spacing w:after="0" w:line="263"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6"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2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where disclosure to investors is not required under Chapter 6D.2 of the Corporations Act or where a compliant disclosure document is prepared and lodged with ASIC.</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3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3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3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080"/>
          </w:cols>
          <w:pgMar w:left="320" w:top="459" w:right="49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reproduced or used for any other purpose. The interests in the securities may not be offered or sold directly or indirectly to the public in the DIFC.</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38"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38" w:lineRule="exact"/>
        <w:rPr>
          <w:sz w:val="20"/>
          <w:szCs w:val="20"/>
          <w:color w:val="auto"/>
        </w:rPr>
      </w:pPr>
    </w:p>
    <w:p>
      <w:pPr>
        <w:ind w:left="120" w:right="540"/>
        <w:spacing w:after="0" w:line="259" w:lineRule="auto"/>
        <w:rPr>
          <w:sz w:val="20"/>
          <w:szCs w:val="20"/>
          <w:color w:val="auto"/>
        </w:rPr>
      </w:pPr>
      <w:r>
        <w:rPr>
          <w:rFonts w:ascii="Arial" w:cs="Arial" w:eastAsia="Arial" w:hAnsi="Arial"/>
          <w:sz w:val="18"/>
          <w:szCs w:val="18"/>
          <w:color w:val="auto"/>
        </w:rPr>
        <w:t>The shares of common stock are not being, and may not be offered, to the public or to any person in the British Virgin Islands for purchase or subscription by or on behalf of the Company. The shares of common stock may be offered to companies incorporated under the BVI Business Companies Act, 2004 (British Virgin Islands), or the BVI Companies, but only where the offer will be made to, and received by, the relevant BVI Company entirely outside of the British Virgin Islands.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3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of common stock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common stock, as principal, if the offer is on terms that the shares of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5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52"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Due to restrictions under the securities laws of South Africa, the shares of common stock are not offered, and the offer shall not be transferred, sold, renounced or delivered, in South Africa or to a person with an address in South Africa, unless one or other of the following exemptions applies: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96(1)(a): the offer, transfer, sale, renunciation or delivery is to:</w:t>
      </w:r>
    </w:p>
    <w:p>
      <w:pPr>
        <w:spacing w:after="0" w:line="158"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57" w:lineRule="exact"/>
        <w:rPr>
          <w:rFonts w:ascii="Arial" w:cs="Arial" w:eastAsia="Arial" w:hAnsi="Arial"/>
          <w:sz w:val="18"/>
          <w:szCs w:val="18"/>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57" w:lineRule="exact"/>
        <w:rPr>
          <w:rFonts w:ascii="Arial" w:cs="Arial" w:eastAsia="Arial" w:hAnsi="Arial"/>
          <w:sz w:val="18"/>
          <w:szCs w:val="18"/>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57" w:lineRule="exact"/>
        <w:rPr>
          <w:rFonts w:ascii="Arial" w:cs="Arial" w:eastAsia="Arial" w:hAnsi="Arial"/>
          <w:sz w:val="18"/>
          <w:szCs w:val="18"/>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57" w:lineRule="exact"/>
        <w:rPr>
          <w:rFonts w:ascii="Arial" w:cs="Arial" w:eastAsia="Arial" w:hAnsi="Arial"/>
          <w:sz w:val="18"/>
          <w:szCs w:val="18"/>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57" w:lineRule="exact"/>
        <w:rPr>
          <w:rFonts w:ascii="Arial" w:cs="Arial" w:eastAsia="Arial" w:hAnsi="Arial"/>
          <w:sz w:val="18"/>
          <w:szCs w:val="18"/>
          <w:color w:val="auto"/>
        </w:rPr>
      </w:pPr>
    </w:p>
    <w:p>
      <w:pPr>
        <w:ind w:left="540" w:right="160" w:hanging="424"/>
        <w:spacing w:after="0" w:line="342"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56" w:lineRule="exact"/>
        <w:rPr>
          <w:rFonts w:ascii="Arial" w:cs="Arial" w:eastAsia="Arial" w:hAnsi="Arial"/>
          <w:sz w:val="16"/>
          <w:szCs w:val="16"/>
          <w:color w:val="auto"/>
        </w:rPr>
      </w:pPr>
    </w:p>
    <w:p>
      <w:pPr>
        <w:ind w:left="540" w:hanging="424"/>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combination of the persons in (i) to (vi); or</w:t>
      </w:r>
    </w:p>
    <w:p>
      <w:pPr>
        <w:spacing w:after="0" w:line="14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Section 96(1)(b): the total contemplated acquisition cost of the securities, for a single addressee acting as principal is equal to or greater than ZAR1,000,000 or such higher amount as may be promulgated by notice in the Government Gazette of South Africa pursuant to section 96(2)(a) of the South African Companies Act.</w:t>
      </w:r>
    </w:p>
    <w:p>
      <w:pPr>
        <w:spacing w:after="0" w:line="11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52"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7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Paul Hastings LLP, New York, New York.</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7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financial statements of Lexeo Therapeutics, Inc. as of December 31, 2022 and 2021, and for the years then ended have been included herein in reliance upon the report of KPMG LLP, independent registered public accounting firm, appearing elsewhere herein, and upon the authority of said firm as experts in accounting and auditing.</w:t>
      </w:r>
    </w:p>
    <w:p>
      <w:pPr>
        <w:spacing w:after="0" w:line="37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10"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Upon completion of this offering, we will be subject to the information reporting requirements of the Exchange Act, and we will file reports, proxy statements and other information with the SEC. These reports, proxy statements and other information will be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9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 xml:space="preserve">We also maintain a website at </w:t>
      </w:r>
      <w:r>
        <w:rPr>
          <w:rFonts w:ascii="Arial" w:cs="Arial" w:eastAsia="Arial" w:hAnsi="Arial"/>
          <w:sz w:val="16"/>
          <w:szCs w:val="16"/>
          <w:i w:val="1"/>
          <w:iCs w:val="1"/>
          <w:color w:val="auto"/>
        </w:rPr>
        <w:t>www.lexeotx.com</w:t>
      </w:r>
      <w:r>
        <w:rPr>
          <w:rFonts w:ascii="Arial" w:cs="Arial" w:eastAsia="Arial" w:hAnsi="Arial"/>
          <w:sz w:val="16"/>
          <w:szCs w:val="16"/>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and the inclusion of our website address in this prospectus is only as an inactive textual reference.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040"/>
          </w:cols>
          <w:pgMar w:left="320" w:top="459" w:right="5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INDEX TO FINANCIAL STATEMENTS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8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2280" w:type="dxa"/>
            <w:vAlign w:val="bottom"/>
          </w:tcPr>
          <w:p>
            <w:pPr>
              <w:spacing w:after="0"/>
              <w:rPr>
                <w:sz w:val="20"/>
                <w:szCs w:val="20"/>
                <w:color w:val="auto"/>
              </w:rPr>
            </w:pPr>
          </w:p>
        </w:tc>
      </w:tr>
      <w:tr>
        <w:trPr>
          <w:trHeight w:val="243"/>
        </w:trPr>
        <w:tc>
          <w:tcPr>
            <w:tcW w:w="4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4460" w:type="dxa"/>
            <w:vAlign w:val="bottom"/>
            <w:gridSpan w:val="5"/>
          </w:tcPr>
          <w:p>
            <w:pPr>
              <w:spacing w:after="0"/>
              <w:rPr>
                <w:sz w:val="21"/>
                <w:szCs w:val="21"/>
                <w:color w:val="auto"/>
              </w:rPr>
            </w:pP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F-2</w:t>
            </w:r>
          </w:p>
        </w:tc>
      </w:tr>
      <w:tr>
        <w:trPr>
          <w:trHeight w:val="263"/>
        </w:trPr>
        <w:tc>
          <w:tcPr>
            <w:tcW w:w="8680" w:type="dxa"/>
            <w:vAlign w:val="bottom"/>
            <w:gridSpan w:val="12"/>
          </w:tcPr>
          <w:p>
            <w:pPr>
              <w:spacing w:after="0"/>
              <w:rPr>
                <w:sz w:val="20"/>
                <w:szCs w:val="20"/>
                <w:color w:val="auto"/>
              </w:rPr>
            </w:pPr>
            <w:r>
              <w:rPr>
                <w:rFonts w:ascii="Arial" w:cs="Arial" w:eastAsia="Arial" w:hAnsi="Arial"/>
                <w:sz w:val="18"/>
                <w:szCs w:val="18"/>
                <w:color w:val="0000EE"/>
              </w:rPr>
              <w:t>Consolidated Balance Sheets</w:t>
            </w: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F-3</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4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Operations and Comprehensive Loss</w:t>
            </w:r>
          </w:p>
        </w:tc>
        <w:tc>
          <w:tcPr>
            <w:tcW w:w="4000" w:type="dxa"/>
            <w:vAlign w:val="bottom"/>
            <w:gridSpan w:val="4"/>
          </w:tcPr>
          <w:p>
            <w:pPr>
              <w:spacing w:after="0"/>
              <w:rPr>
                <w:sz w:val="22"/>
                <w:szCs w:val="22"/>
                <w:color w:val="auto"/>
              </w:rPr>
            </w:pP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F-4</w:t>
            </w:r>
          </w:p>
        </w:tc>
      </w:tr>
      <w:tr>
        <w:trPr>
          <w:trHeight w:val="263"/>
        </w:trPr>
        <w:tc>
          <w:tcPr>
            <w:tcW w:w="59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Consolidated Statements of Convertible Preferred Stock and Stockholders’ Deficit</w:t>
            </w:r>
          </w:p>
        </w:tc>
        <w:tc>
          <w:tcPr>
            <w:tcW w:w="2760" w:type="dxa"/>
            <w:vAlign w:val="bottom"/>
            <w:gridSpan w:val="2"/>
          </w:tcPr>
          <w:p>
            <w:pPr>
              <w:spacing w:after="0"/>
              <w:rPr>
                <w:sz w:val="22"/>
                <w:szCs w:val="22"/>
                <w:color w:val="auto"/>
              </w:rPr>
            </w:pP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F-5</w:t>
            </w:r>
          </w:p>
        </w:tc>
      </w:tr>
      <w:tr>
        <w:trPr>
          <w:trHeight w:val="263"/>
        </w:trPr>
        <w:tc>
          <w:tcPr>
            <w:tcW w:w="8680" w:type="dxa"/>
            <w:vAlign w:val="bottom"/>
            <w:gridSpan w:val="12"/>
          </w:tcPr>
          <w:p>
            <w:pPr>
              <w:spacing w:after="0"/>
              <w:rPr>
                <w:sz w:val="20"/>
                <w:szCs w:val="20"/>
                <w:color w:val="auto"/>
              </w:rPr>
            </w:pPr>
            <w:r>
              <w:rPr>
                <w:rFonts w:ascii="Arial" w:cs="Arial" w:eastAsia="Arial" w:hAnsi="Arial"/>
                <w:sz w:val="18"/>
                <w:szCs w:val="18"/>
                <w:color w:val="0000EE"/>
              </w:rPr>
              <w:t>Consolidated Statements of Cash Flows</w:t>
            </w: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F-6</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8680" w:type="dxa"/>
            <w:vAlign w:val="bottom"/>
            <w:gridSpan w:val="12"/>
          </w:tcPr>
          <w:p>
            <w:pPr>
              <w:spacing w:after="0"/>
              <w:rPr>
                <w:sz w:val="20"/>
                <w:szCs w:val="20"/>
                <w:color w:val="auto"/>
              </w:rPr>
            </w:pPr>
            <w:r>
              <w:rPr>
                <w:rFonts w:ascii="Arial" w:cs="Arial" w:eastAsia="Arial" w:hAnsi="Arial"/>
                <w:sz w:val="18"/>
                <w:szCs w:val="18"/>
                <w:color w:val="0000EE"/>
              </w:rPr>
              <w:t>Notes to Consolidated Financial Statements</w:t>
            </w:r>
          </w:p>
        </w:tc>
        <w:tc>
          <w:tcPr>
            <w:tcW w:w="2280" w:type="dxa"/>
            <w:vAlign w:val="bottom"/>
          </w:tcPr>
          <w:p>
            <w:pPr>
              <w:ind w:left="2020"/>
              <w:spacing w:after="0"/>
              <w:rPr>
                <w:sz w:val="20"/>
                <w:szCs w:val="20"/>
                <w:color w:val="auto"/>
              </w:rPr>
            </w:pPr>
            <w:r>
              <w:rPr>
                <w:rFonts w:ascii="Arial" w:cs="Arial" w:eastAsia="Arial" w:hAnsi="Arial"/>
                <w:sz w:val="18"/>
                <w:szCs w:val="18"/>
                <w:color w:val="auto"/>
                <w:w w:val="88"/>
              </w:rPr>
              <w:t>F-7</w:t>
            </w:r>
          </w:p>
        </w:tc>
      </w:tr>
      <w:tr>
        <w:trPr>
          <w:trHeight w:val="345"/>
        </w:trPr>
        <w:tc>
          <w:tcPr>
            <w:tcW w:w="314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Unaudited Financial Statements</w:t>
            </w:r>
          </w:p>
        </w:tc>
        <w:tc>
          <w:tcPr>
            <w:tcW w:w="5540" w:type="dxa"/>
            <w:vAlign w:val="bottom"/>
            <w:gridSpan w:val="8"/>
          </w:tcPr>
          <w:p>
            <w:pPr>
              <w:spacing w:after="0"/>
              <w:rPr>
                <w:sz w:val="24"/>
                <w:szCs w:val="24"/>
                <w:color w:val="auto"/>
              </w:rPr>
            </w:pPr>
          </w:p>
        </w:tc>
        <w:tc>
          <w:tcPr>
            <w:tcW w:w="2280" w:type="dxa"/>
            <w:vAlign w:val="bottom"/>
          </w:tcPr>
          <w:p>
            <w:pPr>
              <w:spacing w:after="0"/>
              <w:rPr>
                <w:sz w:val="24"/>
                <w:szCs w:val="24"/>
                <w:color w:val="auto"/>
              </w:rPr>
            </w:pPr>
          </w:p>
        </w:tc>
      </w:tr>
      <w:tr>
        <w:trPr>
          <w:trHeight w:val="243"/>
        </w:trPr>
        <w:tc>
          <w:tcPr>
            <w:tcW w:w="8680" w:type="dxa"/>
            <w:vAlign w:val="bottom"/>
            <w:gridSpan w:val="12"/>
          </w:tcPr>
          <w:p>
            <w:pPr>
              <w:spacing w:after="0"/>
              <w:rPr>
                <w:sz w:val="20"/>
                <w:szCs w:val="20"/>
                <w:color w:val="auto"/>
              </w:rPr>
            </w:pPr>
            <w:r>
              <w:rPr>
                <w:rFonts w:ascii="Arial" w:cs="Arial" w:eastAsia="Arial" w:hAnsi="Arial"/>
                <w:sz w:val="18"/>
                <w:szCs w:val="18"/>
                <w:color w:val="0000EE"/>
              </w:rPr>
              <w:t>Condensed Consolidated Balance Sheets</w:t>
            </w:r>
          </w:p>
        </w:tc>
        <w:tc>
          <w:tcPr>
            <w:tcW w:w="2280" w:type="dxa"/>
            <w:vAlign w:val="bottom"/>
          </w:tcPr>
          <w:p>
            <w:pPr>
              <w:ind w:left="1920"/>
              <w:spacing w:after="0"/>
              <w:rPr>
                <w:sz w:val="20"/>
                <w:szCs w:val="20"/>
                <w:color w:val="auto"/>
              </w:rPr>
            </w:pPr>
            <w:r>
              <w:rPr>
                <w:rFonts w:ascii="Arial" w:cs="Arial" w:eastAsia="Arial" w:hAnsi="Arial"/>
                <w:sz w:val="18"/>
                <w:szCs w:val="18"/>
                <w:color w:val="auto"/>
                <w:w w:val="91"/>
              </w:rPr>
              <w:t>F-29</w:t>
            </w:r>
          </w:p>
        </w:tc>
      </w:tr>
      <w:tr>
        <w:trPr>
          <w:trHeight w:val="20"/>
        </w:trPr>
        <w:tc>
          <w:tcPr>
            <w:tcW w:w="292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4"/>
        </w:trPr>
        <w:tc>
          <w:tcPr>
            <w:tcW w:w="55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Condensed Consolidated Statements of Operations and Comprehensive Loss</w:t>
            </w:r>
          </w:p>
        </w:tc>
        <w:tc>
          <w:tcPr>
            <w:tcW w:w="3160" w:type="dxa"/>
            <w:vAlign w:val="bottom"/>
            <w:gridSpan w:val="3"/>
          </w:tcPr>
          <w:p>
            <w:pPr>
              <w:spacing w:after="0"/>
              <w:rPr>
                <w:sz w:val="22"/>
                <w:szCs w:val="22"/>
                <w:color w:val="auto"/>
              </w:rPr>
            </w:pPr>
          </w:p>
        </w:tc>
        <w:tc>
          <w:tcPr>
            <w:tcW w:w="2280" w:type="dxa"/>
            <w:vAlign w:val="bottom"/>
          </w:tcPr>
          <w:p>
            <w:pPr>
              <w:ind w:left="1920"/>
              <w:spacing w:after="0"/>
              <w:rPr>
                <w:sz w:val="20"/>
                <w:szCs w:val="20"/>
                <w:color w:val="auto"/>
              </w:rPr>
            </w:pPr>
            <w:r>
              <w:rPr>
                <w:rFonts w:ascii="Arial" w:cs="Arial" w:eastAsia="Arial" w:hAnsi="Arial"/>
                <w:sz w:val="18"/>
                <w:szCs w:val="18"/>
                <w:color w:val="auto"/>
                <w:w w:val="91"/>
              </w:rPr>
              <w:t>F-30</w:t>
            </w:r>
          </w:p>
        </w:tc>
      </w:tr>
      <w:tr>
        <w:trPr>
          <w:trHeight w:val="263"/>
        </w:trPr>
        <w:tc>
          <w:tcPr>
            <w:tcW w:w="8680" w:type="dxa"/>
            <w:vAlign w:val="bottom"/>
            <w:gridSpan w:val="12"/>
          </w:tcPr>
          <w:p>
            <w:pPr>
              <w:spacing w:after="0"/>
              <w:rPr>
                <w:sz w:val="20"/>
                <w:szCs w:val="20"/>
                <w:color w:val="auto"/>
              </w:rPr>
            </w:pPr>
            <w:r>
              <w:rPr>
                <w:rFonts w:ascii="Arial" w:cs="Arial" w:eastAsia="Arial" w:hAnsi="Arial"/>
                <w:sz w:val="18"/>
                <w:szCs w:val="18"/>
                <w:color w:val="0000EE"/>
              </w:rPr>
              <w:t>Condensed Consolidated Statements of Convertible Preferred Stock and Stockholders’ Deficit</w:t>
            </w:r>
          </w:p>
        </w:tc>
        <w:tc>
          <w:tcPr>
            <w:tcW w:w="2280" w:type="dxa"/>
            <w:vAlign w:val="bottom"/>
          </w:tcPr>
          <w:p>
            <w:pPr>
              <w:ind w:left="1920"/>
              <w:spacing w:after="0"/>
              <w:rPr>
                <w:sz w:val="20"/>
                <w:szCs w:val="20"/>
                <w:color w:val="auto"/>
              </w:rPr>
            </w:pPr>
            <w:r>
              <w:rPr>
                <w:rFonts w:ascii="Arial" w:cs="Arial" w:eastAsia="Arial" w:hAnsi="Arial"/>
                <w:sz w:val="18"/>
                <w:szCs w:val="18"/>
                <w:color w:val="auto"/>
                <w:w w:val="91"/>
              </w:rPr>
              <w:t>F-31</w:t>
            </w:r>
          </w:p>
        </w:tc>
      </w:tr>
      <w:tr>
        <w:trPr>
          <w:trHeight w:val="263"/>
        </w:trPr>
        <w:tc>
          <w:tcPr>
            <w:tcW w:w="67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Condensed Consolidated Statements of Cash Flows</w:t>
            </w:r>
          </w:p>
        </w:tc>
        <w:tc>
          <w:tcPr>
            <w:tcW w:w="1920" w:type="dxa"/>
            <w:vAlign w:val="bottom"/>
          </w:tcPr>
          <w:p>
            <w:pPr>
              <w:spacing w:after="0"/>
              <w:rPr>
                <w:sz w:val="22"/>
                <w:szCs w:val="22"/>
                <w:color w:val="auto"/>
              </w:rPr>
            </w:pPr>
          </w:p>
        </w:tc>
        <w:tc>
          <w:tcPr>
            <w:tcW w:w="2280" w:type="dxa"/>
            <w:vAlign w:val="bottom"/>
          </w:tcPr>
          <w:p>
            <w:pPr>
              <w:ind w:left="1920"/>
              <w:spacing w:after="0"/>
              <w:rPr>
                <w:sz w:val="20"/>
                <w:szCs w:val="20"/>
                <w:color w:val="auto"/>
              </w:rPr>
            </w:pPr>
            <w:r>
              <w:rPr>
                <w:rFonts w:ascii="Arial" w:cs="Arial" w:eastAsia="Arial" w:hAnsi="Arial"/>
                <w:sz w:val="18"/>
                <w:szCs w:val="18"/>
                <w:color w:val="auto"/>
                <w:w w:val="91"/>
              </w:rPr>
              <w:t>F-32</w:t>
            </w:r>
          </w:p>
        </w:tc>
      </w:tr>
      <w:tr>
        <w:trPr>
          <w:trHeight w:val="20"/>
        </w:trPr>
        <w:tc>
          <w:tcPr>
            <w:tcW w:w="37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63"/>
        </w:trPr>
        <w:tc>
          <w:tcPr>
            <w:tcW w:w="8680" w:type="dxa"/>
            <w:vAlign w:val="bottom"/>
            <w:gridSpan w:val="12"/>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2280" w:type="dxa"/>
            <w:vAlign w:val="bottom"/>
          </w:tcPr>
          <w:p>
            <w:pPr>
              <w:ind w:left="1920"/>
              <w:spacing w:after="0"/>
              <w:rPr>
                <w:sz w:val="20"/>
                <w:szCs w:val="20"/>
                <w:color w:val="auto"/>
              </w:rPr>
            </w:pPr>
            <w:r>
              <w:rPr>
                <w:rFonts w:ascii="Arial" w:cs="Arial" w:eastAsia="Arial" w:hAnsi="Arial"/>
                <w:sz w:val="18"/>
                <w:szCs w:val="18"/>
                <w:color w:val="auto"/>
                <w:w w:val="91"/>
              </w:rPr>
              <w:t>F-33</w:t>
            </w: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4"/>
          </w:tcPr>
          <w:p>
            <w:pPr>
              <w:ind w:left="700"/>
              <w:spacing w:after="0"/>
              <w:rPr>
                <w:sz w:val="20"/>
                <w:szCs w:val="20"/>
                <w:color w:val="auto"/>
              </w:rPr>
            </w:pPr>
            <w:r>
              <w:rPr>
                <w:rFonts w:ascii="Arial" w:cs="Arial" w:eastAsia="Arial" w:hAnsi="Arial"/>
                <w:sz w:val="18"/>
                <w:szCs w:val="18"/>
                <w:color w:val="auto"/>
              </w:rPr>
              <w:t>F-1</w:t>
            </w:r>
          </w:p>
        </w:tc>
        <w:tc>
          <w:tcPr>
            <w:tcW w:w="22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05815" cy="3257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05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NY 10154-0102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Lexeo Therapeutics, Inc.: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have audited the accompanying consolidated balance sheets of Lexeo Therapeutics, Inc. and subsidiary (the Company) as of December 31, 2022 and 2021, the related consolidated statements of operations and comprehensive loss,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2022, due to the adoption of Accounting Standards Codification Topic 842, Leases.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1097280" cy="2228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97280" cy="2228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2023</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KPMG LLP, a Delaware limited liability partnership and a member firm of</w:t>
      </w:r>
    </w:p>
    <w:p>
      <w:pPr>
        <w:jc w:val="center"/>
        <w:ind w:right="-119"/>
        <w:spacing w:after="0" w:line="221" w:lineRule="auto"/>
        <w:rPr>
          <w:sz w:val="20"/>
          <w:szCs w:val="20"/>
          <w:color w:val="auto"/>
        </w:rPr>
      </w:pPr>
      <w:r>
        <w:rPr>
          <w:rFonts w:ascii="Arial" w:cs="Arial" w:eastAsia="Arial" w:hAnsi="Arial"/>
          <w:sz w:val="14"/>
          <w:szCs w:val="14"/>
          <w:color w:val="auto"/>
        </w:rPr>
        <w:t>the KPMG global organization of independent member firms affiliated with</w:t>
      </w:r>
    </w:p>
    <w:p>
      <w:pPr>
        <w:jc w:val="center"/>
        <w:ind w:right="-119"/>
        <w:spacing w:after="0"/>
        <w:rPr>
          <w:sz w:val="20"/>
          <w:szCs w:val="20"/>
          <w:color w:val="auto"/>
        </w:rPr>
      </w:pPr>
      <w:r>
        <w:rPr>
          <w:rFonts w:ascii="Arial" w:cs="Arial" w:eastAsia="Arial" w:hAnsi="Arial"/>
          <w:sz w:val="14"/>
          <w:szCs w:val="14"/>
          <w:color w:val="auto"/>
        </w:rPr>
        <w:t>KPMG International Limited, a private English company limited by guarantee.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Balance Sheets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4"/>
              </w:rPr>
              <w:t>December 31,</w:t>
            </w:r>
          </w:p>
        </w:tc>
      </w:tr>
      <w:tr>
        <w:trPr>
          <w:trHeight w:val="199"/>
        </w:trPr>
        <w:tc>
          <w:tcPr>
            <w:tcW w:w="90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48"/>
        </w:trPr>
        <w:tc>
          <w:tcPr>
            <w:tcW w:w="9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77,335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135,860</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2,342</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128</w:t>
            </w: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80,048</w:t>
            </w: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136,684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3,253</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Lease right-of-use assets—finance, net</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2,069</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Lease right-of-use assets—operating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10,708</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97,076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136,860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4"/>
        </w:trPr>
        <w:tc>
          <w:tcPr>
            <w:tcW w:w="9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Liabilities, Convertible Preferred Stock and 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528</w:t>
            </w: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6,420</w:t>
            </w:r>
          </w:p>
        </w:tc>
        <w:tc>
          <w:tcPr>
            <w:tcW w:w="4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Current portion of lease liabilities—finance</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90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14,349</w:t>
            </w: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7"/>
        </w:trPr>
        <w:tc>
          <w:tcPr>
            <w:tcW w:w="9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Non-current portion of lease liabilities—finance</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1,648</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portion of lease liabilities—operating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24,997</w:t>
            </w:r>
          </w:p>
        </w:tc>
        <w:tc>
          <w:tcPr>
            <w:tcW w:w="4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5"/>
        </w:trPr>
        <w:tc>
          <w:tcPr>
            <w:tcW w:w="9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040" w:type="dxa"/>
            <w:vAlign w:val="bottom"/>
          </w:tcPr>
          <w:p>
            <w:pPr>
              <w:spacing w:after="0" w:line="201" w:lineRule="exact"/>
              <w:rPr>
                <w:sz w:val="20"/>
                <w:szCs w:val="20"/>
                <w:color w:val="auto"/>
              </w:rPr>
            </w:pPr>
            <w:r>
              <w:rPr>
                <w:rFonts w:ascii="Arial" w:cs="Arial" w:eastAsia="Arial" w:hAnsi="Arial"/>
                <w:sz w:val="18"/>
                <w:szCs w:val="18"/>
                <w:color w:val="auto"/>
                <w:w w:val="96"/>
              </w:rPr>
              <w:t>Series A convertible preferred stock, $0.0001 par value; 85,495,722 shares authorized, issued, and outstanding as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w w:val="96"/>
              </w:rPr>
              <w:t>December 31, 2022 and December 31, 2021; aggregate liquidation value of $85,496 as of December 31, 2022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85,268</w:t>
            </w:r>
          </w:p>
        </w:tc>
        <w:tc>
          <w:tcPr>
            <w:tcW w:w="42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85,248</w:t>
            </w:r>
          </w:p>
        </w:tc>
      </w:tr>
      <w:tr>
        <w:trPr>
          <w:trHeight w:val="202"/>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convertible preferred stock, $0.0001 par value; 58,157,824 shares authorized as of December 31, 2022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2022; 58,157,823 shares issued and outstanding as of December 31, 2022 and December 31, 2021;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liquidation value of $100,060 as of December 31, 2022 and December 31, 2021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99,765</w:t>
            </w:r>
          </w:p>
        </w:tc>
        <w:tc>
          <w:tcPr>
            <w:tcW w:w="4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99,765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Stockholders’ and members’ deficit: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$0.0001 par value, 18,125,051 shares authorized as of December 31, 2022 and December 31, 2021;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1,648,734 shares issued and 1,607,185 shares outstanding as of December 31, 2022; 1,580,651 shares issued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December 31, 2021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4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567</w:t>
            </w:r>
          </w:p>
        </w:tc>
      </w:tr>
      <w:tr>
        <w:trPr>
          <w:trHeight w:val="21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(115,446)</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(56,169)</w:t>
            </w:r>
          </w:p>
        </w:tc>
      </w:tr>
      <w:tr>
        <w:trPr>
          <w:trHeight w:val="230"/>
        </w:trPr>
        <w:tc>
          <w:tcPr>
            <w:tcW w:w="904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(112,954)</w:t>
            </w:r>
          </w:p>
        </w:tc>
        <w:tc>
          <w:tcPr>
            <w:tcW w:w="4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(55,602)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convertible preferred stock,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97,076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136,860</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Statements of Operations and Comprehensive Loss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gridSpan w:val="4"/>
          </w:tcPr>
          <w:p>
            <w:pPr>
              <w:ind w:left="280"/>
              <w:spacing w:after="0"/>
              <w:rPr>
                <w:sz w:val="20"/>
                <w:szCs w:val="20"/>
                <w:color w:val="auto"/>
              </w:rPr>
            </w:pPr>
            <w:r>
              <w:rPr>
                <w:rFonts w:ascii="Arial" w:cs="Arial" w:eastAsia="Arial" w:hAnsi="Arial"/>
                <w:sz w:val="16"/>
                <w:szCs w:val="16"/>
                <w:b w:val="1"/>
                <w:bCs w:val="1"/>
                <w:color w:val="auto"/>
                <w:w w:val="98"/>
              </w:rPr>
              <w:t>Years ended</w:t>
            </w:r>
          </w:p>
        </w:tc>
      </w:tr>
      <w:tr>
        <w:trPr>
          <w:trHeight w:val="213"/>
        </w:trPr>
        <w:tc>
          <w:tcPr>
            <w:tcW w:w="8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Arial" w:cs="Arial" w:eastAsia="Arial" w:hAnsi="Arial"/>
                <w:sz w:val="16"/>
                <w:szCs w:val="16"/>
                <w:b w:val="1"/>
                <w:bCs w:val="1"/>
                <w:color w:val="auto"/>
                <w:w w:val="99"/>
              </w:rPr>
              <w:t>December 31,</w:t>
            </w:r>
          </w:p>
        </w:tc>
      </w:tr>
      <w:tr>
        <w:trPr>
          <w:trHeight w:val="199"/>
        </w:trPr>
        <w:tc>
          <w:tcPr>
            <w:tcW w:w="8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48"/>
        </w:trPr>
        <w:tc>
          <w:tcPr>
            <w:tcW w:w="8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Grant revenue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654</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654</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90"/>
        </w:trPr>
        <w:tc>
          <w:tcPr>
            <w:tcW w:w="83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49,162</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45,121</w:t>
            </w: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12,001</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61,163</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52,294</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(60,509)</w:t>
            </w: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4"/>
        </w:trPr>
        <w:tc>
          <w:tcPr>
            <w:tcW w:w="8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1,325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1,232</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(59,277)</w:t>
            </w: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(59,277)</w:t>
            </w:r>
          </w:p>
        </w:tc>
        <w:tc>
          <w:tcPr>
            <w:tcW w:w="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(36.36)</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(32.60)</w:t>
            </w: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outstanding used in computation of net loss per common share, basic and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w w:val="89"/>
              </w:rPr>
              <w:t>1,630,348</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1,552,708</w:t>
            </w:r>
          </w:p>
        </w:tc>
        <w:tc>
          <w:tcPr>
            <w:tcW w:w="100" w:type="dxa"/>
            <w:vAlign w:val="bottom"/>
          </w:tcPr>
          <w:p>
            <w:pPr>
              <w:spacing w:after="0"/>
              <w:rPr>
                <w:sz w:val="20"/>
                <w:szCs w:val="20"/>
                <w:color w:val="auto"/>
              </w:rPr>
            </w:pPr>
          </w:p>
        </w:tc>
      </w:tr>
      <w:tr>
        <w:trPr>
          <w:trHeight w:val="216"/>
        </w:trPr>
        <w:tc>
          <w:tcPr>
            <w:tcW w:w="8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Consolidated Statements of Convertible Preferred Stock and Stockholders’ Deficit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amounts)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1640" w:type="dxa"/>
            <w:vAlign w:val="bottom"/>
            <w:tcBorders>
              <w:top w:val="single" w:sz="8" w:color="auto"/>
              <w:right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Convertible Preferred</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vMerge w:val="restart"/>
          </w:tcPr>
          <w:p>
            <w:pPr>
              <w:jc w:val="right"/>
              <w:ind w:right="8"/>
              <w:spacing w:after="0" w:line="13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vMerge w:val="restart"/>
          </w:tcPr>
          <w:p>
            <w:pPr>
              <w:ind w:left="200"/>
              <w:spacing w:after="0" w:line="13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line="20" w:lineRule="exact"/>
              <w:rPr>
                <w:sz w:val="1"/>
                <w:szCs w:val="1"/>
                <w:color w:val="auto"/>
              </w:rPr>
            </w:pPr>
          </w:p>
        </w:tc>
      </w:tr>
      <w:tr>
        <w:trPr>
          <w:trHeight w:val="119"/>
        </w:trPr>
        <w:tc>
          <w:tcPr>
            <w:tcW w:w="46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  Shares</w:t>
            </w:r>
          </w:p>
        </w:tc>
        <w:tc>
          <w:tcPr>
            <w:tcW w:w="12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w:t>
            </w:r>
          </w:p>
        </w:tc>
        <w:tc>
          <w:tcPr>
            <w:tcW w:w="2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48"/>
        </w:trPr>
        <w:tc>
          <w:tcPr>
            <w:tcW w:w="4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January 1, 2021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34,495,725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31,238</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1,514,113</w:t>
            </w:r>
          </w:p>
        </w:tc>
        <w:tc>
          <w:tcPr>
            <w:tcW w:w="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(5,547)</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Tranche Obligation Settlement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4"/>
                <w:szCs w:val="14"/>
                <w:color w:val="auto"/>
              </w:rPr>
              <w:t>Issuance of Series A convertible preferred stock, 1st milestone and 2nd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140"/>
              <w:spacing w:after="0"/>
              <w:rPr>
                <w:sz w:val="20"/>
                <w:szCs w:val="20"/>
                <w:color w:val="auto"/>
              </w:rPr>
            </w:pPr>
            <w:r>
              <w:rPr>
                <w:rFonts w:ascii="Arial" w:cs="Arial" w:eastAsia="Arial" w:hAnsi="Arial"/>
                <w:sz w:val="14"/>
                <w:szCs w:val="14"/>
                <w:color w:val="auto"/>
              </w:rPr>
              <w:t>milestone</w:t>
            </w:r>
          </w:p>
        </w:tc>
        <w:tc>
          <w:tcPr>
            <w:tcW w:w="820" w:type="dxa"/>
            <w:vAlign w:val="bottom"/>
          </w:tcPr>
          <w:p>
            <w:pPr>
              <w:jc w:val="right"/>
              <w:spacing w:after="0"/>
              <w:rPr>
                <w:sz w:val="20"/>
                <w:szCs w:val="20"/>
                <w:color w:val="auto"/>
              </w:rPr>
            </w:pPr>
            <w:r>
              <w:rPr>
                <w:rFonts w:ascii="Arial" w:cs="Arial" w:eastAsia="Arial" w:hAnsi="Arial"/>
                <w:sz w:val="14"/>
                <w:szCs w:val="14"/>
                <w:color w:val="auto"/>
              </w:rPr>
              <w:t>50,999,997</w:t>
            </w:r>
          </w:p>
        </w:tc>
        <w:tc>
          <w:tcPr>
            <w:tcW w:w="12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51,000</w:t>
            </w:r>
          </w:p>
        </w:tc>
        <w:tc>
          <w:tcPr>
            <w:tcW w:w="8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4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B convertible preferred stock, net of issuance costs of</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$295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58,157,823</w:t>
            </w:r>
          </w:p>
        </w:tc>
        <w:tc>
          <w:tcPr>
            <w:tcW w:w="12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99,765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66,538</w:t>
            </w:r>
          </w:p>
        </w:tc>
        <w:tc>
          <w:tcPr>
            <w:tcW w:w="2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240" w:type="dxa"/>
            <w:vAlign w:val="bottom"/>
          </w:tcPr>
          <w:p>
            <w:pPr>
              <w:spacing w:after="0"/>
              <w:rPr>
                <w:sz w:val="20"/>
                <w:szCs w:val="20"/>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(50,622)</w:t>
            </w:r>
          </w:p>
        </w:tc>
        <w:tc>
          <w:tcPr>
            <w:tcW w:w="4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(50,622)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2021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143,653,545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185,013</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1,580,651</w:t>
            </w:r>
          </w:p>
        </w:tc>
        <w:tc>
          <w:tcPr>
            <w:tcW w:w="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567</w:t>
            </w:r>
          </w:p>
        </w:tc>
        <w:tc>
          <w:tcPr>
            <w:tcW w:w="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(56,169)</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(55,602)</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Arial" w:cs="Arial" w:eastAsia="Arial" w:hAnsi="Arial"/>
                <w:sz w:val="14"/>
                <w:szCs w:val="14"/>
                <w:color w:val="auto"/>
              </w:rPr>
              <w:t>Proceeds from issuance of series A convertible preferred stock</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20</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4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68,083</w:t>
            </w:r>
          </w:p>
        </w:tc>
        <w:tc>
          <w:tcPr>
            <w:tcW w:w="2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332</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4"/>
                <w:szCs w:val="14"/>
                <w:color w:val="auto"/>
                <w:w w:val="99"/>
              </w:rPr>
              <w:t>Proceeds received from early exercise of unvested stock options subject to</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140"/>
              <w:spacing w:after="0"/>
              <w:rPr>
                <w:sz w:val="20"/>
                <w:szCs w:val="20"/>
                <w:color w:val="auto"/>
              </w:rPr>
            </w:pPr>
            <w:r>
              <w:rPr>
                <w:rFonts w:ascii="Arial" w:cs="Arial" w:eastAsia="Arial" w:hAnsi="Arial"/>
                <w:sz w:val="14"/>
                <w:szCs w:val="14"/>
                <w:color w:val="auto"/>
              </w:rPr>
              <w:t>repurchase and recorded as deposit liabilities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(41,549)</w:t>
            </w:r>
          </w:p>
        </w:tc>
        <w:tc>
          <w:tcPr>
            <w:tcW w:w="2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1,781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(59,277)</w:t>
            </w:r>
          </w:p>
        </w:tc>
        <w:tc>
          <w:tcPr>
            <w:tcW w:w="4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(59,277)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2022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143,653,545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185,033</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1,607,185</w:t>
            </w:r>
          </w:p>
        </w:tc>
        <w:tc>
          <w:tcPr>
            <w:tcW w:w="2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2,492</w:t>
            </w:r>
          </w:p>
        </w:tc>
        <w:tc>
          <w:tcPr>
            <w:tcW w:w="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(115,446)</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(112,954)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Years ended December 31,</w:t>
      </w:r>
    </w:p>
    <w:p>
      <w:pPr>
        <w:spacing w:after="0" w:line="32" w:lineRule="exact"/>
        <w:rPr>
          <w:sz w:val="20"/>
          <w:szCs w:val="20"/>
          <w:color w:val="auto"/>
        </w:rPr>
      </w:pPr>
    </w:p>
    <w:p>
      <w:pPr>
        <w:jc w:val="both"/>
        <w:ind w:left="9100"/>
        <w:spacing w:after="0"/>
        <w:tabs>
          <w:tab w:leader="none" w:pos="10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-116205</wp:posOffset>
            </wp:positionV>
            <wp:extent cx="1405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6" w:lineRule="exact"/>
        <w:rPr>
          <w:sz w:val="20"/>
          <w:szCs w:val="20"/>
          <w:color w:val="auto"/>
        </w:rPr>
      </w:pPr>
    </w:p>
    <w:p>
      <w:pPr>
        <w:jc w:val="both"/>
        <w:ind w:left="9340"/>
        <w:spacing w:after="0"/>
        <w:tabs>
          <w:tab w:leader="none" w:pos="107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loss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right-of-use asset, operating</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right-of-use assets,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Stock based compensation expense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Changes in operating assets and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Security deposits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Issuance costs payable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 in deferred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Accrued expenses and other current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Lease liability, operating</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Lease liabilities,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operating activities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of internal use software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investing activities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issuance of series A/B convertible preferred stock</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B convertible preferred 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Payment of costs related to initial public offering</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Payments on finance leases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tabs>
          <w:tab w:leader="none" w:pos="320" w:val="left"/>
          <w:tab w:leader="none" w:pos="1340" w:val="left"/>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(59,277)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(50,622)</w:t>
      </w:r>
    </w:p>
    <w:p>
      <w:pPr>
        <w:spacing w:after="0" w:line="289" w:lineRule="exact"/>
        <w:rPr>
          <w:sz w:val="20"/>
          <w:szCs w:val="20"/>
          <w:color w:val="auto"/>
        </w:rPr>
      </w:pPr>
    </w:p>
    <w:p>
      <w:pPr>
        <w:ind w:left="2060" w:hanging="1463"/>
        <w:spacing w:after="0"/>
        <w:tabs>
          <w:tab w:leader="none" w:pos="20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p>
    <w:p>
      <w:pPr>
        <w:spacing w:after="0" w:line="22" w:lineRule="exact"/>
        <w:rPr>
          <w:rFonts w:ascii="Arial" w:cs="Arial" w:eastAsia="Arial" w:hAnsi="Arial"/>
          <w:sz w:val="16"/>
          <w:szCs w:val="16"/>
          <w:color w:val="auto"/>
        </w:rPr>
      </w:pPr>
    </w:p>
    <w:p>
      <w:pPr>
        <w:ind w:left="2060" w:hanging="1463"/>
        <w:spacing w:after="0"/>
        <w:tabs>
          <w:tab w:leader="none" w:pos="20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p>
    <w:p>
      <w:pPr>
        <w:spacing w:after="0" w:line="19" w:lineRule="exact"/>
        <w:rPr>
          <w:sz w:val="20"/>
          <w:szCs w:val="20"/>
          <w:color w:val="auto"/>
        </w:rPr>
      </w:pPr>
    </w:p>
    <w:tbl>
      <w:tblPr>
        <w:tblLayout w:type="fixed"/>
        <w:tblInd w:w="420" w:type="dxa"/>
        <w:tblCellMar>
          <w:top w:w="0" w:type="dxa"/>
          <w:left w:w="0" w:type="dxa"/>
          <w:bottom w:w="0" w:type="dxa"/>
          <w:right w:w="0" w:type="dxa"/>
        </w:tblCellMar>
      </w:tblPr>
      <w:tr>
        <w:trPr>
          <w:trHeight w:val="199"/>
        </w:trPr>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1,781</w:t>
            </w:r>
          </w:p>
        </w:tc>
        <w:tc>
          <w:tcPr>
            <w:tcW w:w="88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06"/>
        </w:trPr>
        <w:tc>
          <w:tcPr>
            <w:tcW w:w="980" w:type="dxa"/>
            <w:vAlign w:val="bottom"/>
          </w:tcPr>
          <w:p>
            <w:pPr>
              <w:jc w:val="right"/>
              <w:ind w:right="479"/>
              <w:spacing w:after="0"/>
              <w:rPr>
                <w:sz w:val="20"/>
                <w:szCs w:val="20"/>
                <w:color w:val="auto"/>
              </w:rPr>
            </w:pPr>
            <w:r>
              <w:rPr>
                <w:rFonts w:ascii="Arial" w:cs="Arial" w:eastAsia="Arial" w:hAnsi="Arial"/>
                <w:sz w:val="16"/>
                <w:szCs w:val="16"/>
                <w:color w:val="auto"/>
              </w:rPr>
              <w:t>120</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401"/>
        </w:trPr>
        <w:tc>
          <w:tcPr>
            <w:tcW w:w="980" w:type="dxa"/>
            <w:vAlign w:val="bottom"/>
          </w:tcPr>
          <w:p>
            <w:pPr>
              <w:jc w:val="right"/>
              <w:ind w:right="419"/>
              <w:spacing w:after="0"/>
              <w:rPr>
                <w:sz w:val="20"/>
                <w:szCs w:val="20"/>
                <w:color w:val="auto"/>
              </w:rPr>
            </w:pPr>
            <w:r>
              <w:rPr>
                <w:rFonts w:ascii="Arial" w:cs="Arial" w:eastAsia="Arial" w:hAnsi="Arial"/>
                <w:sz w:val="16"/>
                <w:szCs w:val="16"/>
                <w:color w:val="auto"/>
                <w:w w:val="90"/>
              </w:rPr>
              <w:t>(1,889)</w:t>
            </w:r>
          </w:p>
        </w:tc>
        <w:tc>
          <w:tcPr>
            <w:tcW w:w="88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06"/>
        </w:trPr>
        <w:tc>
          <w:tcPr>
            <w:tcW w:w="980" w:type="dxa"/>
            <w:vAlign w:val="bottom"/>
          </w:tcPr>
          <w:p>
            <w:pPr>
              <w:jc w:val="right"/>
              <w:ind w:right="479"/>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bl>
    <w:p>
      <w:pPr>
        <w:ind w:left="1860" w:hanging="1316"/>
        <w:spacing w:after="0"/>
        <w:tabs>
          <w:tab w:leader="none" w:pos="1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3,015</w:t>
      </w:r>
    </w:p>
    <w:p>
      <w:pPr>
        <w:spacing w:after="0" w:line="18"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(223)</w:t>
      </w:r>
    </w:p>
    <w:p>
      <w:pPr>
        <w:spacing w:after="0" w:line="19" w:lineRule="exact"/>
        <w:rPr>
          <w:sz w:val="20"/>
          <w:szCs w:val="20"/>
          <w:color w:val="auto"/>
        </w:rPr>
      </w:pPr>
    </w:p>
    <w:p>
      <w:pPr>
        <w:ind w:left="2000" w:hanging="1375"/>
        <w:spacing w:after="0"/>
        <w:tabs>
          <w:tab w:leader="none" w:pos="200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(93)</w:t>
      </w:r>
    </w:p>
    <w:p>
      <w:pPr>
        <w:spacing w:after="0" w:line="30" w:lineRule="exact"/>
        <w:rPr>
          <w:sz w:val="20"/>
          <w:szCs w:val="20"/>
          <w:color w:val="auto"/>
        </w:rPr>
      </w:pPr>
    </w:p>
    <w:p>
      <w:pPr>
        <w:ind w:left="480"/>
        <w:spacing w:after="0"/>
        <w:tabs>
          <w:tab w:leader="none" w:pos="1840" w:val="left"/>
        </w:tabs>
        <w:rPr>
          <w:sz w:val="20"/>
          <w:szCs w:val="20"/>
          <w:color w:val="auto"/>
        </w:rPr>
      </w:pPr>
      <w:r>
        <w:rPr>
          <w:rFonts w:ascii="Arial" w:cs="Arial" w:eastAsia="Arial" w:hAnsi="Arial"/>
          <w:sz w:val="16"/>
          <w:szCs w:val="16"/>
          <w:color w:val="auto"/>
        </w:rPr>
        <w:t>4,476</w:t>
      </w:r>
      <w:r>
        <w:rPr>
          <w:sz w:val="20"/>
          <w:szCs w:val="20"/>
          <w:color w:val="auto"/>
        </w:rPr>
        <w:tab/>
      </w:r>
      <w:r>
        <w:rPr>
          <w:rFonts w:ascii="Arial" w:cs="Arial" w:eastAsia="Arial" w:hAnsi="Arial"/>
          <w:sz w:val="16"/>
          <w:szCs w:val="16"/>
          <w:color w:val="auto"/>
        </w:rPr>
        <w:t>3,395</w:t>
      </w:r>
    </w:p>
    <w:p>
      <w:pPr>
        <w:spacing w:after="0" w:line="19" w:lineRule="exact"/>
        <w:rPr>
          <w:sz w:val="20"/>
          <w:szCs w:val="20"/>
          <w:color w:val="auto"/>
        </w:rPr>
      </w:pPr>
    </w:p>
    <w:p>
      <w:pPr>
        <w:ind w:left="1980" w:hanging="1355"/>
        <w:spacing w:after="0"/>
        <w:tabs>
          <w:tab w:leader="none" w:pos="1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490</w:t>
      </w:r>
    </w:p>
    <w:p>
      <w:pPr>
        <w:spacing w:after="0" w:line="19" w:lineRule="exact"/>
        <w:rPr>
          <w:sz w:val="20"/>
          <w:szCs w:val="20"/>
          <w:color w:val="auto"/>
        </w:rPr>
      </w:pPr>
    </w:p>
    <w:p>
      <w:pPr>
        <w:ind w:left="2060" w:hanging="1516"/>
        <w:spacing w:after="0"/>
        <w:tabs>
          <w:tab w:leader="none" w:pos="20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t>
      </w:r>
    </w:p>
    <w:p>
      <w:pPr>
        <w:spacing w:after="0" w:line="19" w:lineRule="exact"/>
        <w:rPr>
          <w:sz w:val="20"/>
          <w:szCs w:val="20"/>
          <w:color w:val="auto"/>
        </w:rPr>
      </w:pPr>
    </w:p>
    <w:p>
      <w:pPr>
        <w:ind w:left="2060" w:hanging="1354"/>
        <w:spacing w:after="0"/>
        <w:tabs>
          <w:tab w:leader="none" w:pos="20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1405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 w:lineRule="exact"/>
        <w:rPr>
          <w:sz w:val="20"/>
          <w:szCs w:val="20"/>
          <w:color w:val="auto"/>
        </w:rPr>
      </w:pPr>
    </w:p>
    <w:p>
      <w:pPr>
        <w:jc w:val="both"/>
        <w:ind w:left="340"/>
        <w:spacing w:after="0"/>
        <w:tabs>
          <w:tab w:leader="none" w:pos="1700" w:val="left"/>
        </w:tabs>
        <w:rPr>
          <w:sz w:val="20"/>
          <w:szCs w:val="20"/>
          <w:color w:val="auto"/>
        </w:rPr>
      </w:pPr>
      <w:r>
        <w:rPr>
          <w:rFonts w:ascii="Arial" w:cs="Arial" w:eastAsia="Arial" w:hAnsi="Arial"/>
          <w:sz w:val="16"/>
          <w:szCs w:val="16"/>
          <w:color w:val="auto"/>
        </w:rPr>
        <w:t>(54,560)</w:t>
      </w:r>
      <w:r>
        <w:rPr>
          <w:sz w:val="20"/>
          <w:szCs w:val="20"/>
          <w:color w:val="auto"/>
        </w:rPr>
        <w:tab/>
      </w:r>
      <w:r>
        <w:rPr>
          <w:rFonts w:ascii="Arial" w:cs="Arial" w:eastAsia="Arial" w:hAnsi="Arial"/>
          <w:sz w:val="16"/>
          <w:szCs w:val="16"/>
          <w:color w:val="auto"/>
        </w:rPr>
        <w:t>(44,182)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405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6" w:lineRule="exact"/>
        <w:rPr>
          <w:sz w:val="20"/>
          <w:szCs w:val="20"/>
          <w:color w:val="auto"/>
        </w:rPr>
      </w:pPr>
    </w:p>
    <w:p>
      <w:pPr>
        <w:ind w:left="2060" w:hanging="1516"/>
        <w:spacing w:after="0"/>
        <w:tabs>
          <w:tab w:leader="none" w:pos="20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p>
    <w:p>
      <w:pPr>
        <w:spacing w:after="0" w:line="22" w:lineRule="exact"/>
        <w:rPr>
          <w:sz w:val="20"/>
          <w:szCs w:val="20"/>
          <w:color w:val="auto"/>
        </w:rPr>
      </w:pPr>
    </w:p>
    <w:p>
      <w:pPr>
        <w:ind w:left="1920" w:hanging="1376"/>
        <w:spacing w:after="0"/>
        <w:tabs>
          <w:tab w:leader="none" w:pos="19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1405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3" w:lineRule="exact"/>
        <w:rPr>
          <w:sz w:val="20"/>
          <w:szCs w:val="20"/>
          <w:color w:val="auto"/>
        </w:rPr>
      </w:pPr>
    </w:p>
    <w:p>
      <w:pPr>
        <w:ind w:left="1920" w:hanging="1376"/>
        <w:spacing w:after="0"/>
        <w:tabs>
          <w:tab w:leader="none" w:pos="19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405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151,060</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(295)</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(78)</w:t>
      </w:r>
    </w:p>
    <w:p>
      <w:pPr>
        <w:spacing w:after="0" w:line="19"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6"/>
          <w:szCs w:val="16"/>
          <w:color w:val="auto"/>
        </w:rPr>
        <w:t>170</w:t>
      </w:r>
    </w:p>
    <w:p>
      <w:pPr>
        <w:spacing w:after="0" w:line="19" w:lineRule="exact"/>
        <w:rPr>
          <w:sz w:val="20"/>
          <w:szCs w:val="20"/>
          <w:color w:val="auto"/>
        </w:rPr>
      </w:pPr>
    </w:p>
    <w:p>
      <w:pPr>
        <w:ind w:left="2060" w:hanging="1516"/>
        <w:spacing w:after="0"/>
        <w:tabs>
          <w:tab w:leader="none" w:pos="20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p>
    <w:p>
      <w:pPr>
        <w:spacing w:after="0" w:line="19" w:lineRule="exact"/>
        <w:rPr>
          <w:sz w:val="20"/>
          <w:szCs w:val="20"/>
          <w:color w:val="auto"/>
        </w:rPr>
      </w:pPr>
    </w:p>
    <w:p>
      <w:pPr>
        <w:sectPr>
          <w:pgSz w:w="11900" w:h="16838" w:orient="portrait"/>
          <w:cols w:equalWidth="0" w:num="2">
            <w:col w:w="8100" w:space="720"/>
            <w:col w:w="2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8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5"/>
        </w:trPr>
        <w:tc>
          <w:tcPr>
            <w:tcW w:w="8240" w:type="dxa"/>
            <w:vAlign w:val="bottom"/>
            <w:shd w:val="clear" w:color="auto" w:fill="CCEEFF"/>
          </w:tcPr>
          <w:p>
            <w:pPr>
              <w:ind w:left="160"/>
              <w:spacing w:after="0" w:line="175" w:lineRule="exact"/>
              <w:rPr>
                <w:sz w:val="20"/>
                <w:szCs w:val="20"/>
                <w:color w:val="auto"/>
              </w:rPr>
            </w:pPr>
            <w:r>
              <w:rPr>
                <w:rFonts w:ascii="Arial" w:cs="Arial" w:eastAsia="Arial" w:hAnsi="Arial"/>
                <w:sz w:val="16"/>
                <w:szCs w:val="16"/>
                <w:color w:val="auto"/>
              </w:rPr>
              <w:t>Net cash provided by financing activities</w:t>
            </w:r>
          </w:p>
        </w:tc>
        <w:tc>
          <w:tcPr>
            <w:tcW w:w="4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99"/>
              <w:spacing w:after="0" w:line="175" w:lineRule="exact"/>
              <w:rPr>
                <w:sz w:val="20"/>
                <w:szCs w:val="20"/>
                <w:color w:val="auto"/>
              </w:rPr>
            </w:pPr>
            <w:r>
              <w:rPr>
                <w:rFonts w:ascii="Arial" w:cs="Arial" w:eastAsia="Arial" w:hAnsi="Arial"/>
                <w:sz w:val="16"/>
                <w:szCs w:val="16"/>
                <w:color w:val="auto"/>
              </w:rPr>
              <w:t>189</w:t>
            </w:r>
          </w:p>
        </w:tc>
        <w:tc>
          <w:tcPr>
            <w:tcW w:w="4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150,857</w:t>
            </w:r>
          </w:p>
        </w:tc>
        <w:tc>
          <w:tcPr>
            <w:tcW w:w="100" w:type="dxa"/>
            <w:vAlign w:val="bottom"/>
            <w:shd w:val="clear" w:color="auto" w:fill="CCEEFF"/>
          </w:tcPr>
          <w:p>
            <w:pPr>
              <w:spacing w:after="0"/>
              <w:rPr>
                <w:sz w:val="15"/>
                <w:szCs w:val="15"/>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(55,272)</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106,487</w:t>
            </w:r>
          </w:p>
        </w:tc>
        <w:tc>
          <w:tcPr>
            <w:tcW w:w="100" w:type="dxa"/>
            <w:vAlign w:val="bottom"/>
          </w:tcPr>
          <w:p>
            <w:pPr>
              <w:spacing w:after="0"/>
              <w:rPr>
                <w:sz w:val="17"/>
                <w:szCs w:val="17"/>
                <w:color w:val="auto"/>
              </w:rPr>
            </w:pPr>
          </w:p>
        </w:tc>
      </w:tr>
      <w:tr>
        <w:trPr>
          <w:trHeight w:val="205"/>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at beginning of period</w:t>
            </w: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135,860</w:t>
            </w:r>
          </w:p>
        </w:tc>
        <w:tc>
          <w:tcPr>
            <w:tcW w:w="4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29,373</w:t>
            </w:r>
          </w:p>
        </w:tc>
        <w:tc>
          <w:tcPr>
            <w:tcW w:w="100" w:type="dxa"/>
            <w:vAlign w:val="bottom"/>
            <w:shd w:val="clear" w:color="auto" w:fill="CCEEFF"/>
          </w:tcPr>
          <w:p>
            <w:pPr>
              <w:spacing w:after="0"/>
              <w:rPr>
                <w:sz w:val="17"/>
                <w:szCs w:val="17"/>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6"/>
                <w:szCs w:val="16"/>
                <w:color w:val="auto"/>
              </w:rPr>
              <w:t>Total cash, cash equivalents and restricted cash at end of period</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80,588</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135,860</w:t>
            </w:r>
          </w:p>
        </w:tc>
        <w:tc>
          <w:tcPr>
            <w:tcW w:w="100" w:type="dxa"/>
            <w:vAlign w:val="bottom"/>
          </w:tcPr>
          <w:p>
            <w:pPr>
              <w:spacing w:after="0"/>
              <w:rPr>
                <w:sz w:val="17"/>
                <w:szCs w:val="17"/>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135,860</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29,373</w:t>
            </w:r>
          </w:p>
        </w:tc>
        <w:tc>
          <w:tcPr>
            <w:tcW w:w="10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6"/>
                <w:szCs w:val="16"/>
                <w:color w:val="auto"/>
              </w:rPr>
              <w:t>Restricted cash included in long-term assets at beginning of period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at beginning of period</w:t>
            </w: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135,860</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29,373</w:t>
            </w:r>
          </w:p>
        </w:tc>
        <w:tc>
          <w:tcPr>
            <w:tcW w:w="100" w:type="dxa"/>
            <w:vAlign w:val="bottom"/>
            <w:shd w:val="clear" w:color="auto" w:fill="CCEEFF"/>
          </w:tcPr>
          <w:p>
            <w:pPr>
              <w:spacing w:after="0"/>
              <w:rPr>
                <w:sz w:val="17"/>
                <w:szCs w:val="17"/>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77,335</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135,860</w:t>
            </w:r>
          </w:p>
        </w:tc>
        <w:tc>
          <w:tcPr>
            <w:tcW w:w="100" w:type="dxa"/>
            <w:vAlign w:val="bottom"/>
          </w:tcPr>
          <w:p>
            <w:pPr>
              <w:spacing w:after="0"/>
              <w:rPr>
                <w:sz w:val="17"/>
                <w:szCs w:val="17"/>
                <w:color w:val="auto"/>
              </w:rPr>
            </w:pPr>
          </w:p>
        </w:tc>
      </w:tr>
      <w:tr>
        <w:trPr>
          <w:trHeight w:val="205"/>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included in long-term assets at end of period</w:t>
            </w: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3,253</w:t>
            </w:r>
          </w:p>
        </w:tc>
        <w:tc>
          <w:tcPr>
            <w:tcW w:w="4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6"/>
                <w:szCs w:val="16"/>
                <w:color w:val="auto"/>
              </w:rPr>
              <w:t>Total cash, cash equivalents and restricted cash at end of period</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80,588</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135,860</w:t>
            </w:r>
          </w:p>
        </w:tc>
        <w:tc>
          <w:tcPr>
            <w:tcW w:w="100" w:type="dxa"/>
            <w:vAlign w:val="bottom"/>
          </w:tcPr>
          <w:p>
            <w:pPr>
              <w:spacing w:after="0"/>
              <w:rPr>
                <w:sz w:val="17"/>
                <w:szCs w:val="17"/>
                <w:color w:val="auto"/>
              </w:rPr>
            </w:pPr>
          </w:p>
        </w:tc>
      </w:tr>
      <w:tr>
        <w:trPr>
          <w:trHeight w:val="78"/>
        </w:trPr>
        <w:tc>
          <w:tcPr>
            <w:tcW w:w="8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Interest paid</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77</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67"/>
        </w:trPr>
        <w:tc>
          <w:tcPr>
            <w:tcW w:w="82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Purchase of property and equipment included in accounts payable and accrued expenses</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 and operating lease liabilities recognized</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11,585</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Finance lease right-of use assets and finance lease liabilities recognized</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2,364</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w w:val="96"/>
              </w:rPr>
              <w:t>Proceeds received from early exercise of unvested stock options subject to repurchase and recorded as deposit liabilities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188</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ectPr>
          <w:pgSz w:w="11900" w:h="16838" w:orient="portrait"/>
          <w:cols w:equalWidth="0" w:num="1">
            <w:col w:w="11140"/>
          </w:cols>
          <w:pgMar w:left="320" w:top="459" w:right="439" w:bottom="1440" w:gutter="0" w:footer="0" w:header="0"/>
          <w:type w:val="continuous"/>
        </w:sectPr>
      </w:pP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140"/>
          </w:cols>
          <w:pgMar w:left="320" w:top="459" w:right="439" w:bottom="1440" w:gutter="0" w:footer="0" w:header="0"/>
          <w:type w:val="continuous"/>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Notes to consolidated financial statements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DESCRIPTION OF BUSINESS AND BASIS OF PRESENTATION</w:t>
      </w:r>
    </w:p>
    <w:p>
      <w:pPr>
        <w:spacing w:after="0" w:line="148"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b w:val="1"/>
          <w:bCs w:val="1"/>
          <w:color w:val="auto"/>
        </w:rPr>
        <w:t>Description of Business</w:t>
      </w:r>
      <w:r>
        <w:rPr>
          <w:rFonts w:ascii="Arial" w:cs="Arial" w:eastAsia="Arial" w:hAnsi="Arial"/>
          <w:sz w:val="17"/>
          <w:szCs w:val="17"/>
          <w:color w:val="auto"/>
        </w:rPr>
        <w:t>—Lexeo Therapeutics, Inc. (“Lexeo” or the “Company”), together with its consolidated subsidiary, Stelios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until such subsidiary was merged into the Company on December 15, 2022 and ceased to exist, is a clinical stage gene therapy biotechnology company with a focus on hereditary and acquired diseases of high unmet need. The Company’s investigational therapies have the potential to offer gene therapy-based treatments to address many diseases that have eluded today’s existing drug delivery platforms. Lexeo utilizes adeno-associated viruses (“AAV”) that have been engineered to transfer genes to patients. The Company’s therapeutic investigational treatments include gene therapies primarily in the early clinical and late pre-clinical stages of research and development.</w:t>
      </w:r>
    </w:p>
    <w:p>
      <w:pPr>
        <w:spacing w:after="0" w:line="11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Company is located in New York, NY and was first formed on February 17, 2017, as an LLC under the laws of the State of Delaware under the legal name Lexeo Therapeutics, LLC. The Company filed and executed a certificate of conversion to corporation on November 20, 2020, to convert the LLC to Lexeo Therapeutics, Inc, a Delaware corporation. All of the Company’s tangible assets are held in the United States (“U.S.”).</w:t>
      </w:r>
    </w:p>
    <w:p>
      <w:pPr>
        <w:spacing w:after="0" w:line="80"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Basis of Presentation and Principles of Consolidation</w:t>
      </w:r>
      <w:r>
        <w:rPr>
          <w:rFonts w:ascii="Arial" w:cs="Arial" w:eastAsia="Arial" w:hAnsi="Arial"/>
          <w:sz w:val="18"/>
          <w:szCs w:val="18"/>
          <w:color w:val="auto"/>
        </w:rPr>
        <w:t>—The accompanying consolidated financial statements reflect the operations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wholly-owned subsidiary that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The accounts of the wholly owned subsidiary are included in these consolidated financial statements. All intercompany balances and transactions have been eliminated in consolidation.</w:t>
      </w:r>
    </w:p>
    <w:p>
      <w:pPr>
        <w:spacing w:after="0" w:line="12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 10.594230-for-1 reverse share split of the Company’s common stock and options to purchase common stock under its 2021 Equity Incentive Plan (as defined in Note 10) was effected on October 13, 2023 as approved by the Company’s Board of Directors and a majority of its shareholders (the “Stock Split”). The Stock Split reduced the number of shares of the Company’s authorized, issued and outstanding common stock, as well as the numbers of shares reserved and available for future issuance and underlying outstanding options to purchase common stock under its 2021 Equity Incentive Plan, on a 10.594230-for-1 basis, and resulted in an adjustment to the respective conversion ratios for the Company’s Series A convertible preferred stock and Series B convertible preferred stock to account for the Stock Split on any conversion of such series of convertible preferred stock into common stock. As such, all references to Series A convertible preferred stock and Series B convertible preferred stock conversion ratios, conversion share and per share amounts, and post-conversion share and per share amounts, as well as common stock option, option per common share, common share and common per share amounts, in these consolidated financial statements and accompanying notes have been retroactively restated to reflect the Stock Split and the Stock Split’s effect on the respective Series A convertible preferred stock and Series B convertible preferred stock conversion ratios for each series of convertible preferred stock. The Stock Split did not affect the par values per share.</w:t>
      </w:r>
    </w:p>
    <w:p>
      <w:pPr>
        <w:spacing w:after="0" w:line="100"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Need for Additional Capital</w:t>
      </w:r>
      <w:r>
        <w:rPr>
          <w:rFonts w:ascii="Arial" w:cs="Arial" w:eastAsia="Arial" w:hAnsi="Arial"/>
          <w:sz w:val="18"/>
          <w:szCs w:val="18"/>
          <w:color w:val="auto"/>
        </w:rPr>
        <w:t>—Since inception, the Company has incurred net losses and negative cash flows from operations, including net losses of</w:t>
      </w:r>
      <w:r>
        <w:rPr>
          <w:rFonts w:ascii="Arial" w:cs="Arial" w:eastAsia="Arial" w:hAnsi="Arial"/>
          <w:sz w:val="18"/>
          <w:szCs w:val="18"/>
          <w:b w:val="1"/>
          <w:bCs w:val="1"/>
          <w:color w:val="auto"/>
        </w:rPr>
        <w:t xml:space="preserve"> </w:t>
      </w:r>
      <w:r>
        <w:rPr>
          <w:rFonts w:ascii="Arial" w:cs="Arial" w:eastAsia="Arial" w:hAnsi="Arial"/>
          <w:sz w:val="18"/>
          <w:szCs w:val="18"/>
          <w:color w:val="auto"/>
        </w:rPr>
        <w:t>$59.3 million and $50.6 million during the years ended December 31, 2022 and 2021, respectively. As of December 31, 2022 and December 31, 2021, the Company had an accumulated deficit of $115.4 million and $56.2 million, respectively, and expects to incur substantial operating losses and negative cash flows from operations for the foreseeable future. The Company had $77.3 million and $135.9 million of cash and cash equivalents at December 31, 2022 and December 31, 2021, respectively. During the year ended December 31, 2021 the Company raised $51.0 million and $100.1 million of gross proceeds in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connection with the issuance of its Series A convertible preferred stock and Series B convertible preferred stock (see Note 6), respectively, and which management believes is sufficient to fund its operating expenses and capital expenditure requirements for at least 12 months from the issuance date of these financial statements. The future viability of the Company beyond that point is dependent on its ability to raise additional capital to finance operations. The Company is seeking to complete an initial public offering (“IPO”) of its common stock. In the event the Company does not complete an IPO,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15"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b w:val="1"/>
          <w:bCs w:val="1"/>
          <w:color w:val="auto"/>
        </w:rPr>
        <w:t>Risks and Uncertainties</w:t>
      </w:r>
      <w:r>
        <w:rPr>
          <w:rFonts w:ascii="Arial" w:cs="Arial" w:eastAsia="Arial" w:hAnsi="Arial"/>
          <w:sz w:val="17"/>
          <w:szCs w:val="17"/>
          <w:color w:val="auto"/>
        </w:rPr>
        <w:t>—The Company is subject to risks and uncertainties common to early-stage companies in the biopharmaceutical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ability to secure additional capital to fund operations, and commercial success of its product candidates. Any of the Company’s current product candidates and future product candidates that it may develop will require extensive nonclinical and clinical testing and regulatory approval prior to commercialization. These efforts require significant amounts of additional capital, adequate personnel, infrastructure and extensive compliance-reporting capabilities. Even if the Company’s product development efforts are successful, it is uncertain when, if ever, the Company will realize significant revenue from product sales.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48"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the financial statements in accordance with U.S. GAAP requires management to make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that affect the reported amounts of assets and liabilities and disclosure of contingent assets and liabilities at the date of the financial statements, and the reported amounts of income and expense during the reporting period. The most significant estimates relate to the accruals of research and development costs, accruals of research contract costs, assumptions used to estimate the fair value of its stock option awards, and determination of fair value of the Company’s common stock.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80" w:lineRule="exact"/>
        <w:rPr>
          <w:sz w:val="20"/>
          <w:szCs w:val="20"/>
          <w:color w:val="auto"/>
        </w:rPr>
      </w:pPr>
    </w:p>
    <w:p>
      <w:pPr>
        <w:ind w:left="120" w:right="120"/>
        <w:spacing w:after="0" w:line="292" w:lineRule="auto"/>
        <w:rPr>
          <w:sz w:val="20"/>
          <w:szCs w:val="20"/>
          <w:color w:val="auto"/>
        </w:rPr>
      </w:pPr>
      <w:r>
        <w:rPr>
          <w:rFonts w:ascii="Arial" w:cs="Arial" w:eastAsia="Arial" w:hAnsi="Arial"/>
          <w:sz w:val="16"/>
          <w:szCs w:val="16"/>
          <w:b w:val="1"/>
          <w:bCs w:val="1"/>
          <w:color w:val="auto"/>
        </w:rPr>
        <w:t>Cash and Cash Equivalents and Restricted Cash</w:t>
      </w:r>
      <w:r>
        <w:rPr>
          <w:rFonts w:ascii="Arial" w:cs="Arial" w:eastAsia="Arial" w:hAnsi="Arial"/>
          <w:sz w:val="16"/>
          <w:szCs w:val="16"/>
          <w:color w:val="auto"/>
        </w:rPr>
        <w:t>—The Company considers all highly liquid investments with a remaining maturity when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of three months or less to be cash equivalents. Cash equivalents are reported at carrying values, which approximated their fair values and are based on quoted prices in active markets for identical securities. At December 31, 2022 and December 31, 2021, the Company’s cash equivalents are in money market funds. As of December 31, 2022, and 2021, cash consists of cash on deposit with U.S. banks denominated in U.S. dollars, and restricted cash consists of cash on deposit with U.S. banks denominated in U.S. dollars for which its use is restricted and is classified as non-current in the Company’s consolidated balance sheet according to the timing of maturity, and is associated with collateral for letters of credit issued in connection with its operating lease right-of-use and finance lease right-of-use assets and corresponding lease liabilities. Cash is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stated at its historical carrying amount, which approximates fair value due to its short-term nature. Restricted cash is stated at its historical carrying amount, which approximates fair value. The Company regularly maintains cash and cash equivalents and restricted cash balances with financial institutions that exceed Federal Deposit Insurance Corporation (“FDIC”) insurance limits.</w:t>
      </w:r>
    </w:p>
    <w:p>
      <w:pPr>
        <w:spacing w:after="0" w:line="11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color w:val="auto"/>
        </w:rPr>
        <w:t>Net Loss per Share—</w:t>
      </w:r>
      <w:r>
        <w:rPr>
          <w:rFonts w:ascii="Arial" w:cs="Arial" w:eastAsia="Arial" w:hAnsi="Arial"/>
          <w:sz w:val="17"/>
          <w:szCs w:val="17"/>
          <w:color w:val="auto"/>
        </w:rPr>
        <w:t>The Company follows the two-class method when computing net income (loss) per common share as the Company has issued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meet the definition of participating securities. The two-class method determines net income (loss) per common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receive dividends as if all income for the period had been distributed. The Company considers its convertible preferred stock to be participating securities as, in the event a dividend is paid on common stock, the holders of these securities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1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Basic net income (loss) per common share is computed by dividing the net income (loss) per common share by the weighted-average number of common shares outstanding for the period. Diluted net income (loss) per common share is computed by adjusting net income (loss) to reallocate undistributed earnings based on the potential impact of dilutive securities. Diluted net loss per common share is computed by dividing the diluted net loss by the weighted-average number of common shares outstanding for the period, including potential dilutive common shares. For purpose of this calculation, convertible preferred stock are considered potential dilutive common shares.</w:t>
      </w:r>
    </w:p>
    <w:p>
      <w:pPr>
        <w:spacing w:after="0" w:line="9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periods in which the Company reported a net loss, diluted net loss per common share was the same as basic net loss per common share, since dilutive common shares were not assumed to have been issued if their effect was anti-dilutive. During the years ended December 31, 2022 and 2021, the Company excluded 8,070,027 potential common shares related to the conversion of Series A convertible preferred stock and 5,489,573 potential common shares related to the conversion of Series B convertible preferred stock, and during the years ended December 31, 2022 and 2021 excluded 1,916,194 and 1,880,473 potential common shares, respectively, related to the exercise of stock options outstanding, from the computation of diluted net loss per common share because including them would have had an anti-dilutive effect and the Company reported net losses for those years.</w:t>
      </w:r>
    </w:p>
    <w:p>
      <w:pPr>
        <w:spacing w:after="0" w:line="9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—The Company capitalizes certain legal, accounting and other third-party fees that are directly associated with in-process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2022. As of December 31, 2021, the Company had deferred offering costs totaling $0.2 million in other current assets in its consolidated balance sheet, which were charged to general and administrative expenses during the year ended December 31, 2022.</w:t>
      </w:r>
    </w:p>
    <w:p>
      <w:pPr>
        <w:spacing w:after="0" w:line="124" w:lineRule="exact"/>
        <w:rPr>
          <w:sz w:val="20"/>
          <w:szCs w:val="20"/>
          <w:color w:val="auto"/>
        </w:rPr>
      </w:pPr>
    </w:p>
    <w:p>
      <w:pPr>
        <w:ind w:left="120" w:right="380"/>
        <w:spacing w:after="0" w:line="266" w:lineRule="auto"/>
        <w:rPr>
          <w:sz w:val="20"/>
          <w:szCs w:val="20"/>
          <w:color w:val="auto"/>
        </w:rPr>
      </w:pPr>
      <w:r>
        <w:rPr>
          <w:rFonts w:ascii="Arial" w:cs="Arial" w:eastAsia="Arial" w:hAnsi="Arial"/>
          <w:sz w:val="18"/>
          <w:szCs w:val="18"/>
          <w:b w:val="1"/>
          <w:bCs w:val="1"/>
          <w:color w:val="auto"/>
        </w:rPr>
        <w:t>Accounts Receivable and Allowance for Doubtful Accounts</w:t>
      </w:r>
      <w:r>
        <w:rPr>
          <w:rFonts w:ascii="Arial" w:cs="Arial" w:eastAsia="Arial" w:hAnsi="Arial"/>
          <w:sz w:val="18"/>
          <w:szCs w:val="18"/>
          <w:color w:val="auto"/>
        </w:rPr>
        <w:t>—Accounts receivable are recorded net of allowances for doubtful accounts.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any accounts receivable but in certain cases had a grant receivable balance. For the Company to be in a receivable position related to grants, the cumulative total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spend on grants would have to exceed the cumulative cash receipts in the event there remains additional award money to be collected.</w:t>
      </w:r>
    </w:p>
    <w:p>
      <w:pPr>
        <w:spacing w:after="0" w:line="154" w:lineRule="exact"/>
        <w:rPr>
          <w:sz w:val="20"/>
          <w:szCs w:val="20"/>
          <w:color w:val="auto"/>
        </w:rPr>
      </w:pPr>
    </w:p>
    <w:p>
      <w:pPr>
        <w:ind w:left="120" w:right="100"/>
        <w:spacing w:after="0" w:line="277" w:lineRule="auto"/>
        <w:rPr>
          <w:sz w:val="20"/>
          <w:szCs w:val="20"/>
          <w:color w:val="auto"/>
        </w:rPr>
      </w:pPr>
      <w:r>
        <w:rPr>
          <w:rFonts w:ascii="Arial" w:cs="Arial" w:eastAsia="Arial" w:hAnsi="Arial"/>
          <w:sz w:val="17"/>
          <w:szCs w:val="17"/>
          <w:b w:val="1"/>
          <w:bCs w:val="1"/>
          <w:color w:val="auto"/>
        </w:rPr>
        <w:t>Classification of Convertible Preferred Stock</w:t>
      </w:r>
      <w:r>
        <w:rPr>
          <w:rFonts w:ascii="Arial" w:cs="Arial" w:eastAsia="Arial" w:hAnsi="Arial"/>
          <w:sz w:val="17"/>
          <w:szCs w:val="17"/>
          <w:color w:val="auto"/>
        </w:rPr>
        <w:t>—The holders of the series A and series B convertible preferred stock have certain liquidation rights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of a deemed liquidation that, in certain situations, are not solely within the control of the Company and would call for the redemption of the then outstanding series A convertible preferred stock. Therefore, the series A convertible preferred stock are classified outside of the stockholders’ deficit on the Company’s consolidated balance sheets. The carrying value of the convertible preferred stock is not subsequently remeasured to the redemption value until the contingent redemption events are considered to be probable of occurring.</w:t>
      </w:r>
    </w:p>
    <w:p>
      <w:pPr>
        <w:spacing w:after="0" w:line="100"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—On January 1, 2020,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(“Topic 606”), on a</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retrospective basis. Topic 606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Additionally, the standard requires disclosures regarding the nature, amount, timing and uncertainty of revenue and cash flows arising from contracts with customers. To determine revenue recognition for arrangements that the Company determines are within the scope of Topic 606, the Company performs the following five steps: (i) identify the contract(s) with a customer;</w:t>
      </w:r>
    </w:p>
    <w:p>
      <w:pPr>
        <w:spacing w:after="0" w:line="3" w:lineRule="exact"/>
        <w:rPr>
          <w:sz w:val="20"/>
          <w:szCs w:val="20"/>
          <w:color w:val="auto"/>
        </w:rPr>
      </w:pPr>
    </w:p>
    <w:p>
      <w:pPr>
        <w:ind w:left="120" w:hanging="4"/>
        <w:spacing w:after="0" w:line="269" w:lineRule="auto"/>
        <w:tabs>
          <w:tab w:leader="none" w:pos="3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As of December 31, 2022, and December 31, 2021, there is no revenue from contracts with customers.</w:t>
      </w:r>
    </w:p>
    <w:p>
      <w:pPr>
        <w:spacing w:after="0" w:line="95"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Grant Revenue</w:t>
      </w:r>
      <w:r>
        <w:rPr>
          <w:rFonts w:ascii="Arial" w:cs="Arial" w:eastAsia="Arial" w:hAnsi="Arial"/>
          <w:sz w:val="18"/>
          <w:szCs w:val="18"/>
          <w:color w:val="auto"/>
        </w:rPr>
        <w:t>—Grants received are recognized as grant revenue in the statements of operations as and when they are earned for the specific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projects for which these grants are designated. Grant payments received in excess of grant revenue earned are recognized as deferred grant revenue on the balance sheet and grant revenue earned in excess of grant payments received is recognized as grant receivable on the balance sheets.</w:t>
      </w:r>
    </w:p>
    <w:p>
      <w:pPr>
        <w:spacing w:after="0" w:line="112" w:lineRule="exact"/>
        <w:rPr>
          <w:sz w:val="20"/>
          <w:szCs w:val="20"/>
          <w:color w:val="auto"/>
        </w:rPr>
      </w:pPr>
    </w:p>
    <w:p>
      <w:pPr>
        <w:ind w:left="120" w:right="20"/>
        <w:spacing w:after="0" w:line="303" w:lineRule="auto"/>
        <w:rPr>
          <w:sz w:val="20"/>
          <w:szCs w:val="20"/>
          <w:color w:val="auto"/>
        </w:rPr>
      </w:pPr>
      <w:r>
        <w:rPr>
          <w:rFonts w:ascii="Arial" w:cs="Arial" w:eastAsia="Arial" w:hAnsi="Arial"/>
          <w:sz w:val="16"/>
          <w:szCs w:val="16"/>
          <w:b w:val="1"/>
          <w:bCs w:val="1"/>
          <w:color w:val="auto"/>
        </w:rPr>
        <w:t>Research and Development</w:t>
      </w:r>
      <w:r>
        <w:rPr>
          <w:rFonts w:ascii="Arial" w:cs="Arial" w:eastAsia="Arial" w:hAnsi="Arial"/>
          <w:sz w:val="16"/>
          <w:szCs w:val="16"/>
          <w:color w:val="auto"/>
        </w:rPr>
        <w:t>—Research and development costs are expensed as incurred. Research and development expenses consist of costs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to discover, research, and develop drug candidates, including personnel expenses, allocated facility-related and depreciation expenses and third-party license fees in connection with nonclinical and preclinical studies. Costs incurred in obtaining technology licenses are charged immediately to research and development expense if the technology licensed has not reached technological feasibility and has no alternative future use.</w:t>
      </w:r>
    </w:p>
    <w:p>
      <w:pPr>
        <w:spacing w:after="0" w:line="83" w:lineRule="exact"/>
        <w:rPr>
          <w:sz w:val="20"/>
          <w:szCs w:val="20"/>
          <w:color w:val="auto"/>
        </w:rPr>
      </w:pPr>
    </w:p>
    <w:p>
      <w:pPr>
        <w:ind w:left="120" w:right="140"/>
        <w:spacing w:after="0" w:line="281"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consist primarily of the cost of employees to engage in corporate functions, such</w:t>
      </w:r>
      <w:r>
        <w:rPr>
          <w:rFonts w:ascii="Arial" w:cs="Arial" w:eastAsia="Arial" w:hAnsi="Arial"/>
          <w:sz w:val="17"/>
          <w:szCs w:val="17"/>
          <w:b w:val="1"/>
          <w:bCs w:val="1"/>
          <w:color w:val="auto"/>
        </w:rPr>
        <w:t xml:space="preserve"> </w:t>
      </w:r>
      <w:r>
        <w:rPr>
          <w:rFonts w:ascii="Arial" w:cs="Arial" w:eastAsia="Arial" w:hAnsi="Arial"/>
          <w:sz w:val="17"/>
          <w:szCs w:val="17"/>
          <w:color w:val="auto"/>
        </w:rPr>
        <w:t>as finance and accounting, information technology, human resources, legal and executive management. General and administrative expense also includes rent occupancy costs, office expenses, recruiting expenses, entertainment allocations, depreciation and amortization, other general overhead costs, insurance premiums, professional service fees, and cost related to regulatory and litigation matters.</w:t>
      </w:r>
    </w:p>
    <w:p>
      <w:pPr>
        <w:spacing w:after="0" w:line="84" w:lineRule="exact"/>
        <w:rPr>
          <w:sz w:val="20"/>
          <w:szCs w:val="20"/>
          <w:color w:val="auto"/>
        </w:rPr>
      </w:pPr>
    </w:p>
    <w:p>
      <w:pPr>
        <w:ind w:left="120" w:right="680"/>
        <w:spacing w:after="0" w:line="26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—The Company evaluates acquisitions under the accounting framework in Accounting Standards Codification (“ASC”) Topic</w:t>
      </w:r>
      <w:r>
        <w:rPr>
          <w:rFonts w:ascii="Arial" w:cs="Arial" w:eastAsia="Arial" w:hAnsi="Arial"/>
          <w:sz w:val="18"/>
          <w:szCs w:val="18"/>
          <w:b w:val="1"/>
          <w:bCs w:val="1"/>
          <w:color w:val="auto"/>
        </w:rPr>
        <w:t xml:space="preserve"> </w:t>
      </w:r>
      <w:r>
        <w:rPr>
          <w:rFonts w:ascii="Arial" w:cs="Arial" w:eastAsia="Arial" w:hAnsi="Arial"/>
          <w:sz w:val="18"/>
          <w:szCs w:val="18"/>
          <w:color w:val="auto"/>
        </w:rPr>
        <w:t>805, Business Combinations, to determine whether the transaction is a business combination or an asset acquisition. In determining whether an acquisition should be accounted for as a business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combination or an asset acquisition, the Company first performs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the Company then further evaluates whether the acquired set includes, at a minimum, an input and a substantive process that together significantly contribute to the ability to create outputs. If so, the Company concludes that the acquired set is a business.</w:t>
      </w:r>
    </w:p>
    <w:p>
      <w:pPr>
        <w:spacing w:after="0" w:line="11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color w:val="auto"/>
        </w:rPr>
        <w:t>Stock Based Compensation Expense—</w:t>
      </w:r>
      <w:r>
        <w:rPr>
          <w:rFonts w:ascii="Arial" w:cs="Arial" w:eastAsia="Arial" w:hAnsi="Arial"/>
          <w:sz w:val="17"/>
          <w:szCs w:val="17"/>
          <w:color w:val="auto"/>
        </w:rPr>
        <w:t>The Company accounts for stock-based payment awards granted to employees and non-employees as stock-based compensation expense at fair value. The Company’s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statement of operations based on the function to which the related services are provided. As the Company is permitted to repurchase shares legally issued for unvested stock options exercised at their exercise price, (i) cash received for unvested stock options exercised is recorded as a deposit liability as a reclassification from additional paid-in capital in the Company’s consolidated balance sheet, which is relieved to additional paid-in capital as such awards vest, (ii) stock based compensation expense is recognized over the requisite service period for each such award, and (iii) the amount and number of shares of common stock outstanding in the Company’s consolidated balance sheet and consolidated statement of convertible preferred stock and stockholders’ deficit are reduced until such awards vest. The Company recognizes stock-based compensation expense for the portion of awards that have vested. Forfeitures are recorded as they occur.</w:t>
      </w:r>
    </w:p>
    <w:p>
      <w:pPr>
        <w:spacing w:after="0" w:line="112"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option-pricing model. The Company has historically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as the Company has never paid cash dividends on its common stock and does not expect to pay any cash dividends in the foreseeable future.</w:t>
      </w:r>
    </w:p>
    <w:p>
      <w:pPr>
        <w:spacing w:after="0" w:line="85"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The Company recognizes stock-based compensation expense on a straight-line basis over the requisite service or vesting period. The Company recognizes the cumulative effect of changes in the probability outcomes in the period in which the changes occur.</w:t>
      </w:r>
    </w:p>
    <w:p>
      <w:pPr>
        <w:spacing w:after="0" w:line="75"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—Prior to November 20, 2020, the Company was an LLC entity and elected to be treated under the Partnership provisions of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Code. Accordingly, the LLC entity was not viewed as a tax-paying entity in any jurisdiction and all income and deductions of the LLC entity flowed through to the individual members and therefore no income taxes were recorded by the Company. On November 20, 2020, the Company elected to convert to a C Corporation.</w:t>
      </w:r>
    </w:p>
    <w:p>
      <w:pPr>
        <w:spacing w:after="0" w:line="11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pursuant to ASC 740, Income Taxes. Under this method, the Company recognizes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based on all available positive and negative evidence. Under the Tax Cuts and Jobs Act of 2017, the Company is required to capitalize, and subsequently amortize, research and development expenses over five years for research activities conducted in the U.S. and over fifteen years for research activities conducted outside of the U.S commencing in 2022. The capitalization of research and development expenses during the year ended December 31, 2022 resulted in a decrease to our current year operating loss generation (see Note 11). As of December 31, 2022, the Company continues to maintain a full valuation allowance against its deferred tax assets.</w:t>
      </w:r>
    </w:p>
    <w:p>
      <w:pPr>
        <w:spacing w:after="0" w:line="11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recognizes a tax benefit only if it is more likely than not the tax position will be sustained on examination by the local taxing authorities, based on the technical merits of the position. The tax benefits recognized in the financial statements from such positions are then measured based on the largest benefit greater than 50% likelihood of being realized upon settlement with the related tax authority. The changes in recognition or measurement are reflected in the period in which the change in judgment occurs. As of December 31, 2022, the Company has not identified any uncertain tax positions.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records interest and penalties related to unrecognized tax benefits in the provision for income taxes.</w:t>
      </w:r>
    </w:p>
    <w:p>
      <w:pPr>
        <w:spacing w:after="0" w:line="140"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Fair Value Measurements</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The three levels of inputs that may be used to measure fair value are described below:</w:t>
      </w:r>
    </w:p>
    <w:p>
      <w:pPr>
        <w:spacing w:after="0" w:line="5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quoted prices (unadjusted)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03"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unobservable inputs for the asset or liability.</w:t>
      </w:r>
    </w:p>
    <w:p>
      <w:pPr>
        <w:spacing w:after="0" w:line="154"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Concentrations of Credit Risk</w:t>
      </w:r>
      <w:r>
        <w:rPr>
          <w:rFonts w:ascii="Arial" w:cs="Arial" w:eastAsia="Arial" w:hAnsi="Arial"/>
          <w:sz w:val="18"/>
          <w:szCs w:val="18"/>
          <w:color w:val="auto"/>
        </w:rPr>
        <w:t>—Financial instruments that potentially subject the Company to concentrations of credit risk consist primarily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cash equivalents and restricted cash. The Company’s cash balances exceed those that are federally insured. The majority of the Company’s cash and cash equivalents and restricted cash is held with a large financial institution that management believes to be of high credit quality. To date, the Company has not recognized any losses caused by uninsured balances.</w:t>
      </w:r>
    </w:p>
    <w:p>
      <w:pPr>
        <w:spacing w:after="0" w:line="112" w:lineRule="exact"/>
        <w:rPr>
          <w:sz w:val="20"/>
          <w:szCs w:val="20"/>
          <w:color w:val="auto"/>
        </w:rPr>
      </w:pPr>
    </w:p>
    <w:p>
      <w:pPr>
        <w:jc w:val="both"/>
        <w:ind w:left="120" w:right="140"/>
        <w:spacing w:after="0" w:line="303" w:lineRule="auto"/>
        <w:rPr>
          <w:sz w:val="20"/>
          <w:szCs w:val="20"/>
          <w:color w:val="auto"/>
        </w:rPr>
      </w:pPr>
      <w:r>
        <w:rPr>
          <w:rFonts w:ascii="Arial" w:cs="Arial" w:eastAsia="Arial" w:hAnsi="Arial"/>
          <w:sz w:val="16"/>
          <w:szCs w:val="16"/>
          <w:b w:val="1"/>
          <w:bCs w:val="1"/>
          <w:color w:val="auto"/>
        </w:rPr>
        <w:t>Segment Information</w:t>
      </w:r>
      <w:r>
        <w:rPr>
          <w:rFonts w:ascii="Arial" w:cs="Arial" w:eastAsia="Arial" w:hAnsi="Arial"/>
          <w:sz w:val="16"/>
          <w:szCs w:val="16"/>
          <w:color w:val="auto"/>
        </w:rPr>
        <w:t>—The Company manages its operations as a single segment for the purposes of assessing performance and allocating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focused on preclinical and clinical stage gene therapies, and specifically on hereditary and acquired diseases of high unmet need. The Company’s chief operating decision maker reviews the Company’s financial information on an aggregated basis for purposes of assessing performance and allocating resources. All assets are in the United States. The Company has not earned any product revenue through December 31, 2022.</w:t>
      </w:r>
    </w:p>
    <w:p>
      <w:pPr>
        <w:spacing w:after="0" w:line="70"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and amortization. Depreciation and amortization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using the straight-line method over the estimated useful life of each asset. Such costs are periodically reviewed for recoverability when impairment indicators are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present. Such indicators include, among other factors, unused capacity, market value declines, and technology obsolescence. Recorded values of asset groups of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Costs for capital assets not yet placed into service are capitalized as construction-in-progress and depreciated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 improve or extend the life of the respective assets are charged to expense in the period incurred. See Note 5 for information regarding the Company’s capitalized operating and finance lease right-of-use assets.</w:t>
      </w:r>
    </w:p>
    <w:p>
      <w:pPr>
        <w:spacing w:after="0" w:line="12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is the summary of property and equipment and related accumulated depreciation as of December 31, 2022, and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34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5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Useful life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2021</w:t>
            </w: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30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245</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60" w:type="dxa"/>
            <w:vAlign w:val="bottom"/>
          </w:tcPr>
          <w:p>
            <w:pPr>
              <w:jc w:val="right"/>
              <w:ind w:right="612"/>
              <w:spacing w:after="0"/>
              <w:rPr>
                <w:sz w:val="20"/>
                <w:szCs w:val="20"/>
                <w:color w:val="auto"/>
              </w:rPr>
            </w:pPr>
            <w:r>
              <w:rPr>
                <w:rFonts w:ascii="Arial" w:cs="Arial" w:eastAsia="Arial" w:hAnsi="Arial"/>
                <w:sz w:val="18"/>
                <w:szCs w:val="18"/>
                <w:color w:val="auto"/>
              </w:rPr>
              <w:t>5 years</w:t>
            </w:r>
          </w:p>
        </w:tc>
        <w:tc>
          <w:tcPr>
            <w:tcW w:w="320" w:type="dxa"/>
            <w:vAlign w:val="bottom"/>
          </w:tcPr>
          <w:p>
            <w:pPr>
              <w:spacing w:after="0"/>
              <w:rPr>
                <w:sz w:val="18"/>
                <w:szCs w:val="18"/>
                <w:color w:val="auto"/>
              </w:rPr>
            </w:pPr>
          </w:p>
        </w:tc>
        <w:tc>
          <w:tcPr>
            <w:tcW w:w="1040" w:type="dxa"/>
            <w:vAlign w:val="bottom"/>
          </w:tcPr>
          <w:p>
            <w:pPr>
              <w:jc w:val="right"/>
              <w:ind w:right="331"/>
              <w:spacing w:after="0"/>
              <w:rPr>
                <w:sz w:val="20"/>
                <w:szCs w:val="20"/>
                <w:color w:val="auto"/>
              </w:rPr>
            </w:pPr>
            <w:r>
              <w:rPr>
                <w:rFonts w:ascii="Arial" w:cs="Arial" w:eastAsia="Arial" w:hAnsi="Arial"/>
                <w:sz w:val="18"/>
                <w:szCs w:val="18"/>
                <w:color w:val="auto"/>
              </w:rPr>
              <w:t>375</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0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279</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60" w:type="dxa"/>
            <w:vAlign w:val="bottom"/>
          </w:tcPr>
          <w:p>
            <w:pPr>
              <w:jc w:val="right"/>
              <w:ind w:right="612"/>
              <w:spacing w:after="0"/>
              <w:rPr>
                <w:sz w:val="20"/>
                <w:szCs w:val="20"/>
                <w:color w:val="auto"/>
              </w:rPr>
            </w:pPr>
            <w:r>
              <w:rPr>
                <w:rFonts w:ascii="Arial" w:cs="Arial" w:eastAsia="Arial" w:hAnsi="Arial"/>
                <w:sz w:val="18"/>
                <w:szCs w:val="18"/>
                <w:color w:val="auto"/>
              </w:rPr>
              <w:t>7 years</w:t>
            </w:r>
          </w:p>
        </w:tc>
        <w:tc>
          <w:tcPr>
            <w:tcW w:w="320" w:type="dxa"/>
            <w:vAlign w:val="bottom"/>
          </w:tcPr>
          <w:p>
            <w:pPr>
              <w:spacing w:after="0"/>
              <w:rPr>
                <w:sz w:val="18"/>
                <w:szCs w:val="18"/>
                <w:color w:val="auto"/>
              </w:rPr>
            </w:pPr>
          </w:p>
        </w:tc>
        <w:tc>
          <w:tcPr>
            <w:tcW w:w="1040" w:type="dxa"/>
            <w:vAlign w:val="bottom"/>
          </w:tcPr>
          <w:p>
            <w:pPr>
              <w:jc w:val="right"/>
              <w:ind w:right="331"/>
              <w:spacing w:after="0"/>
              <w:rPr>
                <w:sz w:val="20"/>
                <w:szCs w:val="20"/>
                <w:color w:val="auto"/>
              </w:rPr>
            </w:pPr>
            <w:r>
              <w:rPr>
                <w:rFonts w:ascii="Arial" w:cs="Arial" w:eastAsia="Arial" w:hAnsi="Arial"/>
                <w:sz w:val="18"/>
                <w:szCs w:val="18"/>
                <w:color w:val="auto"/>
              </w:rPr>
              <w:t>232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1,131</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8"/>
                <w:szCs w:val="18"/>
                <w:color w:val="auto"/>
              </w:rPr>
              <w:t>(133)</w:t>
            </w: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998</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26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26"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—In accordance with ASC 842, Leases, which the Company adopted in 2022, the Company determines if an arrangement is or contains a lease at</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in the balance sheet, but payments are recognized as expense on a straight-line basis over the lease term. The Company has elected not to recognize leases with terms of 12 months or less.</w:t>
      </w:r>
    </w:p>
    <w:p>
      <w:pPr>
        <w:spacing w:after="0" w:line="110"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w:t>
      </w:r>
    </w:p>
    <w:p>
      <w:pPr>
        <w:ind w:left="120" w:right="180" w:hanging="4"/>
        <w:spacing w:after="0" w:line="277" w:lineRule="auto"/>
        <w:tabs>
          <w:tab w:leader="none" w:pos="43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10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Operating lease right-of-use assets and lease liabilities are recognized at the lease commencement date based on the present value of the lease payments over the lease term using the discount rate implicit in the lease. If the rate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implicit is not readily determinable, the Company utilizes an estimate of its incremental borrowing rate based upon the available information at the operating lease commencement date. Operating lease right-of-use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right-of-use assets and lease liabilities are recognized upon receipt of the assets based on their fair values, and are amortized to depreciation expense using the straight-line method over the estimated useful lives of the related assets. Finance lease liability payments are bifurcated into (i) a portion that is recorded as interest expense and (ii) a portion that reduces the finance liability associated with the lease, according to the interest rates implicit in the leases.</w:t>
      </w:r>
    </w:p>
    <w:p>
      <w:pPr>
        <w:spacing w:after="0" w:line="9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1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color w:val="auto"/>
        </w:rPr>
        <w:t>Recent Accounting Pronouncements Not Yet Adopted—</w:t>
      </w:r>
      <w:r>
        <w:rPr>
          <w:rFonts w:ascii="Arial" w:cs="Arial" w:eastAsia="Arial" w:hAnsi="Arial"/>
          <w:sz w:val="17"/>
          <w:szCs w:val="17"/>
          <w:color w:val="auto"/>
        </w:rPr>
        <w:t>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 which requires the measurement and recognition of expected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for financial assets held at amortized cost. ASU 2016-13 replaces the existing incurred loss impairment model with an expected loss methodology, which will result in more timely recognition of credit losses. ASU 2016-13 and ASU 2022-02 are effective for annual private company reporting periods, and interim periods within those years, beginning after December 15, 2022. The Company is currently in the process of evaluating the impact of the adoptions of ASU 2016-13 and ASU 2022-02 but does not expect a material impact to its consolidated financial statements or disclosures as it does not currently maintain financial assets held at amortized cost.</w:t>
      </w:r>
    </w:p>
    <w:p>
      <w:pPr>
        <w:spacing w:after="0" w:line="9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2021-08”). ASU 2021-08 requires an acquirer in a business combination to recognize and measure deferred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from acquired contracts using the revenue recognition guidance in Accounting Standards Codification Topic 606, rather than the prior requirement to record deferred revenue at fair value. ASU 2021-08 allows for immediate adoption on a retrospective basis for all business combinations that have occurred since the beginning of the annual period that includes the interim period of adoption. ASU 2021-08 is effective for annual private company reporting periods, and interim periods within those years, beginning after December 15, 2023. The Company is currently in the process of evaluating the impact of the adoption of ASU 2021-08 but does not expect a material impact to its consolidated financial statements or disclosures as it does not currently have revenue or deferred revenue from acquired contracts.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ACQUISITIONS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Stelios Therapeutics, Inc.</w:t>
      </w:r>
    </w:p>
    <w:p>
      <w:pPr>
        <w:spacing w:after="0" w:line="15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Stelios Therapeutics, Inc. (“Stelios”) is an early-stage company developing novel adeno-associated virus (“AAV”) based gene therapies for rare cardiac conditions. On July 16, 2021, the Company acquired 100% of the outstanding stock of Stelios, for initial consideration of $7.0 million, with up to an aggregate of $20.5 million payable upon the achievement of certain development milestones and concurrently entered into consulting agreements with three consultants who assist with research on Stelios’ therapies. The Company accounted for the acquisition of Stelios as an asset acquisition pursuant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acquired in-process research and development (“IPR&amp;D”) assets from Stelios related to arrhythmogenic right ventricular cardiomyopathy and TNNI3-associated hypertrophic cardiomyopathy programs. The fair value of the IPR&amp;D acquired was $7.0 million and was charged to research and development expense as it had no alternative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future use at the time of the acquisition. In the third quarter of 2022, a development milestone was achieved resulting in a $2.0 million payment to the selling shareholders of Stelios.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FAIR VALUE MEASUREMENTS</w:t>
      </w:r>
    </w:p>
    <w:p>
      <w:pPr>
        <w:spacing w:after="0" w:line="1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3"/>
              </w:rPr>
              <w:t>As of December 31, 2022:</w:t>
            </w:r>
          </w:p>
        </w:tc>
      </w:tr>
      <w:tr>
        <w:trPr>
          <w:trHeight w:val="202"/>
        </w:trPr>
        <w:tc>
          <w:tcPr>
            <w:tcW w:w="50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7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9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Level 3</w:t>
            </w:r>
          </w:p>
        </w:tc>
        <w:tc>
          <w:tcPr>
            <w:tcW w:w="2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7"/>
                <w:szCs w:val="17"/>
                <w:color w:val="auto"/>
              </w:rPr>
            </w:pPr>
          </w:p>
        </w:tc>
      </w:tr>
      <w:tr>
        <w:trPr>
          <w:trHeight w:val="48"/>
        </w:trPr>
        <w:tc>
          <w:tcPr>
            <w:tcW w:w="50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equivalents (money market)</w:t>
            </w:r>
          </w:p>
        </w:tc>
        <w:tc>
          <w:tcPr>
            <w:tcW w:w="3320" w:type="dxa"/>
            <w:vAlign w:val="bottom"/>
            <w:gridSpan w:val="2"/>
          </w:tcPr>
          <w:p>
            <w:pPr>
              <w:jc w:val="right"/>
              <w:ind w:right="99"/>
              <w:spacing w:after="0"/>
              <w:rPr>
                <w:sz w:val="20"/>
                <w:szCs w:val="20"/>
                <w:color w:val="auto"/>
              </w:rPr>
            </w:pPr>
            <w:r>
              <w:rPr>
                <w:rFonts w:ascii="Arial" w:cs="Arial" w:eastAsia="Arial" w:hAnsi="Arial"/>
                <w:sz w:val="18"/>
                <w:szCs w:val="18"/>
                <w:color w:val="auto"/>
              </w:rPr>
              <w:t>$ 74,802</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 74,802</w:t>
            </w:r>
          </w:p>
        </w:tc>
      </w:tr>
      <w:tr>
        <w:trPr>
          <w:trHeight w:val="74"/>
        </w:trPr>
        <w:tc>
          <w:tcPr>
            <w:tcW w:w="50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50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$ 74,802</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74,802</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50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spacing w:after="0"/>
              <w:rPr>
                <w:sz w:val="12"/>
                <w:szCs w:val="12"/>
                <w:color w:val="auto"/>
              </w:rPr>
            </w:pPr>
          </w:p>
        </w:tc>
      </w:tr>
      <w:tr>
        <w:trPr>
          <w:trHeight w:val="237"/>
        </w:trPr>
        <w:tc>
          <w:tcPr>
            <w:tcW w:w="5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3"/>
              </w:rPr>
              <w:t>As of December 31, 2021:</w:t>
            </w:r>
          </w:p>
        </w:tc>
      </w:tr>
      <w:tr>
        <w:trPr>
          <w:trHeight w:val="202"/>
        </w:trPr>
        <w:tc>
          <w:tcPr>
            <w:tcW w:w="50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7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9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Level 3</w:t>
            </w:r>
          </w:p>
        </w:tc>
        <w:tc>
          <w:tcPr>
            <w:tcW w:w="2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7"/>
                <w:szCs w:val="17"/>
                <w:color w:val="auto"/>
              </w:rPr>
            </w:pPr>
          </w:p>
        </w:tc>
      </w:tr>
      <w:tr>
        <w:trPr>
          <w:trHeight w:val="48"/>
        </w:trPr>
        <w:tc>
          <w:tcPr>
            <w:tcW w:w="50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equivalents (money market)</w:t>
            </w:r>
          </w:p>
        </w:tc>
        <w:tc>
          <w:tcPr>
            <w:tcW w:w="3320" w:type="dxa"/>
            <w:vAlign w:val="bottom"/>
            <w:gridSpan w:val="2"/>
          </w:tcPr>
          <w:p>
            <w:pPr>
              <w:jc w:val="right"/>
              <w:ind w:right="99"/>
              <w:spacing w:after="0"/>
              <w:rPr>
                <w:sz w:val="20"/>
                <w:szCs w:val="20"/>
                <w:color w:val="auto"/>
              </w:rPr>
            </w:pPr>
            <w:r>
              <w:rPr>
                <w:rFonts w:ascii="Arial" w:cs="Arial" w:eastAsia="Arial" w:hAnsi="Arial"/>
                <w:sz w:val="18"/>
                <w:szCs w:val="18"/>
                <w:color w:val="auto"/>
              </w:rPr>
              <w:t>$128,216</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128,216</w:t>
            </w:r>
          </w:p>
        </w:tc>
        <w:tc>
          <w:tcPr>
            <w:tcW w:w="60" w:type="dxa"/>
            <w:vAlign w:val="bottom"/>
          </w:tcPr>
          <w:p>
            <w:pPr>
              <w:spacing w:after="0"/>
              <w:rPr>
                <w:sz w:val="18"/>
                <w:szCs w:val="18"/>
                <w:color w:val="auto"/>
              </w:rPr>
            </w:pPr>
          </w:p>
        </w:tc>
      </w:tr>
      <w:tr>
        <w:trPr>
          <w:trHeight w:val="74"/>
        </w:trPr>
        <w:tc>
          <w:tcPr>
            <w:tcW w:w="50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50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$128,216</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128,216</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3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There have been no transfers between fair value levels during the years ended December 31, 2022 and 2021. The carrying values of prepaid expenses, other current assets, accounts payable and accrued expenses approximate their fair values due to the short-term nature of these assets and liabilities.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 tranche obligation</w:t>
      </w:r>
    </w:p>
    <w:p>
      <w:pPr>
        <w:spacing w:after="0" w:line="15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2020, the Company obtained series A funding from investors with two subsequent milestone closing dates. Each of the two milestones represented a separate tranche obligation as they could have been exercised separately and an investor could have transferred part of any rights under the agreement, including the right/obligation to participate in an individual tranche. The tranche obligation was recorded at fair value at the issuance date and a portion of the proceeds from the first closing equal to that amount was allocated to the tranche obligation. The Company determined that its obligation to issue additional shares at a fixed price (i.e. the issuance price) in subsequent tranches (collectively, the “Milestones”; see Note 6) following the initial closing of the series A convertible preferred stock financings represented two freestanding financial instruments (together, the “Tranche Obligation”). The Tranche Obligation was previously carried at fair value determined according to Level 3 inputs in the fair value hierarchy. On July 30, 2021, the Company waived all Milestone events causing the Milestone closings to occur. This resulted in the derecognition of the Tranche Obligation liabilities and the recognition of the cash proceeds received. The Company determined that the value of the Tranche Obligations at issuance would be equivalent at settlement and, as such, no mark-to-market adjustment was recorded upon settlement.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Level 3 table provides a roll forward of the aggregate fair value of the Company’s Tranche Obligation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3"/>
          </w:tcPr>
          <w:p>
            <w:pPr>
              <w:ind w:left="46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40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2021</w:t>
            </w:r>
          </w:p>
        </w:tc>
      </w:tr>
      <w:tr>
        <w:trPr>
          <w:trHeight w:val="21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440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Extinguishment of Tranche Obligation</w:t>
            </w:r>
          </w:p>
        </w:tc>
        <w:tc>
          <w:tcPr>
            <w:tcW w:w="4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(3,010)</w:t>
            </w:r>
          </w:p>
        </w:tc>
      </w:tr>
      <w:tr>
        <w:trPr>
          <w:trHeight w:val="27"/>
        </w:trPr>
        <w:tc>
          <w:tcPr>
            <w:tcW w:w="40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440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2"/>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58"/>
        </w:trPr>
        <w:tc>
          <w:tcPr>
            <w:tcW w:w="4060" w:type="dxa"/>
            <w:vAlign w:val="bottom"/>
          </w:tcPr>
          <w:p>
            <w:pPr>
              <w:spacing w:after="0"/>
              <w:rPr>
                <w:sz w:val="24"/>
                <w:szCs w:val="24"/>
                <w:color w:val="auto"/>
              </w:rPr>
            </w:pPr>
          </w:p>
        </w:tc>
        <w:tc>
          <w:tcPr>
            <w:tcW w:w="4400" w:type="dxa"/>
            <w:vAlign w:val="bottom"/>
            <w:gridSpan w:val="2"/>
          </w:tcPr>
          <w:p>
            <w:pPr>
              <w:ind w:left="1280"/>
              <w:spacing w:after="0"/>
              <w:rPr>
                <w:sz w:val="20"/>
                <w:szCs w:val="20"/>
                <w:color w:val="auto"/>
              </w:rPr>
            </w:pPr>
            <w:r>
              <w:rPr>
                <w:rFonts w:ascii="Arial" w:cs="Arial" w:eastAsia="Arial" w:hAnsi="Arial"/>
                <w:sz w:val="18"/>
                <w:szCs w:val="18"/>
                <w:color w:val="auto"/>
              </w:rPr>
              <w:t>F-15</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LEASES</w:t>
      </w:r>
    </w:p>
    <w:p>
      <w:pPr>
        <w:spacing w:after="0" w:line="15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 xml:space="preserve">Effective January 1, 2022, the Company adopted the US GAAP accounting rules 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Company elected to follow the package of practical expedients provided under the transition guidance within ASC 842, and accordingly, elected to combine lease and non-lease components for its real estate and financed equipment leases. Upon commencement of its real estate lease, the Company recorded an operating lease right-of-use asset and related current and non-current lease liabilities in its consolidated balance sheet, which were recognized based on the present value of remaining lease payments over the lease term. Upon receipt of the financed equipment, the Company recorded finance lease right-of-use assets and lease liabilities in its consolidated balance sheet, which were based on the fair values of the equipment financed with implicit interest rates provided in the terms of the lease agreements. As the Company’s operating lease right-of-use asset does not provide an implicit rate, an estimated incremental borrowing rate was used based on the information available at the adoption date in determining the present value of lease payments. Operating lease right-of-use asset expense is recognized on a straight-line basis over the lease term. Variable lease costs such as common area costs and other operating costs are expensed as incurred. Leases with an initial term of 12 months or less are not recorded on the Company’s balance sheet.</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 right-of-use asset</w:t>
      </w:r>
    </w:p>
    <w:p>
      <w:pPr>
        <w:spacing w:after="0" w:line="15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January 2022, the Company entered into a lease agreement for an office facility and laboratory space in New York, New York that commenced in April 2022 and ends in July 2029 and there is an additional five-year option to extend the lease beyond July 2029 at the then prevailing effective market rental rate. Upon commencement of this lease, the Company recorded operating lease right-of-use assets and operating lease liabilities of approximately $11.6 million based on the present value of payments over the lease term using an estimated incremental borrowing rate of 8.53%. In connection with the Company’s lease of office space and laboratory space, the Company provided a security deposit to the landlord in the form of a letter of credit totaling $1.2 million. The cash collateralizing the letter of credit is included in long-term restricted cash in the Company’s consolidated balance sheet as of December 31, 2022. This lease was classified as an operating lease in accordance with the provisions of Topic 842. The Company did not recognize any right-of-use assets and lease liabilities associated with the potential option to renew or extend. The Company’s operating lease agreement does not contain any significant residual value guarantees or restrictive covenants.</w:t>
      </w:r>
    </w:p>
    <w:p>
      <w:pPr>
        <w:spacing w:after="0" w:line="11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Components of the operating lease are as follows (in thousands, except remaining lease term and payment term (in years) and incremental borrowing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0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r>
      <w:tr>
        <w:trPr>
          <w:trHeight w:val="213"/>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$ 1,610</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lease expense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$ 1,795</w:t>
            </w:r>
          </w:p>
        </w:tc>
      </w:tr>
      <w:tr>
        <w:trPr>
          <w:trHeight w:val="283"/>
        </w:trPr>
        <w:tc>
          <w:tcPr>
            <w:tcW w:w="10400" w:type="dxa"/>
            <w:vAlign w:val="bottom"/>
          </w:tcPr>
          <w:p>
            <w:pPr>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Remaining lease term and payment term (in years)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10400" w:type="dxa"/>
            <w:vAlign w:val="bottom"/>
          </w:tcPr>
          <w:p>
            <w:pPr>
              <w:ind w:left="180"/>
              <w:spacing w:after="0"/>
              <w:rPr>
                <w:sz w:val="20"/>
                <w:szCs w:val="20"/>
                <w:color w:val="auto"/>
              </w:rPr>
            </w:pPr>
            <w:r>
              <w:rPr>
                <w:rFonts w:ascii="Arial" w:cs="Arial" w:eastAsia="Arial" w:hAnsi="Arial"/>
                <w:sz w:val="18"/>
                <w:szCs w:val="18"/>
                <w:color w:val="auto"/>
              </w:rPr>
              <w:t>Incremental borrowing rate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 included in operating cash flows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$ 1,032</w:t>
            </w:r>
          </w:p>
        </w:tc>
      </w:tr>
      <w:tr>
        <w:trPr>
          <w:trHeight w:val="216"/>
        </w:trPr>
        <w:tc>
          <w:tcPr>
            <w:tcW w:w="10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10400" w:type="dxa"/>
            <w:vAlign w:val="bottom"/>
          </w:tcPr>
          <w:p>
            <w:pPr>
              <w:ind w:left="5340"/>
              <w:spacing w:after="0"/>
              <w:rPr>
                <w:sz w:val="20"/>
                <w:szCs w:val="20"/>
                <w:color w:val="auto"/>
              </w:rPr>
            </w:pPr>
            <w:r>
              <w:rPr>
                <w:rFonts w:ascii="Arial" w:cs="Arial" w:eastAsia="Arial" w:hAnsi="Arial"/>
                <w:sz w:val="18"/>
                <w:szCs w:val="18"/>
                <w:color w:val="auto"/>
              </w:rPr>
              <w:t>F-16</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a reconciliation of the Company’s remaining undiscounted contractual rent obligations due within each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to the operating lease liabilities recognized as of 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2026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Thereafter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Less: present value adjustment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Included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Current portion of lease liabilities—operating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Non-current portion of lease liabilities—operating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26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Equipment finance leases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Operating</w:t>
      </w:r>
    </w:p>
    <w:p>
      <w:pPr>
        <w:spacing w:after="0" w:line="38"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leases</w:t>
      </w:r>
    </w:p>
    <w:p>
      <w:pPr>
        <w:spacing w:after="0" w:line="240" w:lineRule="exact"/>
        <w:rPr>
          <w:sz w:val="20"/>
          <w:szCs w:val="20"/>
          <w:color w:val="auto"/>
        </w:rPr>
      </w:pPr>
    </w:p>
    <w:p>
      <w:pPr>
        <w:ind w:left="320" w:hanging="312"/>
        <w:spacing w:after="0"/>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2,308</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2,152</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2,206</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2,261</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14,716</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11,287</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2,287</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11,287</w:t>
      </w:r>
    </w:p>
    <w:p>
      <w:pPr>
        <w:spacing w:after="0" w:line="886" w:lineRule="exact"/>
        <w:rPr>
          <w:sz w:val="20"/>
          <w:szCs w:val="20"/>
          <w:color w:val="auto"/>
        </w:rPr>
      </w:pPr>
    </w:p>
    <w:p>
      <w:pPr>
        <w:sectPr>
          <w:pgSz w:w="11900" w:h="16838" w:orient="portrait"/>
          <w:cols w:equalWidth="0" w:num="2">
            <w:col w:w="9580" w:space="720"/>
            <w:col w:w="820"/>
          </w:cols>
          <w:pgMar w:left="320" w:top="459" w:right="459" w:bottom="1440" w:gutter="0" w:footer="0" w:header="0"/>
          <w:type w:val="continuous"/>
        </w:sectPr>
      </w:pPr>
    </w:p>
    <w:p>
      <w:pPr>
        <w:ind w:left="120"/>
        <w:spacing w:after="0" w:line="285" w:lineRule="auto"/>
        <w:rPr>
          <w:sz w:val="20"/>
          <w:szCs w:val="20"/>
          <w:color w:val="auto"/>
        </w:rPr>
      </w:pPr>
      <w:r>
        <w:rPr>
          <w:rFonts w:ascii="Arial" w:cs="Arial" w:eastAsia="Arial" w:hAnsi="Arial"/>
          <w:sz w:val="16"/>
          <w:szCs w:val="16"/>
          <w:color w:val="auto"/>
        </w:rPr>
        <w:t>Commencing in April 2022, the Company leases certain laboratory equipment under financing arrangements accounted for as finance leases classified in the Company’s balance sheet as finance lease liabilities with related right-of-use assets recorded and depreciated on a straight-line basis over the estimated useful life of 7 years. The total amount of equipment finance lease right-of-use assets capitalized was approximately $2.2 million during the year ended December 31, 2022. The total gross, accumulated amortization, and net book values of equipment finance lease right-of-use assets capitalized under such finance lease arrangements at December 31, 2022 were approximately $2.2 million, $0.1 million and $2.1 million, respectively. The equipment finance leases entered into also included approximately $0.1 million of research and development laboratory supplies received that were not capital in nature and were recorded to research and development expense in the Company’s consolidated statement of operations and comprehensive loss during the year ended December 31, 2022. Under the terms of the equipment finance lease agreements executed through the issuance date of these financial statements, the principal balances plus interest for the equipment are to be repaid in full after 60 monthly installments following lease commencement, with lease commencement dates ranging from April 1, 2022 to January 1, 2023, annual imputed interest rates ranging from 7.90% to 9.30%, and monthly installment payment amounts ranging from approximately $7,000 to $18,000. As of December 31, 2022, the total aggregate monthly installment payment amount was approximately $45,000 for equipment finance lease agreements executed through the issuance date of these financial statements. Total equipment finance right of use assets and lease liabilities of approximately $534,000 were recorded in the Company’s consolidated balance sheet at December 31, 2022 for which lease periods had not yet commenced. In connection with the Company’s leases of laboratory equipment, the Company provided a security deposit to the lessor in the form of a letter of credit totaling $1.9 million and assigned all rights and interests in the equipment to the lessor. The cash collateralizing the letter of credit is included in long-term restricted cash in the Company’s consolidated balance sheet as of December 31, 2022.</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Components of the equipment finance leases are as follows (in thousands, except weighted average remaining lease payment term (in years), weighted average remaining amortization term (in years), and weighted average effective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0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r>
      <w:tr>
        <w:trPr>
          <w:trHeight w:val="213"/>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amortization of right-of-use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Interest on finance lease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finance lease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83"/>
        </w:trPr>
        <w:tc>
          <w:tcPr>
            <w:tcW w:w="10400" w:type="dxa"/>
            <w:vAlign w:val="bottom"/>
          </w:tcPr>
          <w:p>
            <w:pPr>
              <w:spacing w:after="0"/>
              <w:rPr>
                <w:sz w:val="20"/>
                <w:szCs w:val="20"/>
                <w:color w:val="auto"/>
              </w:rPr>
            </w:pPr>
            <w:r>
              <w:rPr>
                <w:rFonts w:ascii="Arial" w:cs="Arial" w:eastAsia="Arial" w:hAnsi="Arial"/>
                <w:sz w:val="18"/>
                <w:szCs w:val="18"/>
                <w:color w:val="auto"/>
              </w:rPr>
              <w:t>Other information</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Remaining Lease Payment Term (in years)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10400" w:type="dxa"/>
            <w:vAlign w:val="bottom"/>
          </w:tcPr>
          <w:p>
            <w:pPr>
              <w:ind w:left="180"/>
              <w:spacing w:after="0"/>
              <w:rPr>
                <w:sz w:val="20"/>
                <w:szCs w:val="20"/>
                <w:color w:val="auto"/>
              </w:rPr>
            </w:pPr>
            <w:r>
              <w:rPr>
                <w:rFonts w:ascii="Arial" w:cs="Arial" w:eastAsia="Arial" w:hAnsi="Arial"/>
                <w:sz w:val="18"/>
                <w:szCs w:val="18"/>
                <w:color w:val="auto"/>
              </w:rPr>
              <w:t>Weighted Average Remaining Amortization Term (in years)</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10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Effective Interest Rate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8.66%</w:t>
            </w:r>
          </w:p>
        </w:tc>
      </w:tr>
      <w:tr>
        <w:trPr>
          <w:trHeight w:val="230"/>
        </w:trPr>
        <w:tc>
          <w:tcPr>
            <w:tcW w:w="10400" w:type="dxa"/>
            <w:vAlign w:val="bottom"/>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 included in financing cash flows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608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2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following table provides a reconciliation of the Company’s remaining equipment finance lease obligations due within each year ending December 31 to the equipment finance lease liabilities recognized at December 31, 2022, including estimated amounts due for equipment received by December 31, 2022 under equipment finance leases anticipated to be executed following the issuance date of these financial statements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Equipment</w:t>
            </w:r>
          </w:p>
        </w:tc>
      </w:tr>
      <w:tr>
        <w:trPr>
          <w:trHeight w:val="213"/>
        </w:trPr>
        <w:tc>
          <w:tcPr>
            <w:tcW w:w="9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5"/>
              </w:rPr>
              <w:t>finance leases</w:t>
            </w:r>
          </w:p>
        </w:tc>
      </w:tr>
      <w:tr>
        <w:trPr>
          <w:trHeight w:val="213"/>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357</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Total finance lease liabilties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Included in the consolidated balance sheet: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Current portion of lease liabilities—finance</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portion of lease liabilities—finance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r>
      <w:tr>
        <w:trPr>
          <w:trHeight w:val="224"/>
        </w:trPr>
        <w:tc>
          <w:tcPr>
            <w:tcW w:w="9960" w:type="dxa"/>
            <w:vAlign w:val="bottom"/>
          </w:tcPr>
          <w:p>
            <w:pPr>
              <w:spacing w:after="0"/>
              <w:rPr>
                <w:sz w:val="20"/>
                <w:szCs w:val="20"/>
                <w:color w:val="auto"/>
              </w:rPr>
            </w:pPr>
            <w:r>
              <w:rPr>
                <w:rFonts w:ascii="Arial" w:cs="Arial" w:eastAsia="Arial" w:hAnsi="Arial"/>
                <w:sz w:val="18"/>
                <w:szCs w:val="18"/>
                <w:color w:val="auto"/>
              </w:rPr>
              <w:t>Total finance lease liabilties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9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PREFERRED STOCK</w:t>
      </w:r>
    </w:p>
    <w:p>
      <w:pPr>
        <w:spacing w:after="0" w:line="152"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As of December 31, 2022, the Company’s certificate of incorporation authorized the Company to issue 143,653,546 million shares of series A and series B convertible preferred stock at par value of $0.0001.</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November 20, 2020, the Company entered into a series A convertible preferred stock purchase agreement (the “Series A Purchase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whereby the Company issued 29,999,996 shares of series A convertible preferred stock at $1.00 per share for an aggregate purchase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$30.0 million and incurred $0.2 million of issuance costs. Additionally, on November 20, 2020, the Company issued additional series A convertible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to the holders of the Company’s Notes (the “Noteholders”). In connection with the conversion, the Company issued 4,495,719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A convertible preferred stock.</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Pursuant to the Series A Purchase Agreement, the shareholders were eligible to receive additional shares at the date of certain contractual Milestone events. The first Milestone event was the successful Federal Drug Administration (“FDA”) clearance to proceed into human clinical studies of one of the Company’s therapeutics; the second Milestone event was the successful dosing of the therapeutic in five human patients with all relevant safety data supportive of future development.</w:t>
      </w:r>
    </w:p>
    <w:p>
      <w:pPr>
        <w:spacing w:after="0" w:line="11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On July 30, 2021, the Company’s board of directors voted to waive the Milestones related to both the second and third tranches of the series A convertible preferred stock and issued 50,999,997 shares for an aggregate consideration of $51.0 million.</w:t>
      </w:r>
    </w:p>
    <w:p>
      <w:pPr>
        <w:spacing w:after="0" w:line="103"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On August 10, 2021, the Company entered into a series B convertible preferred stock purchase agreement whereby the Company issued 58,157,823 shares of series B convertible preferred stock at $1.720490 per share for an aggregate purchase price of approximately $100.1 million.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and 2021, preferred stock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Convertible</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Convertible</w:t>
            </w: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Preferred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Preferred</w:t>
            </w: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Common Stock</w:t>
            </w:r>
          </w:p>
        </w:tc>
      </w:tr>
      <w:tr>
        <w:trPr>
          <w:trHeight w:val="203"/>
        </w:trPr>
        <w:tc>
          <w:tcPr>
            <w:tcW w:w="506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Stock</w:t>
            </w: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Issued and</w:t>
            </w:r>
          </w:p>
        </w:tc>
        <w:tc>
          <w:tcPr>
            <w:tcW w:w="24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Arial" w:cs="Arial" w:eastAsia="Arial" w:hAnsi="Arial"/>
                <w:sz w:val="16"/>
                <w:szCs w:val="16"/>
                <w:b w:val="1"/>
                <w:bCs w:val="1"/>
                <w:color w:val="auto"/>
                <w:w w:val="86"/>
              </w:rPr>
              <w:t>Proceeds</w:t>
            </w:r>
          </w:p>
        </w:tc>
        <w:tc>
          <w:tcPr>
            <w:tcW w:w="120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Liquidation</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Issuable Upon</w:t>
            </w:r>
          </w:p>
        </w:tc>
      </w:tr>
      <w:tr>
        <w:trPr>
          <w:trHeight w:val="213"/>
        </w:trPr>
        <w:tc>
          <w:tcPr>
            <w:tcW w:w="50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Authorized</w:t>
            </w: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w w:val="88"/>
              </w:rPr>
              <w:t>Received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9"/>
              </w:rPr>
              <w:t>Preference</w:t>
            </w: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Conversion</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85,495,722</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85,495,722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85,496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85,496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8,070,027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58,157,824</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58,157,823</w:t>
            </w:r>
          </w:p>
        </w:tc>
        <w:tc>
          <w:tcPr>
            <w:tcW w:w="2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100,060</w:t>
            </w:r>
          </w:p>
        </w:tc>
        <w:tc>
          <w:tcPr>
            <w:tcW w:w="2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100,060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5,489,573</w:t>
            </w:r>
          </w:p>
        </w:tc>
      </w:tr>
      <w:tr>
        <w:trPr>
          <w:trHeight w:val="27"/>
        </w:trPr>
        <w:tc>
          <w:tcPr>
            <w:tcW w:w="50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143,653,546</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143,653,545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5"/>
              </w:rPr>
              <w:t>185,556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185,556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13,559,600</w:t>
            </w:r>
          </w:p>
        </w:tc>
      </w:tr>
      <w:tr>
        <w:trPr>
          <w:trHeight w:val="216"/>
        </w:trPr>
        <w:tc>
          <w:tcPr>
            <w:tcW w:w="50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 rights and privileges of the holders of the convertible preferred stock were as follows: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Holders of preferred stock shall vote together with the holders of common stock as a single class and on an as converted to common stock basis.</w:t>
      </w:r>
    </w:p>
    <w:p>
      <w:pPr>
        <w:spacing w:after="0" w:line="16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holders of shares of series A convertible preferred stock are entitled to receive, as declared by the Company’s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at the rate of 8% per share of preferred stock, prior and in preference to any declaration or payment of any other dividend (other than dividends on shares of common stock payable in shares of common stock).</w:t>
      </w:r>
    </w:p>
    <w:p>
      <w:pPr>
        <w:spacing w:after="0" w:line="11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Deemed liquidation event</w:t>
      </w:r>
      <w:r>
        <w:rPr>
          <w:rFonts w:ascii="Arial" w:cs="Arial" w:eastAsia="Arial" w:hAnsi="Arial"/>
          <w:sz w:val="17"/>
          <w:szCs w:val="17"/>
          <w:color w:val="auto"/>
        </w:rPr>
        <w:t>—Each of the following events shall be considered a “Deemed Liquidation Event” unless the holders of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preferred stock elect otherwise by written notice sent to the Company at least five business days prior to the effective date of any such event;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of the capital stock of (1) the surviving or resulting company; or (2) if the surviving or resulting company is a wholly owned subsidiary of another company immediately following such merger or consolidation, the parent company of such surviving or resulting corporation; or (b) (1) the sale, lease, transfer, exclusive license or other disposition, in a single transaction or series of related transactions, by the Company or any subsidiary of the Company of all or substantially all the assets of the Company and its subsidiaries taken as a whole, or (2) the sale or disposition (whether by merger, consolidation or otherwise, and whether in a single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1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In the event of any voluntary or involuntary liquidation, dissolution, or winding up of the Company, the holders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shall be entitled to be paid out of the assets of the Company or, in the case of a Deemed Liquidation Event, out of the consideration payable to stockholders or the available proceeds, before any payment shall be made to the holders of common stock, an amount per share equal to the series B convertible preferred stock issue price of $18.227267 per share and the series A convertible preferred stock issue price of $10.594230 per share, plus any dividends declared but unpaid. If upon any such liquidation, dissolution or winding up of the Company or Deemed Liquidation Event, the assets of the Company available for distribution to its stockholders shall be insufficient to pay the holders of shares of preferred stock the full amount to which they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(collectively, the “Liquidation Preference Per Convertible Preferred Stock”).</w:t>
      </w:r>
    </w:p>
    <w:p>
      <w:pPr>
        <w:spacing w:after="0" w:line="113"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the event that there are additional assets to be distributed, the holders of the series A convertible preferred stock and series B convertible preferred stock will share in the distribution along with common stockholders as if the shares of the series A convertible preferred stock and series B convertible preferred stock had converted to common stock immediately prior to the distribution up to an amount taken in consideration with the Liquidation Preference Per Convertible Preferred Stock not to exceeds $31.782691 per share allocated to series A convertible preferred stockholders and $54.681802 per share allocated to series B convertible preferred stockholders.</w:t>
      </w:r>
    </w:p>
    <w:p>
      <w:pPr>
        <w:spacing w:after="0" w:line="9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—The preferred stock does not contain a mandatory redemption provision. Upon a Deemed Liquidation Event, the holders will be paid their</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amounts according to their priority. That is, the preferred stockholders will be entitled to an amount up to $10.594230 per share, plus any accrued dividends. Accretion to redemption value will only be required if a Deemed Liquidation Event is probable.</w:t>
      </w:r>
    </w:p>
    <w:p>
      <w:pPr>
        <w:spacing w:after="0" w:line="98"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—In the event that any Noteholder, or an affiliate of any Noteholder, the investor of Notes did not participate in any Milestones then each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preferred stock held by the Noteholders would have automatically been converted into the number of shares of common stock equal to the $10.594230 per share divided by the conversion price in effect immediately prior to the consummation of the Milestones closings multiplied by ten.</w:t>
      </w:r>
    </w:p>
    <w:p>
      <w:pPr>
        <w:spacing w:after="0" w:line="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Upon either (a) the closing of the sale of shares of common stock to the public at a price of at least $31.782691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 million of gross proceeds to the Company and in connection with the offering of the common stock listed for trading on the Nasdaq Stock Market’s National Market, the New York Stock Exchange or another exchange or marketplace approved by the Company’s board of directors, including the approval of at least two (2) preferred directors (a “Qualified IPO”) or (b) the date and time, or the occurrence of an event specified by vote or written consent of the Noteholders, then (i) all outstanding shares of preferred stock shall automatically be converted into shares of common stock, at the then effective conversion rate.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COMMON STOCK</w:t>
      </w:r>
    </w:p>
    <w:p>
      <w:pPr>
        <w:spacing w:after="0" w:line="15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As of December 31, 2022, the Company’s certificate of incorporation authorized the Company to issue 18,125,051 shares of common stock with a par value of $0.0001 per share. The voting, dividend and liquidation rights of the holders of the Company’s common shares are subject to and qualified by the rights, powers and preferences of the holders of the convertible preferred stock set forth above.</w:t>
      </w:r>
    </w:p>
    <w:p>
      <w:pPr>
        <w:spacing w:after="0" w:line="11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Each common share entitles the holder to one vote on all matters submitted to a vote of the Company’s stockholders. Common stockholders are entitled to receive dividends, if any, as may be declared by the Company’s board of directors, subject to the preferential dividend rights of the convertible preferred stock. Through December 31, 2022, no cash dividends have been declared or paid by the Company.</w:t>
      </w:r>
    </w:p>
    <w:p>
      <w:pPr>
        <w:spacing w:after="0" w:line="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has reserved the following number of shares of common stock for the exercise of outstanding stock options, future issuance of stock-based awards, and conversion of outstanding shares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23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r>
      <w:tr>
        <w:trPr>
          <w:trHeight w:val="199"/>
        </w:trPr>
        <w:tc>
          <w:tcPr>
            <w:tcW w:w="868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of series A convertible preferred stock</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8,070,027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8,070,027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of series B convertible preferred stock</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5,489,573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5,489,573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shares of common stock</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1,916,194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1,880,473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available for issuance under the 2021 Plan</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1,000,519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1,104,327</w:t>
            </w:r>
          </w:p>
        </w:tc>
      </w:tr>
      <w:tr>
        <w:trPr>
          <w:trHeight w:val="27"/>
        </w:trPr>
        <w:tc>
          <w:tcPr>
            <w:tcW w:w="86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reserved for future issuance</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16,476,313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16,544,400</w:t>
            </w:r>
          </w:p>
        </w:tc>
      </w:tr>
      <w:tr>
        <w:trPr>
          <w:trHeight w:val="216"/>
        </w:trPr>
        <w:tc>
          <w:tcPr>
            <w:tcW w:w="8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NET LOSS PER SHARE</w:t>
      </w:r>
    </w:p>
    <w:p>
      <w:pPr>
        <w:spacing w:after="0" w:line="1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Basic and diluted net loss per common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r>
      <w:tr>
        <w:trPr>
          <w:trHeight w:val="199"/>
        </w:trPr>
        <w:tc>
          <w:tcPr>
            <w:tcW w:w="7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(59,277)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(50,622)</w:t>
            </w:r>
          </w:p>
        </w:tc>
      </w:tr>
      <w:tr>
        <w:trPr>
          <w:trHeight w:val="53"/>
        </w:trPr>
        <w:tc>
          <w:tcPr>
            <w:tcW w:w="70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00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basic and diluted</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9"/>
              </w:rPr>
              <w:t>1,630,348</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1,552,708</w:t>
            </w:r>
          </w:p>
        </w:tc>
        <w:tc>
          <w:tcPr>
            <w:tcW w:w="12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(32.60)</w:t>
            </w:r>
          </w:p>
        </w:tc>
      </w:tr>
      <w:tr>
        <w:trPr>
          <w:trHeight w:val="216"/>
        </w:trPr>
        <w:tc>
          <w:tcPr>
            <w:tcW w:w="7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70" w:lineRule="exact"/>
        <w:rPr>
          <w:sz w:val="20"/>
          <w:szCs w:val="20"/>
          <w:color w:val="auto"/>
        </w:rPr>
      </w:pPr>
    </w:p>
    <w:p>
      <w:pPr>
        <w:jc w:val="both"/>
        <w:ind w:left="120" w:right="4700"/>
        <w:spacing w:after="0" w:line="377" w:lineRule="auto"/>
        <w:rPr>
          <w:sz w:val="20"/>
          <w:szCs w:val="20"/>
          <w:color w:val="auto"/>
        </w:rPr>
      </w:pPr>
      <w:r>
        <w:rPr>
          <w:rFonts w:ascii="Arial" w:cs="Arial" w:eastAsia="Arial" w:hAnsi="Arial"/>
          <w:sz w:val="21"/>
          <w:szCs w:val="21"/>
          <w:b w:val="1"/>
          <w:bCs w:val="1"/>
          <w:color w:val="auto"/>
        </w:rPr>
        <w:t xml:space="preserve">9. ACCRUED EXPENSES AND OTHER CURRENT LIABILITIES </w:t>
      </w:r>
      <w:r>
        <w:rPr>
          <w:rFonts w:ascii="Arial" w:cs="Arial" w:eastAsia="Arial" w:hAnsi="Arial"/>
          <w:sz w:val="16"/>
          <w:szCs w:val="16"/>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380" w:type="dxa"/>
            <w:vAlign w:val="bottom"/>
            <w:gridSpan w:val="3"/>
          </w:tcPr>
          <w:p>
            <w:pPr>
              <w:ind w:left="380"/>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45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2021</w:t>
            </w: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41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4,755</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796</w:t>
            </w:r>
          </w:p>
        </w:tc>
        <w:tc>
          <w:tcPr>
            <w:tcW w:w="6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629</w:t>
            </w: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240</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41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6,420</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2,883</w:t>
            </w:r>
          </w:p>
        </w:tc>
      </w:tr>
      <w:tr>
        <w:trPr>
          <w:trHeight w:val="216"/>
        </w:trPr>
        <w:tc>
          <w:tcPr>
            <w:tcW w:w="45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2"/>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4500" w:type="dxa"/>
            <w:vAlign w:val="bottom"/>
          </w:tcPr>
          <w:p>
            <w:pPr>
              <w:spacing w:after="0"/>
              <w:rPr>
                <w:sz w:val="24"/>
                <w:szCs w:val="24"/>
                <w:color w:val="auto"/>
              </w:rPr>
            </w:pPr>
          </w:p>
        </w:tc>
        <w:tc>
          <w:tcPr>
            <w:tcW w:w="4120" w:type="dxa"/>
            <w:vAlign w:val="bottom"/>
            <w:gridSpan w:val="2"/>
          </w:tcPr>
          <w:p>
            <w:pPr>
              <w:ind w:left="840"/>
              <w:spacing w:after="0"/>
              <w:rPr>
                <w:sz w:val="20"/>
                <w:szCs w:val="20"/>
                <w:color w:val="auto"/>
              </w:rPr>
            </w:pPr>
            <w:r>
              <w:rPr>
                <w:rFonts w:ascii="Arial" w:cs="Arial" w:eastAsia="Arial" w:hAnsi="Arial"/>
                <w:sz w:val="18"/>
                <w:szCs w:val="18"/>
                <w:color w:val="auto"/>
              </w:rPr>
              <w:t>F-21</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STOCK-BASED COMPENSATION</w:t>
      </w:r>
    </w:p>
    <w:p>
      <w:pPr>
        <w:spacing w:after="0" w:line="152"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February 2021, the Company adopted the 2021 Equity Incentive Plan (the “Plan”) for the issuance of stock options to the Company’s key directors, officers, employees and consultants, as a means to secure the benefits arising from capital stock ownership. The purposes of the Plan are to promote the alignment of the interests of key directors, officers, employees, and consultants with the success of the Company and to provide compensation opportunities to attract, retain and motivate directors, officers, employees, and consultants of the Company.</w:t>
      </w:r>
    </w:p>
    <w:p>
      <w:pPr>
        <w:spacing w:after="0" w:line="2"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Under the Plan, the Company initially authorized 841,800 shares of its common stock for issuance upon exercise of options granted under the Plan. In August 2021, the Company’s Board of Directors amended the Plan to increase the aggregate number of shares of its common stock reserved for issuance pursuant to the Plan by 1,889,682 shares, from 841,800 shares to a new total of 2,731,482 shares. In November 2021, the Company’s Board of Directors further amended the Plan to further increase the aggregate number of shares of its common stock reserved for issuance pursuant to the Plan by 319,852 shares, from 2,731,482 shares to a new total of 32,326,544 shares. As of December 31, 2022, 1,000,519 shares were available for future grants.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activity</w:t>
      </w:r>
    </w:p>
    <w:p>
      <w:pPr>
        <w:spacing w:after="0" w:line="15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Stock options granted during the years ended December 31, 2022 and 2021 generally (i) are subject to requisite service requirements, (ii) vest over a four-year period with 25% of the options granted vesting after one year and the remainder vesting in equal monthly installments over the following 36 months, and (iii) allow for early exercise subject to repurchase. Stock options granted to certain of the Company’s non-employees vest in equal monthly installments over a four-year period or vested upon the achievement of a certain milestone event. The Company did not repurchase any stock options during the years ended December 31, 2022 and 2021.</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stock option activity under the Plan for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rPr>
              <w:t>Weighted-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rPr>
              <w:t>average</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Weighted-</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Weighted-</w:t>
            </w: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rPr>
              <w:t>remaining</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w w:val="92"/>
              </w:rPr>
              <w:t>average</w:t>
            </w:r>
          </w:p>
        </w:tc>
        <w:tc>
          <w:tcPr>
            <w:tcW w:w="400" w:type="dxa"/>
            <w:vAlign w:val="bottom"/>
          </w:tcPr>
          <w:p>
            <w:pPr>
              <w:spacing w:after="0"/>
              <w:rPr>
                <w:sz w:val="17"/>
                <w:szCs w:val="17"/>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w w:val="92"/>
              </w:rPr>
              <w:t>average</w:t>
            </w: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rPr>
              <w:t>contractual</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r>
      <w:tr>
        <w:trPr>
          <w:trHeight w:val="203"/>
        </w:trPr>
        <w:tc>
          <w:tcPr>
            <w:tcW w:w="48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Number</w:t>
            </w:r>
          </w:p>
        </w:tc>
        <w:tc>
          <w:tcPr>
            <w:tcW w:w="38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w w:val="87"/>
              </w:rPr>
              <w:t>exercise</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grant date</w:t>
            </w: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rPr>
              <w:t>term</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213"/>
        </w:trPr>
        <w:tc>
          <w:tcPr>
            <w:tcW w:w="4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of shares</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price</w:t>
            </w:r>
          </w:p>
        </w:tc>
        <w:tc>
          <w:tcPr>
            <w:tcW w:w="124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(in years)</w:t>
            </w:r>
          </w:p>
        </w:tc>
        <w:tc>
          <w:tcPr>
            <w:tcW w:w="13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92"/>
              </w:rPr>
              <w:t>(in thousands)</w:t>
            </w:r>
          </w:p>
        </w:tc>
      </w:tr>
      <w:tr>
        <w:trPr>
          <w:trHeight w:val="21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4"/>
              </w:rPr>
              <w:t>1,880,473</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3.93</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2.51</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9.61</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19,787</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163,153</w:t>
            </w:r>
          </w:p>
        </w:tc>
        <w:tc>
          <w:tcPr>
            <w:tcW w:w="38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15.01</w:t>
            </w:r>
          </w:p>
        </w:tc>
        <w:tc>
          <w:tcPr>
            <w:tcW w:w="40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9.94</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(68,083)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3.14</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r>
      <w:tr>
        <w:trPr>
          <w:trHeight w:val="223"/>
        </w:trPr>
        <w:tc>
          <w:tcPr>
            <w:tcW w:w="48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(59,349)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10.24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6.62</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4"/>
              </w:rPr>
              <w:t>1,916,194</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3.00</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8.65</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20,130</w:t>
            </w: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Vested options outstanding and exercisable as of</w:t>
            </w: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88,136</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2.60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1.62</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9.20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671</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options outstanding and exercisable as of</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661,239</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2.39</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8.55</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7,540</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Unvested options outstanding and exercisable as of</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w w:val="94"/>
              </w:rPr>
              <w:t>1,792,337</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3.95</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2.53</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9.61</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19,117</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Unvested options outstanding and exercisable as of</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4"/>
              </w:rPr>
              <w:t>1,254,955</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5.12</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3.32</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8.70</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608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30"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total grant date fair values of options vested during the years ended December 31, 2022 and 2021 were $1.6 million and $0.2 million, respectively, including $0.1 million for a total of 32,319 stock options granted to certain nonemployees that vested upon the achievement of a certain milestone event during the year ended December 31, 2022.</w:t>
      </w:r>
    </w:p>
    <w:p>
      <w:pPr>
        <w:spacing w:after="0" w:line="11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estimated the fair value of options granted using a Black-Scholes option pricing model with the following assumptions presented on a weighted average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4060" w:type="dxa"/>
            <w:vAlign w:val="bottom"/>
          </w:tcPr>
          <w:p>
            <w:pPr>
              <w:jc w:val="right"/>
              <w:ind w:right="194"/>
              <w:spacing w:after="0"/>
              <w:rPr>
                <w:sz w:val="20"/>
                <w:szCs w:val="20"/>
                <w:color w:val="auto"/>
              </w:rPr>
            </w:pPr>
            <w:r>
              <w:rPr>
                <w:rFonts w:ascii="Arial" w:cs="Arial" w:eastAsia="Arial" w:hAnsi="Arial"/>
                <w:sz w:val="16"/>
                <w:szCs w:val="16"/>
                <w:b w:val="1"/>
                <w:bCs w:val="1"/>
                <w:color w:val="auto"/>
              </w:rPr>
              <w:t>Year ended</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5660" w:type="dxa"/>
            <w:vAlign w:val="bottom"/>
          </w:tcPr>
          <w:p>
            <w:pPr>
              <w:spacing w:after="0"/>
              <w:rPr>
                <w:sz w:val="17"/>
                <w:szCs w:val="17"/>
                <w:color w:val="auto"/>
              </w:rPr>
            </w:pPr>
          </w:p>
        </w:tc>
        <w:tc>
          <w:tcPr>
            <w:tcW w:w="4060" w:type="dxa"/>
            <w:vAlign w:val="bottom"/>
          </w:tcPr>
          <w:p>
            <w:pPr>
              <w:jc w:val="right"/>
              <w:ind w:right="194"/>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6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4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2.76%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060" w:type="dxa"/>
            <w:vAlign w:val="bottom"/>
          </w:tcPr>
          <w:p>
            <w:pPr>
              <w:jc w:val="right"/>
              <w:ind w:right="194"/>
              <w:spacing w:after="0"/>
              <w:rPr>
                <w:sz w:val="20"/>
                <w:szCs w:val="20"/>
                <w:color w:val="auto"/>
              </w:rPr>
            </w:pPr>
            <w:r>
              <w:rPr>
                <w:rFonts w:ascii="Arial" w:cs="Arial" w:eastAsia="Arial" w:hAnsi="Arial"/>
                <w:sz w:val="18"/>
                <w:szCs w:val="18"/>
                <w:color w:val="auto"/>
              </w:rPr>
              <w:t>6.03</w:t>
            </w:r>
          </w:p>
        </w:tc>
        <w:tc>
          <w:tcPr>
            <w:tcW w:w="130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73.36%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60" w:type="dxa"/>
            <w:vAlign w:val="bottom"/>
          </w:tcPr>
          <w:p>
            <w:pPr>
              <w:jc w:val="right"/>
              <w:ind w:right="194"/>
              <w:spacing w:after="0"/>
              <w:rPr>
                <w:sz w:val="20"/>
                <w:szCs w:val="20"/>
                <w:color w:val="auto"/>
              </w:rPr>
            </w:pPr>
            <w:r>
              <w:rPr>
                <w:rFonts w:ascii="Arial" w:cs="Arial" w:eastAsia="Arial" w:hAnsi="Arial"/>
                <w:sz w:val="18"/>
                <w:szCs w:val="18"/>
                <w:color w:val="auto"/>
              </w:rPr>
              <w:t>0.00%</w:t>
            </w: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608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Expected dividend yield is based on the fact that the Company has never paid cash dividends and does not expect to pay any cash dividends in the foreseeable future.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 expense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recorded total stock-based compensation of $1.8 million and $0.4 million for the years ended December 31, 2022, and 2021,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Stock-based compensation expense was classified as follows in the consolidated statements of operations and comprehensive loss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4" w:lineRule="exact"/>
        <w:rPr>
          <w:sz w:val="20"/>
          <w:szCs w:val="20"/>
          <w:color w:val="auto"/>
        </w:rPr>
      </w:pPr>
    </w:p>
    <w:p>
      <w:pPr>
        <w:ind w:left="10300"/>
        <w:spacing w:after="0"/>
        <w:rPr>
          <w:sz w:val="20"/>
          <w:szCs w:val="20"/>
          <w:color w:val="auto"/>
        </w:rPr>
      </w:pPr>
      <w:r>
        <w:rPr>
          <w:rFonts w:ascii="Arial" w:cs="Arial" w:eastAsia="Arial" w:hAnsi="Arial"/>
          <w:sz w:val="15"/>
          <w:szCs w:val="15"/>
          <w:b w:val="1"/>
          <w:bCs w:val="1"/>
          <w:color w:val="auto"/>
        </w:rPr>
        <w:t>Year ended</w:t>
      </w:r>
    </w:p>
    <w:p>
      <w:pPr>
        <w:spacing w:after="0" w:line="38" w:lineRule="exact"/>
        <w:rPr>
          <w:sz w:val="20"/>
          <w:szCs w:val="20"/>
          <w:color w:val="auto"/>
        </w:rPr>
      </w:pPr>
    </w:p>
    <w:p>
      <w:pPr>
        <w:ind w:left="10140"/>
        <w:spacing w:after="0"/>
        <w:rPr>
          <w:sz w:val="20"/>
          <w:szCs w:val="20"/>
          <w:color w:val="auto"/>
        </w:rPr>
      </w:pPr>
      <w:r>
        <w:rPr>
          <w:rFonts w:ascii="Arial" w:cs="Arial" w:eastAsia="Arial" w:hAnsi="Arial"/>
          <w:sz w:val="15"/>
          <w:szCs w:val="15"/>
          <w:b w:val="1"/>
          <w:bCs w:val="1"/>
          <w:color w:val="auto"/>
        </w:rPr>
        <w:t>December 31,</w:t>
      </w:r>
    </w:p>
    <w:p>
      <w:pPr>
        <w:spacing w:after="0" w:line="36" w:lineRule="exact"/>
        <w:rPr>
          <w:sz w:val="20"/>
          <w:szCs w:val="20"/>
          <w:color w:val="auto"/>
        </w:rPr>
      </w:pPr>
    </w:p>
    <w:p>
      <w:pPr>
        <w:ind w:left="10120"/>
        <w:spacing w:after="0"/>
        <w:tabs>
          <w:tab w:leader="none" w:pos="107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-116205</wp:posOffset>
            </wp:positionV>
            <wp:extent cx="7200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966</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23"/>
        </w:trPr>
        <w:tc>
          <w:tcPr>
            <w:tcW w:w="98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1,781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608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3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2022 there was $4.0 million of unrecognized stock-based compensation expense related to unvested stock options estimated to be recognized over a weighted-average period of 2.54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INCOME TAXES</w:t>
      </w:r>
    </w:p>
    <w:p>
      <w:pPr>
        <w:spacing w:after="0" w:line="1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r>
      <w:tr>
        <w:trPr>
          <w:trHeight w:val="202"/>
        </w:trPr>
        <w:tc>
          <w:tcPr>
            <w:tcW w:w="384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620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21.00%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6200" w:type="dxa"/>
            <w:vAlign w:val="bottom"/>
            <w:gridSpan w:val="2"/>
          </w:tcPr>
          <w:p>
            <w:pPr>
              <w:jc w:val="right"/>
              <w:ind w:right="53"/>
              <w:spacing w:after="0"/>
              <w:rPr>
                <w:sz w:val="20"/>
                <w:szCs w:val="20"/>
                <w:color w:val="auto"/>
              </w:rPr>
            </w:pPr>
            <w:r>
              <w:rPr>
                <w:rFonts w:ascii="Arial" w:cs="Arial" w:eastAsia="Arial" w:hAnsi="Arial"/>
                <w:sz w:val="18"/>
                <w:szCs w:val="18"/>
                <w:color w:val="auto"/>
              </w:rPr>
              <w:t>11.77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Stelios IPR&amp;D</w:t>
            </w:r>
          </w:p>
        </w:tc>
        <w:tc>
          <w:tcPr>
            <w:tcW w:w="54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20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0.08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Tax credits</w:t>
            </w:r>
          </w:p>
        </w:tc>
        <w:tc>
          <w:tcPr>
            <w:tcW w:w="6200" w:type="dxa"/>
            <w:vAlign w:val="bottom"/>
            <w:gridSpan w:val="2"/>
          </w:tcPr>
          <w:p>
            <w:pPr>
              <w:jc w:val="right"/>
              <w:ind w:right="53"/>
              <w:spacing w:after="0"/>
              <w:rPr>
                <w:sz w:val="20"/>
                <w:szCs w:val="20"/>
                <w:color w:val="auto"/>
              </w:rPr>
            </w:pPr>
            <w:r>
              <w:rPr>
                <w:rFonts w:ascii="Arial" w:cs="Arial" w:eastAsia="Arial" w:hAnsi="Arial"/>
                <w:sz w:val="18"/>
                <w:szCs w:val="18"/>
                <w:color w:val="auto"/>
              </w:rPr>
              <w:t>3.66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5400" w:type="dxa"/>
            <w:vAlign w:val="bottom"/>
          </w:tcPr>
          <w:p>
            <w:pPr>
              <w:spacing w:after="0"/>
              <w:rPr>
                <w:sz w:val="19"/>
                <w:szCs w:val="19"/>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0.00%</w:t>
            </w:r>
          </w:p>
        </w:tc>
        <w:tc>
          <w:tcPr>
            <w:tcW w:w="9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15"/>
        </w:trPr>
        <w:tc>
          <w:tcPr>
            <w:tcW w:w="384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58"/>
        </w:trPr>
        <w:tc>
          <w:tcPr>
            <w:tcW w:w="3840" w:type="dxa"/>
            <w:vAlign w:val="bottom"/>
          </w:tcPr>
          <w:p>
            <w:pPr>
              <w:spacing w:after="0"/>
              <w:rPr>
                <w:sz w:val="24"/>
                <w:szCs w:val="24"/>
                <w:color w:val="auto"/>
              </w:rPr>
            </w:pPr>
          </w:p>
        </w:tc>
        <w:tc>
          <w:tcPr>
            <w:tcW w:w="6200" w:type="dxa"/>
            <w:vAlign w:val="bottom"/>
            <w:gridSpan w:val="2"/>
          </w:tcPr>
          <w:p>
            <w:pPr>
              <w:jc w:val="right"/>
              <w:ind w:right="4273"/>
              <w:spacing w:after="0"/>
              <w:rPr>
                <w:sz w:val="20"/>
                <w:szCs w:val="20"/>
                <w:color w:val="auto"/>
              </w:rPr>
            </w:pPr>
            <w:r>
              <w:rPr>
                <w:rFonts w:ascii="Arial" w:cs="Arial" w:eastAsia="Arial" w:hAnsi="Arial"/>
                <w:sz w:val="18"/>
                <w:szCs w:val="18"/>
                <w:color w:val="auto"/>
              </w:rPr>
              <w:t>F-23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principal components of the Company’s deferred tax assets and liabilities at December 31, 2022 and 2021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Year ended</w:t>
            </w:r>
          </w:p>
        </w:tc>
      </w:tr>
      <w:tr>
        <w:trPr>
          <w:trHeight w:val="213"/>
        </w:trPr>
        <w:tc>
          <w:tcPr>
            <w:tcW w:w="9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92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$ 15,379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$ 11,496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3,407</w:t>
            </w:r>
          </w:p>
        </w:tc>
        <w:tc>
          <w:tcPr>
            <w:tcW w:w="4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R&amp;D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4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4,423</w:t>
            </w:r>
          </w:p>
        </w:tc>
        <w:tc>
          <w:tcPr>
            <w:tcW w:w="400" w:type="dxa"/>
            <w:vAlign w:val="bottom"/>
          </w:tcPr>
          <w:p>
            <w:pPr>
              <w:spacing w:after="0"/>
              <w:rPr>
                <w:sz w:val="18"/>
                <w:szCs w:val="18"/>
                <w:color w:val="auto"/>
              </w:rPr>
            </w:pPr>
          </w:p>
        </w:tc>
        <w:tc>
          <w:tcPr>
            <w:tcW w:w="64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deferred tax assets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4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42,224</w:t>
            </w:r>
          </w:p>
        </w:tc>
        <w:tc>
          <w:tcPr>
            <w:tcW w:w="4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16,399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0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(16,399)</w:t>
            </w:r>
          </w:p>
        </w:tc>
      </w:tr>
      <w:tr>
        <w:trPr>
          <w:trHeight w:val="224"/>
        </w:trPr>
        <w:tc>
          <w:tcPr>
            <w:tcW w:w="9260" w:type="dxa"/>
            <w:vAlign w:val="bottom"/>
          </w:tcPr>
          <w:p>
            <w:pPr>
              <w:ind w:left="180"/>
              <w:spacing w:after="0"/>
              <w:rPr>
                <w:sz w:val="20"/>
                <w:szCs w:val="20"/>
                <w:color w:val="auto"/>
              </w:rPr>
            </w:pPr>
            <w:r>
              <w:rPr>
                <w:rFonts w:ascii="Arial" w:cs="Arial" w:eastAsia="Arial" w:hAnsi="Arial"/>
                <w:sz w:val="18"/>
                <w:szCs w:val="18"/>
                <w:color w:val="auto"/>
              </w:rPr>
              <w:t>Net deferred tax assets</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  4,232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9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49"/>
        </w:trPr>
        <w:tc>
          <w:tcPr>
            <w:tcW w:w="9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6"/>
          </w:tcPr>
          <w:p>
            <w:pPr>
              <w:spacing w:after="0"/>
              <w:rPr>
                <w:sz w:val="12"/>
                <w:szCs w:val="12"/>
                <w:color w:val="auto"/>
              </w:rPr>
            </w:pPr>
          </w:p>
        </w:tc>
      </w:tr>
      <w:tr>
        <w:trPr>
          <w:trHeight w:val="229"/>
        </w:trPr>
        <w:tc>
          <w:tcPr>
            <w:tcW w:w="9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13"/>
        </w:trPr>
        <w:tc>
          <w:tcPr>
            <w:tcW w:w="9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December 31,</w:t>
            </w:r>
          </w:p>
        </w:tc>
      </w:tr>
      <w:tr>
        <w:trPr>
          <w:trHeight w:val="199"/>
        </w:trPr>
        <w:tc>
          <w:tcPr>
            <w:tcW w:w="9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2022</w:t>
            </w:r>
          </w:p>
        </w:tc>
        <w:tc>
          <w:tcPr>
            <w:tcW w:w="6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Arial" w:cs="Arial" w:eastAsia="Arial" w:hAnsi="Arial"/>
                <w:sz w:val="18"/>
                <w:szCs w:val="18"/>
                <w:color w:val="auto"/>
              </w:rPr>
              <w:t>Right of use asset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$(4,214)</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deferred tax liabilities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(4,232)</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7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9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34" w:lineRule="exact"/>
        <w:rPr>
          <w:sz w:val="20"/>
          <w:szCs w:val="20"/>
          <w:color w:val="auto"/>
        </w:rPr>
      </w:pPr>
    </w:p>
    <w:p>
      <w:pPr>
        <w:ind w:left="120" w:right="540"/>
        <w:spacing w:after="0" w:line="286" w:lineRule="auto"/>
        <w:rPr>
          <w:sz w:val="20"/>
          <w:szCs w:val="20"/>
          <w:color w:val="auto"/>
        </w:rPr>
      </w:pPr>
      <w:r>
        <w:rPr>
          <w:rFonts w:ascii="Arial" w:cs="Arial" w:eastAsia="Arial" w:hAnsi="Arial"/>
          <w:sz w:val="17"/>
          <w:szCs w:val="17"/>
          <w:color w:val="auto"/>
        </w:rPr>
        <w:t>As of December 31, 2022 and 2021, the Company had federal net operating loss carryforwards of approximately $48.6 million and $36.7 million, respectively, which can be carried forward indefinitely. As of December 31, 2022 and 2021, the Company had state and local net operating loss carryforwards of approximately $109.3 million and $73.7 million, respectively, which begin to expire in 2040.</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 Company had federal tax credits of $3.9 million, which begin to expire in 2041.</w:t>
      </w:r>
    </w:p>
    <w:p>
      <w:pPr>
        <w:spacing w:after="0" w:line="144"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Future realization of the tax benefits of existing temporary differences and net operating loss carryforwards ultimately depends on the existence of sufficient taxable income within the carryforward period. As of December 31, 2022 and 2021,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2022 and 2021.</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Internal Revenue Code Section 382, if a corporation undergoes an “ownership change,” the corporation’s ability to use its pre-change NOL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carryforwards and other pre-change tax attributes to offset its post-change income may be limited. We have not completed a study to assess whether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“ownership change” has occurred or whether there have been multiple ownership changes since we became a “loss corporation”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382. Future changes in our stock ownership, which may be outside of our control, may trigger an “ownership change.” In addition, future equity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offerings or acquisitions that have equity as a component of the purchase price could result in an “ownership change.” If an “ownership change” has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occurred or does occur in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future, utilization of the NOL carryforwards or other tax attributes may be limited, which could potentially result in increased future tax liability to us.</w:t>
      </w:r>
    </w:p>
    <w:p>
      <w:pPr>
        <w:spacing w:after="0" w:line="103"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1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record uncertain tax positions as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2021 and 2022 we have not recorded any uncertain tax positions in our consolidated financial statements.</w:t>
      </w:r>
    </w:p>
    <w:p>
      <w:pPr>
        <w:spacing w:after="0" w:line="10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As of December 31, 2022 and 2021, no accrued interest or penalties are included on the related tax liability line in the consolidated balance sheet.</w:t>
      </w:r>
    </w:p>
    <w:p>
      <w:pPr>
        <w:spacing w:after="0" w:line="116"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 resolution of tax matters is not expected to have a material effect on the Company’s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COMMITMENTS AND CONTINGENCIES</w:t>
      </w:r>
    </w:p>
    <w:p>
      <w:pPr>
        <w:spacing w:after="0" w:line="148"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—As of December 31, 2022, the Company had entered into commitments under lease agreements to rent office space and finance equipment (see</w:t>
      </w:r>
      <w:r>
        <w:rPr>
          <w:rFonts w:ascii="Arial" w:cs="Arial" w:eastAsia="Arial" w:hAnsi="Arial"/>
          <w:sz w:val="18"/>
          <w:szCs w:val="18"/>
          <w:b w:val="1"/>
          <w:bCs w:val="1"/>
          <w:color w:val="auto"/>
        </w:rPr>
        <w:t xml:space="preserve"> </w:t>
      </w:r>
      <w:r>
        <w:rPr>
          <w:rFonts w:ascii="Arial" w:cs="Arial" w:eastAsia="Arial" w:hAnsi="Arial"/>
          <w:sz w:val="18"/>
          <w:szCs w:val="18"/>
          <w:color w:val="auto"/>
        </w:rPr>
        <w:t>Note 5).</w:t>
      </w:r>
    </w:p>
    <w:p>
      <w:pPr>
        <w:spacing w:after="0" w:line="94"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b w:val="1"/>
          <w:bCs w:val="1"/>
          <w:color w:val="auto"/>
        </w:rPr>
        <w:t>Commitments</w:t>
      </w:r>
      <w:r>
        <w:rPr>
          <w:rFonts w:ascii="Arial" w:cs="Arial" w:eastAsia="Arial" w:hAnsi="Arial"/>
          <w:sz w:val="18"/>
          <w:szCs w:val="18"/>
          <w:color w:val="auto"/>
        </w:rPr>
        <w:t>—As of December 31, 2022, the Company had entered into commitments under license, acquisition, research collaboration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research agreements with third parties (see Notes 3 and 13). In addition, the Company has entered into services agreements with third parties for pharmaceutical manufacturing and research activities in the normal course of business, which can generally be terminated by the Company with 30-or 60-days’ written notice, unless otherwise indicated. Further, certain of the Company’s manufacturing agreements could require early termination and wind-down payments due from the Company upon either the termination of its clinical trials or if the Company terminates such agreements for convenience.</w:t>
      </w:r>
    </w:p>
    <w:p>
      <w:pPr>
        <w:spacing w:after="0" w:line="106"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auto"/>
        </w:rPr>
        <w:t>Contingencies—</w:t>
      </w:r>
      <w:r>
        <w:rPr>
          <w:rFonts w:ascii="Arial" w:cs="Arial" w:eastAsia="Arial" w:hAnsi="Arial"/>
          <w:sz w:val="17"/>
          <w:szCs w:val="17"/>
          <w:color w:val="auto"/>
        </w:rPr>
        <w:t>From time to time, the Company may have certain contingent liabilities that arise in the ordinary course of business.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90"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 xml:space="preserve">Indemnification agreements— </w:t>
      </w:r>
      <w:r>
        <w:rPr>
          <w:rFonts w:ascii="Arial" w:cs="Arial" w:eastAsia="Arial" w:hAnsi="Arial"/>
          <w:sz w:val="18"/>
          <w:szCs w:val="18"/>
          <w:color w:val="auto"/>
        </w:rPr>
        <w:t>In the ordinary course of business, the Company may provide indemnification of varying scope and terms to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spacing w:after="0" w:line="342" w:lineRule="auto"/>
        <w:rPr>
          <w:sz w:val="20"/>
          <w:szCs w:val="20"/>
          <w:color w:val="auto"/>
        </w:rPr>
      </w:pPr>
      <w:r>
        <w:rPr>
          <w:rFonts w:ascii="Arial" w:cs="Arial" w:eastAsia="Arial" w:hAnsi="Arial"/>
          <w:sz w:val="16"/>
          <w:szCs w:val="16"/>
          <w:color w:val="auto"/>
        </w:rPr>
        <w:t>officers. The maximum potential amount of future payments the Company could be required to make under these indemnification agreements is, in many cases, unlimited. As of December 31, 2022, and 2021, the Company had not incurred any material costs as a result of such indemnifications.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LICENSE, RESEARCH COLLABORATION AND SPONSORED RESEARCH AGREEMENTS</w:t>
      </w:r>
    </w:p>
    <w:p>
      <w:pPr>
        <w:spacing w:after="0" w:line="13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b w:val="1"/>
          <w:bCs w:val="1"/>
          <w:color w:val="auto"/>
        </w:rPr>
        <w:t>Adverum Biotechnologies</w:t>
      </w:r>
      <w:r>
        <w:rPr>
          <w:rFonts w:ascii="Arial" w:cs="Arial" w:eastAsia="Arial" w:hAnsi="Arial"/>
          <w:sz w:val="17"/>
          <w:szCs w:val="17"/>
          <w:color w:val="auto"/>
        </w:rPr>
        <w:t>—On January 25, 2021, the Company entered into an exclusive license agreement with Adverum Biotechnologies Inc.</w:t>
      </w:r>
      <w:r>
        <w:rPr>
          <w:rFonts w:ascii="Arial" w:cs="Arial" w:eastAsia="Arial" w:hAnsi="Arial"/>
          <w:sz w:val="17"/>
          <w:szCs w:val="17"/>
          <w:b w:val="1"/>
          <w:bCs w:val="1"/>
          <w:color w:val="auto"/>
        </w:rPr>
        <w:t xml:space="preserve"> </w:t>
      </w:r>
      <w:r>
        <w:rPr>
          <w:rFonts w:ascii="Arial" w:cs="Arial" w:eastAsia="Arial" w:hAnsi="Arial"/>
          <w:sz w:val="17"/>
          <w:szCs w:val="17"/>
          <w:color w:val="auto"/>
        </w:rPr>
        <w:t>(“Adverum”) (the “Adverum Agreement”) to in-license materials and technology related to the treatment of Cardiomyopathy due to Friedrich’s Ataxia. In connection with the Adverum Agreement, the Company gained access to a portfolio of inventions, patent rights, technology, and licensed methods that the Company continues to develop, and the Company will assume all development and commercialization activities worldwide. Pursuant to the Adverum Agreement the Company paid a one-time up-front non-refundable fee of $7.5 million, and is obligated to pay aggregate development and regulatory milestones of up to $17.5 million including a $3.5 million development milestone that was achieved in the first quarter of 2023, aggregate sales event and commercialization milestones of up to $49.0 million, and royalty payments ranging from 8% of aggregate net sales less than or equal to $500 million in a calendar year to 10% of aggregate net sales greater than $500 million in a calendar year subject to reductions upon the expiration of valid claims in licensed patents and third-party licenses. As of December 31, 2022, there were no research and development expenses recorded by the Company or payments made to Adverum under the terms of the Adverum Agreement other than the one-time up-front non-refundable fee of $7.5 million.</w:t>
      </w:r>
    </w:p>
    <w:p>
      <w:pPr>
        <w:spacing w:after="0" w:line="118"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Adverum Agreement remains in effect until termination at the date of the last royalty term to expire. The Company can terminate the Adverum Agreement with 120 days written notice. The Adverum Agreement can also be terminated as a result of a patent challenge, material breach of contractual terms, or insolvency by either party.</w:t>
      </w:r>
    </w:p>
    <w:p>
      <w:pPr>
        <w:spacing w:after="0" w:line="11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color w:val="auto"/>
        </w:rPr>
        <w:t>Cornell University</w:t>
      </w:r>
      <w:r>
        <w:rPr>
          <w:rFonts w:ascii="Arial" w:cs="Arial" w:eastAsia="Arial" w:hAnsi="Arial"/>
          <w:sz w:val="17"/>
          <w:szCs w:val="17"/>
          <w:color w:val="auto"/>
        </w:rPr>
        <w:t>—On May 27, 2020, the Company entered into two exclusive license agreements with Cornell University (“Cornell”) (the “Cornell</w:t>
      </w:r>
      <w:r>
        <w:rPr>
          <w:rFonts w:ascii="Arial" w:cs="Arial" w:eastAsia="Arial" w:hAnsi="Arial"/>
          <w:sz w:val="17"/>
          <w:szCs w:val="17"/>
          <w:b w:val="1"/>
          <w:bCs w:val="1"/>
          <w:color w:val="auto"/>
        </w:rPr>
        <w:t xml:space="preserve"> </w:t>
      </w:r>
      <w:r>
        <w:rPr>
          <w:rFonts w:ascii="Arial" w:cs="Arial" w:eastAsia="Arial" w:hAnsi="Arial"/>
          <w:sz w:val="17"/>
          <w:szCs w:val="17"/>
          <w:color w:val="auto"/>
        </w:rPr>
        <w:t>First License Agreement” and the “Cornell Second License Agreement,” collectively “the Cornell License Agreements”). The Cornell First License Agreement is for the in-license of technology related to portfolios for APOE, Alzheimer’s disease, and Anti-Tau, although our license is not restricted by such indications and it includes assignment to us of Cornell’s IND for the use of AAVrh10.hAPOE2 vector to treat APOE4 homozygous patients who are at risk for or have Alzheimer’s disease to support development of the Company’s LX1001 program. The Cornell Second License Agreement is for the in-license of technology related to portfolios for infantile neuronal ceroid lipofuscinosis (also called CLN2 Batten disease) and Friedreich’s ataxia although our license is not restricted by such indications, and it includes assignment to us of Cornell’s IND for the use of AAVrh.10cUhCLN2 to treat children with CLN2 Batten disease to support development of the Company’s LX1004 program. Through the Cornell License Agreements, the Company gains access to a portfolio of inventions, patent rights, technology, and licensed methods that the Company continues to develop. Under the terms of the Cornell License Agreements, the Company has assumed all development and commercialization activities worldwide with respect to the licensed technology.</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initial consideration for the Cornell License Agreements, the Company paid Cornell an upfront payment in cash of $0.3 million and issued</w:t>
      </w:r>
    </w:p>
    <w:p>
      <w:pPr>
        <w:spacing w:after="0" w:line="3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$1.3 million of Notes. In November 2020, Notes with outstanding principal of $1.3 million were cancelled in exchange for 1,337,610 shares of Series A convertible preferred stock. As additional consideration, the Company is required to pay Cornell up to $8.4 million upon the achievement of specific clinical and regulatory milestones under the Cornell First License Agreement and up to $4.3 million upon the achievement of specific clinical and regulatory milestones under the Cornell Second License Agreement. The Company is also required to pay Cornell a flat royalty in the mid-single-digits based on net sales of the products covered by the licenses, subject to certain adjustments.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Upon expiration of the royalty term of a given licensed product in a country, the respective license becomes non-exclusive and royalty-free. In addition, each of the Cornell License Agreements may be terminated by the Company for any reason upon 90 days’ advance notice to Cornell and by Cornell upon the Company’s material uncured breach, and all licenses and rights granted by either party under such agreement will concurrently terminate.</w:t>
      </w:r>
    </w:p>
    <w:p>
      <w:pPr>
        <w:spacing w:after="0" w:line="8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the second quarter of 2022, the Company paid Cornell $0.1 million for a research and development milestone achieved in the first quarter of 2022 under the Cornell Second License Agreement. In connection with the Cornell License Agreements, the Company recorded $0.1 million of research and development expenses within its consolidated statement of operations and comprehensive loss during the year ended December 31, 2022, which were paid during the year ended December 31, 2022. The Company did not record any research and development expenses in its consolidated statement of operations and comprehensive loss or make any payments to Cornell under the terms of the Cornell License Agreements during the year ended December 31, 2021.</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b w:val="1"/>
          <w:bCs w:val="1"/>
          <w:color w:val="auto"/>
        </w:rPr>
        <w:t>Regents of the University of California, San Diego</w:t>
      </w:r>
      <w:r>
        <w:rPr>
          <w:rFonts w:ascii="Arial" w:cs="Arial" w:eastAsia="Arial" w:hAnsi="Arial"/>
          <w:sz w:val="16"/>
          <w:szCs w:val="16"/>
          <w:color w:val="auto"/>
        </w:rPr>
        <w:t>—Stelios, which was acquired by the Company in August 2021, entered into exclusive worldwide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agreements on April 23, 2020 and August 6, 2020 (the “First UCSD Agreement” and the “Second UCSD Agreement”, respectively) with the Regents of UCSD to in-license materials and intellectual property related to gene therapies for arrhythmogenic right ventricular cardiomyopathy and hypertrophic cardiomyopathy, respectively. The First UCSD Agreement and the Second UCSD Agreement relate to the Company’s development efforts for its LX2021 and LX2022 programs, respectively. In connection with the First UCSD Agreement and the Second UCSD Agreement, the Company gained access to inventions, patent rights, technology, and licensed methods that it continues to develop, and it has assumed all worldwide development and commercialization activities with respect to the licensed technologies. The First UCSD Agreement and Second UCSD Agreement required Stelios to pay one-time up-front non-refundable cash fees of $20,000 for each agreement, and required the Company to pay aggregate development and commercialization milestones of up to $4.75 million and $2.4 million, respectively, and low- to mid-single digit royalties and low-single digit royalties, respectively, based on aggregate net sales. The only research and development expenses incurred by Stelios or the Company and payments made to the Regents of UCSD to-date under the terms of the First UCSD Agreement and the Second UCSD Agreement were the one-time up-front non-refundable cash fees of $20,000 for each agreement. The Company has the right to terminate the First UCSD Agreement and the Second UCSD Agreement at any time upon a sixty (60)-day written notice to the Regents of UCSD.</w:t>
      </w:r>
    </w:p>
    <w:p>
      <w:pPr>
        <w:spacing w:after="0" w:line="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October 4, 2021, the Company entered into an exclusive worldwide license agreement (the “Third UCSD Agreement” and collectively with the First UCSD Agreement and the Second UCSD Agreement, the “UCSD Agreements”) with the Regents of UCSD to in-license materials and intellectual property related to a gene therapy for arrhythmogenic right ventricular cardiomyopathy. The Third UCSD Agreement relates to the Company’s development efforts for its LX2020 program. In connection with the Third UCSD Agreement, the Company gained access to inventions, patent rights, technology, and licensed methods that it continues to develop, and it has assumed all worldwide development and commercialization activities with respect to the licensed technology. The Third UCSD Agreement required the Company to pay a one-time up-front non-refundable cash fee of $20,000, aggregate development and commercialization milestones of up to $4.0 million, and low- to mid-single digit royalties based on aggregate net sales. The only research and development expenses incurred by the Company and payments made to the Regents of UCSD to-date under the terms of the Third UCSD Agreement were the one-time up-front non-refundable cash fee of $20,000. The Company has the right to terminate the Third UCSD Agreement at any time upon a sixty (60)-day written notice to the Regents of UCSD.</w:t>
      </w:r>
    </w:p>
    <w:p>
      <w:pPr>
        <w:spacing w:after="0" w:line="11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December 3, 2021, the Company entered into two sponsored research agreements with the Regents of UCSD (collectively, the “UCSD SRAs”) for the Company’s LX2020, LX2021 and LX2022 programs in connection with the UCSD Agreements. Under the terms of the UCSD SRAs, the Company has the first rights to obtain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non-exclusive or exclusive, sublicensable, royalty-bearing, perpetual and transferable worldwide licenses in any resulting inventions owned by the Regents of UCSD or resulting jointly owned inventions between the Company and the Regents of UCSD, and the Company retains the rights to any resulting inventions owned by the Company. The UCSD SRAs have a two-year term and may be terminated early by the Company at any time upon the giving of thirty (30) days written notice to the Regents of UCSD. The total costs to be invoiced to the Company under the terms of the UCSD SRAs are approximately $5.5 million, of which $2.3 million and $0.2 million were recorded in research and development expenses in the Company’s consolidated statements of operations and comprehensive loss during the years ended December 31, 2022 and 2021, respectively, and of which $2.8 million was paid for the year ended December 31, 2022. The Company did not make any payments to UCSD during the year ended December 31, 2021.</w:t>
      </w:r>
    </w:p>
    <w:p>
      <w:pPr>
        <w:spacing w:after="0" w:line="9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Weill Cornell Medical College</w:t>
      </w:r>
      <w:r>
        <w:rPr>
          <w:rFonts w:ascii="Arial" w:cs="Arial" w:eastAsia="Arial" w:hAnsi="Arial"/>
          <w:sz w:val="18"/>
          <w:szCs w:val="18"/>
          <w:color w:val="auto"/>
        </w:rPr>
        <w:t>—On February 2, 2021, the Company entered into a Research Collaboration Agreement with Weill Cornell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College (“WCM”) (the “WCM Agreement”) in conjunction with the Cornell License Agreements entered on May 27, 2020. The Company committed to fund scientific research at WCM to investigate further and potentially enhance the technology licensed to the Company pursuant to the License Agreements.</w:t>
      </w:r>
    </w:p>
    <w:p>
      <w:pPr>
        <w:spacing w:after="0" w:line="116"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Under the terms of the WCM Agreement, the Company will pay WCM at least $3.0 million over the course of 3 years, with equal $0.25 million payments due each quarter starting 10 days after the execution of the WCM Agreement. With respect to each WCM invention, joint invention, and related joint results for which an Improvement applies and the Company has made an election to amend the Agreements, the Company has the first option to negotiate in good faith with WCM for royalty-bearing, worldwide license, under Cornell patent rights, Cornell rights, and Cornell’s interest in joint patent rights, to develop, make, have made, use, offer for sale, sell, have sold, and import derived products in the field. Research and development costs incurred and paid by the Company related to the WCM Agreement were $6.1 million and $5.5 million, respectively, during the year ended December 31, 2022. Research and development costs incurred and paid by the Company related to the WCM Agreement were $2.8 million and $2.3 million during the year ended December 31, 2021.</w:t>
      </w:r>
    </w:p>
    <w:p>
      <w:pPr>
        <w:spacing w:after="0" w:line="97" w:lineRule="exact"/>
        <w:rPr>
          <w:sz w:val="20"/>
          <w:szCs w:val="20"/>
          <w:color w:val="auto"/>
        </w:rPr>
      </w:pPr>
    </w:p>
    <w:p>
      <w:pPr>
        <w:jc w:val="both"/>
        <w:ind w:left="120" w:right="460"/>
        <w:spacing w:after="0" w:line="342" w:lineRule="auto"/>
        <w:rPr>
          <w:sz w:val="20"/>
          <w:szCs w:val="20"/>
          <w:color w:val="auto"/>
        </w:rPr>
      </w:pPr>
      <w:r>
        <w:rPr>
          <w:rFonts w:ascii="Arial" w:cs="Arial" w:eastAsia="Arial" w:hAnsi="Arial"/>
          <w:sz w:val="16"/>
          <w:szCs w:val="16"/>
          <w:color w:val="auto"/>
        </w:rPr>
        <w:t>The WCM Agreement terminates upon the expiration of the agreed upon 3-year term. In addition, the WCM Agreement may be terminated by the Company in the event that the WCM principal investigator ceases to supervise the research and WCM is unable to or declines to find a substitute.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SUBSEQUENT EVENTS</w:t>
      </w:r>
    </w:p>
    <w:p>
      <w:pPr>
        <w:spacing w:after="0" w:line="13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Subsequent events have been evaluated through March 31, 2023, which is the date that these consolidated financial statements were issued and were available to be issued.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Condensed Consolidated Balance Sheets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9"/>
              </w:rPr>
              <w:t>June 30,</w:t>
            </w:r>
          </w:p>
        </w:tc>
        <w:tc>
          <w:tcPr>
            <w:tcW w:w="10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202"/>
        </w:trPr>
        <w:tc>
          <w:tcPr>
            <w:tcW w:w="86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r>
      <w:tr>
        <w:trPr>
          <w:trHeight w:val="47"/>
        </w:trPr>
        <w:tc>
          <w:tcPr>
            <w:tcW w:w="8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45,539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77,335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1,934</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48,712</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998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right-of-use assets—finance,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right-of-use assets—operating</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10,079</w:t>
            </w: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10,708</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64,939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97,076</w:t>
            </w:r>
          </w:p>
        </w:tc>
      </w:tr>
      <w:tr>
        <w:trPr>
          <w:trHeight w:val="291"/>
        </w:trPr>
        <w:tc>
          <w:tcPr>
            <w:tcW w:w="8680" w:type="dxa"/>
            <w:vAlign w:val="bottom"/>
          </w:tcPr>
          <w:p>
            <w:pPr>
              <w:spacing w:after="0"/>
              <w:rPr>
                <w:sz w:val="20"/>
                <w:szCs w:val="20"/>
                <w:color w:val="auto"/>
              </w:rPr>
            </w:pPr>
            <w:r>
              <w:rPr>
                <w:rFonts w:ascii="Arial" w:cs="Arial" w:eastAsia="Arial" w:hAnsi="Arial"/>
                <w:sz w:val="18"/>
                <w:szCs w:val="18"/>
                <w:color w:val="auto"/>
              </w:rPr>
              <w:t>Liabilities, Convertible Preferred Stock and Stockholders’ Deficit</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8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7,217</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liabilities—finance</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liabilities—operating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2,265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8"/>
                <w:szCs w:val="18"/>
                <w:color w:val="auto"/>
              </w:rPr>
            </w:pPr>
          </w:p>
        </w:tc>
      </w:tr>
      <w:tr>
        <w:trPr>
          <w:trHeight w:val="224"/>
        </w:trPr>
        <w:tc>
          <w:tcPr>
            <w:tcW w:w="86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13,660</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7"/>
        </w:trPr>
        <w:tc>
          <w:tcPr>
            <w:tcW w:w="8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Non-current portion of lease liabilities—finance</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portion of lease liabilities—operating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8,411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23,525</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4"/>
        </w:trPr>
        <w:tc>
          <w:tcPr>
            <w:tcW w:w="8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Series A convertible preferred stock, $0.0001 par value; 85,495,722 shares authorized, issued, and outstanding as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of June 30, 2023 and December 31, 2022; aggregate liquidation value of $85,496 as of June 30, 2023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2022</w:t>
            </w:r>
          </w:p>
        </w:tc>
        <w:tc>
          <w:tcPr>
            <w:tcW w:w="10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85,268</w:t>
            </w:r>
          </w:p>
        </w:tc>
        <w:tc>
          <w:tcPr>
            <w:tcW w:w="20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85,268</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convertible preferred stock, $0.0001 par value; 58,157,824 shares authorized as of June 30, 2023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December 31, 2022; 58,157,823 shares issued and outstanding as of June 30, 2023 and December 31, 2022;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liquidation value of $100,060 as of June 30, 2023 and December 31, 2022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99,765</w:t>
            </w: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99,765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and members’ deficit: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$0.0001 par value, 18,125,051 shares authorized as of June 30, 2023 and December 31, 2022;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1,652,570 shares issued and 1,622,054 shares outstanding as of June 30, 2023; 1,648,734 shares issued and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1,607,185 shares outstanding as of December 31, 2022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(147,545)</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(115,446)</w:t>
            </w: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0"/>
              </w:rPr>
              <w:t>(143,619)</w:t>
            </w: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(112,954)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convertible preferred stock,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64,939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97,076</w:t>
            </w:r>
          </w:p>
        </w:tc>
      </w:tr>
      <w:tr>
        <w:trPr>
          <w:trHeight w:val="216"/>
        </w:trPr>
        <w:tc>
          <w:tcPr>
            <w:tcW w:w="8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Condensed Consolidated Statements of Operations and Comprehensive Loss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r>
      <w:tr>
        <w:trPr>
          <w:trHeight w:val="202"/>
        </w:trPr>
        <w:tc>
          <w:tcPr>
            <w:tcW w:w="6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r>
      <w:tr>
        <w:trPr>
          <w:trHeight w:val="48"/>
        </w:trPr>
        <w:tc>
          <w:tcPr>
            <w:tcW w:w="6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Grant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123</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r>
      <w:tr>
        <w:trPr>
          <w:trHeight w:val="291"/>
        </w:trPr>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11,236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27,674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22,413</w:t>
            </w: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2,739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3,081</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5,592</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13,975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33,266</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27,953</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(13,975)</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(15,311)</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(33,266)</w:t>
            </w: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4"/>
        </w:trPr>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194</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1,167</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(13,441)</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(15,143)</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(32,099)</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(13,441)</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(15,143)</w:t>
            </w: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(32,099)</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(17.10)</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outstanding used in computation of net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loss per common share, basic and diluted</w:t>
            </w:r>
          </w:p>
        </w:tc>
        <w:tc>
          <w:tcPr>
            <w:tcW w:w="100" w:type="dxa"/>
            <w:vAlign w:val="bottom"/>
          </w:tcPr>
          <w:p>
            <w:pPr>
              <w:spacing w:after="0"/>
              <w:rPr>
                <w:sz w:val="20"/>
                <w:szCs w:val="20"/>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87"/>
              </w:rPr>
              <w:t>1,619,547</w:t>
            </w:r>
          </w:p>
        </w:tc>
        <w:tc>
          <w:tcPr>
            <w:tcW w:w="3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1,641,411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87"/>
              </w:rPr>
              <w:t>1,615,194</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1,616,711</w:t>
            </w:r>
          </w:p>
        </w:tc>
        <w:tc>
          <w:tcPr>
            <w:tcW w:w="100" w:type="dxa"/>
            <w:vAlign w:val="bottom"/>
          </w:tcPr>
          <w:p>
            <w:pPr>
              <w:spacing w:after="0"/>
              <w:rPr>
                <w:sz w:val="20"/>
                <w:szCs w:val="20"/>
                <w:color w:val="auto"/>
              </w:rPr>
            </w:pPr>
          </w:p>
        </w:tc>
      </w:tr>
      <w:tr>
        <w:trPr>
          <w:trHeight w:val="216"/>
        </w:trPr>
        <w:tc>
          <w:tcPr>
            <w:tcW w:w="6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auto"/>
        </w:rPr>
        <w:t>Condensed Consolidated Statements of Convertible Preferred Stock and Stockholders’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Deficit</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in thousands, except share amounts)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Convertible Preferred</w:t>
            </w:r>
          </w:p>
        </w:tc>
        <w:tc>
          <w:tcPr>
            <w:tcW w:w="30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vMerge w:val="restart"/>
          </w:tcPr>
          <w:p>
            <w:pPr>
              <w:jc w:val="right"/>
              <w:ind w:right="189"/>
              <w:spacing w:after="0"/>
              <w:rPr>
                <w:sz w:val="20"/>
                <w:szCs w:val="20"/>
                <w:color w:val="auto"/>
              </w:rPr>
            </w:pPr>
            <w:r>
              <w:rPr>
                <w:rFonts w:ascii="Arial" w:cs="Arial" w:eastAsia="Arial" w:hAnsi="Arial"/>
                <w:sz w:val="13"/>
                <w:szCs w:val="13"/>
                <w:b w:val="1"/>
                <w:bCs w:val="1"/>
                <w:color w:val="auto"/>
              </w:rPr>
              <w:t>Additional</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Stock</w:t>
            </w:r>
          </w:p>
        </w:tc>
        <w:tc>
          <w:tcPr>
            <w:tcW w:w="30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9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w w:val="96"/>
              </w:rPr>
              <w:t>Paid-in</w:t>
            </w: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Accumulated</w:t>
            </w:r>
          </w:p>
        </w:tc>
        <w:tc>
          <w:tcPr>
            <w:tcW w:w="110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gridSpan w:val="2"/>
            <w:vMerge w:val="restart"/>
          </w:tcPr>
          <w:p>
            <w:pPr>
              <w:jc w:val="right"/>
              <w:ind w:right="329"/>
              <w:spacing w:after="0"/>
              <w:rPr>
                <w:sz w:val="20"/>
                <w:szCs w:val="20"/>
                <w:color w:val="auto"/>
              </w:rPr>
            </w:pPr>
            <w:r>
              <w:rPr>
                <w:rFonts w:ascii="Arial" w:cs="Arial" w:eastAsia="Arial" w:hAnsi="Arial"/>
                <w:sz w:val="13"/>
                <w:szCs w:val="13"/>
                <w:b w:val="1"/>
                <w:bCs w:val="1"/>
                <w:color w:val="auto"/>
              </w:rPr>
              <w:t>Shares</w:t>
            </w:r>
          </w:p>
        </w:tc>
        <w:tc>
          <w:tcPr>
            <w:tcW w:w="3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6"/>
              </w:rPr>
              <w:t>Capital</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January 1, 2022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143,653,545</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$ 185,013</w:t>
            </w: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w w:val="96"/>
              </w:rPr>
              <w:t>1,580,651</w:t>
            </w:r>
          </w:p>
        </w:tc>
        <w:tc>
          <w:tcPr>
            <w:tcW w:w="32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567</w:t>
            </w:r>
          </w:p>
        </w:tc>
        <w:tc>
          <w:tcPr>
            <w:tcW w:w="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(56,169)</w:t>
            </w:r>
          </w:p>
        </w:tc>
        <w:tc>
          <w:tcPr>
            <w:tcW w:w="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(55,602)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A convertible preferred stock</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3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48,313</w:t>
            </w:r>
          </w:p>
        </w:tc>
        <w:tc>
          <w:tcPr>
            <w:tcW w:w="3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235</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line="130" w:lineRule="exact"/>
              <w:rPr>
                <w:sz w:val="20"/>
                <w:szCs w:val="20"/>
                <w:color w:val="auto"/>
              </w:rPr>
            </w:pPr>
            <w:r>
              <w:rPr>
                <w:rFonts w:ascii="Arial" w:cs="Arial" w:eastAsia="Arial" w:hAnsi="Arial"/>
                <w:sz w:val="14"/>
                <w:szCs w:val="14"/>
                <w:color w:val="auto"/>
              </w:rPr>
              <w:t>Proceeds received from early exercise of unvested stock</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40"/>
              <w:spacing w:after="0" w:line="149" w:lineRule="exact"/>
              <w:rPr>
                <w:sz w:val="20"/>
                <w:szCs w:val="20"/>
                <w:color w:val="auto"/>
              </w:rPr>
            </w:pPr>
            <w:r>
              <w:rPr>
                <w:rFonts w:ascii="Arial" w:cs="Arial" w:eastAsia="Arial" w:hAnsi="Arial"/>
                <w:sz w:val="14"/>
                <w:szCs w:val="14"/>
                <w:color w:val="auto"/>
              </w:rPr>
              <w:t>options subject to repurchase and recorded as deposit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69"/>
              <w:spacing w:after="0"/>
              <w:rPr>
                <w:sz w:val="20"/>
                <w:szCs w:val="20"/>
                <w:color w:val="auto"/>
              </w:rPr>
            </w:pPr>
            <w:r>
              <w:rPr>
                <w:rFonts w:ascii="Arial" w:cs="Arial" w:eastAsia="Arial" w:hAnsi="Arial"/>
                <w:sz w:val="14"/>
                <w:szCs w:val="14"/>
                <w:color w:val="auto"/>
              </w:rPr>
              <w:t>(60,333)</w:t>
            </w:r>
          </w:p>
        </w:tc>
        <w:tc>
          <w:tcPr>
            <w:tcW w:w="320" w:type="dxa"/>
            <w:vAlign w:val="bottom"/>
          </w:tcPr>
          <w:p>
            <w:pPr>
              <w:spacing w:after="0"/>
              <w:rPr>
                <w:sz w:val="14"/>
                <w:szCs w:val="14"/>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(235)</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275</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(12,502)</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March 31, 2022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143,653,545</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$ 185,033</w:t>
            </w: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w w:val="96"/>
              </w:rPr>
              <w:t>1,568,631</w:t>
            </w:r>
          </w:p>
        </w:tc>
        <w:tc>
          <w:tcPr>
            <w:tcW w:w="32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842</w:t>
            </w:r>
          </w:p>
        </w:tc>
        <w:tc>
          <w:tcPr>
            <w:tcW w:w="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(68,671)</w:t>
            </w:r>
          </w:p>
        </w:tc>
        <w:tc>
          <w:tcPr>
            <w:tcW w:w="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(67,829)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Exercise of stock options</w:t>
            </w: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329"/>
              <w:spacing w:after="0" w:line="155" w:lineRule="exact"/>
              <w:rPr>
                <w:sz w:val="20"/>
                <w:szCs w:val="20"/>
                <w:color w:val="auto"/>
              </w:rPr>
            </w:pPr>
            <w:r>
              <w:rPr>
                <w:rFonts w:ascii="Arial" w:cs="Arial" w:eastAsia="Arial" w:hAnsi="Arial"/>
                <w:sz w:val="14"/>
                <w:szCs w:val="14"/>
                <w:color w:val="auto"/>
              </w:rPr>
              <w:t>14,158</w:t>
            </w:r>
          </w:p>
        </w:tc>
        <w:tc>
          <w:tcPr>
            <w:tcW w:w="3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69</w:t>
            </w: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0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Proceeds received from early exercise of unvested stock</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options subject to repurchase and recorded as deposit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liabilities, net of amounts reclassified from deposit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liabilities upon the vesting of early-exercised stock options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previously subject to repurchase</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(9,832)</w:t>
            </w:r>
          </w:p>
        </w:tc>
        <w:tc>
          <w:tcPr>
            <w:tcW w:w="3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(69)</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554</w:t>
            </w:r>
          </w:p>
        </w:tc>
        <w:tc>
          <w:tcPr>
            <w:tcW w:w="3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(15,143)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Balances at June 30, 2022</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2"/>
              </w:rPr>
              <w:t>143,653,545</w:t>
            </w:r>
          </w:p>
        </w:tc>
        <w:tc>
          <w:tcPr>
            <w:tcW w:w="700" w:type="dxa"/>
            <w:vAlign w:val="bottom"/>
            <w:tcBorders>
              <w:top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color w:val="auto"/>
              </w:rPr>
              <w:t>185,033</w:t>
            </w:r>
          </w:p>
        </w:tc>
        <w:tc>
          <w:tcPr>
            <w:tcW w:w="30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329"/>
              <w:spacing w:after="0" w:line="155" w:lineRule="exact"/>
              <w:rPr>
                <w:sz w:val="20"/>
                <w:szCs w:val="20"/>
                <w:color w:val="auto"/>
              </w:rPr>
            </w:pPr>
            <w:r>
              <w:rPr>
                <w:rFonts w:ascii="Arial" w:cs="Arial" w:eastAsia="Arial" w:hAnsi="Arial"/>
                <w:sz w:val="14"/>
                <w:szCs w:val="14"/>
                <w:color w:val="auto"/>
                <w:w w:val="96"/>
              </w:rPr>
              <w:t>1,572,957</w:t>
            </w:r>
          </w:p>
        </w:tc>
        <w:tc>
          <w:tcPr>
            <w:tcW w:w="3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1,396</w:t>
            </w: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(83,814)</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(82,418)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7"/>
            <w:vMerge w:val="restart"/>
          </w:tcPr>
          <w:p>
            <w:pPr>
              <w:jc w:val="right"/>
              <w:ind w:right="100"/>
              <w:spacing w:after="0"/>
              <w:rPr>
                <w:sz w:val="20"/>
                <w:szCs w:val="20"/>
                <w:color w:val="auto"/>
              </w:rPr>
            </w:pPr>
            <w:r>
              <w:rPr>
                <w:rFonts w:ascii="Arial" w:cs="Arial" w:eastAsia="Arial" w:hAnsi="Arial"/>
                <w:sz w:val="13"/>
                <w:szCs w:val="13"/>
                <w:b w:val="1"/>
                <w:bCs w:val="1"/>
                <w:color w:val="auto"/>
                <w:w w:val="97"/>
              </w:rPr>
              <w:t>Convertible Preferred Stock</w:t>
            </w: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5"/>
            <w:vMerge w:val="restart"/>
          </w:tcPr>
          <w:p>
            <w:pPr>
              <w:jc w:val="right"/>
              <w:ind w:right="80"/>
              <w:spacing w:after="0"/>
              <w:rPr>
                <w:sz w:val="20"/>
                <w:szCs w:val="20"/>
                <w:color w:val="auto"/>
              </w:rPr>
            </w:pPr>
            <w:r>
              <w:rPr>
                <w:rFonts w:ascii="Arial" w:cs="Arial" w:eastAsia="Arial" w:hAnsi="Arial"/>
                <w:sz w:val="13"/>
                <w:szCs w:val="13"/>
                <w:b w:val="1"/>
                <w:bCs w:val="1"/>
                <w:color w:val="auto"/>
              </w:rPr>
              <w:t>Common Stock</w:t>
            </w:r>
          </w:p>
        </w:tc>
        <w:tc>
          <w:tcPr>
            <w:tcW w:w="96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Additional</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7"/>
        </w:trPr>
        <w:tc>
          <w:tcPr>
            <w:tcW w:w="4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gridSpan w:val="7"/>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Paid-in</w:t>
            </w: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5"/>
                <w:szCs w:val="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62"/>
        </w:trPr>
        <w:tc>
          <w:tcPr>
            <w:tcW w:w="4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8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Capital</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January 1, 2023</w:t>
            </w: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143,653,545</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185,033</w:t>
            </w:r>
          </w:p>
        </w:tc>
        <w:tc>
          <w:tcPr>
            <w:tcW w:w="140" w:type="dxa"/>
            <w:vAlign w:val="bottom"/>
            <w:tcBorders>
              <w:righ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1,607,185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2,492</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(115,446)</w:t>
            </w: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(112,954)</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00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Amounts reclassified from deposit liabilities upon the vesting of</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early-exercised stock options previously subject to repurchase, net</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of proceeds received from early exercise of unvested stock options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subject to repurchase and recorded as deposit liabilities</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5,325</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397</w:t>
            </w:r>
          </w:p>
        </w:tc>
        <w:tc>
          <w:tcPr>
            <w:tcW w:w="34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(18,658)</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(18,658)</w:t>
            </w:r>
          </w:p>
        </w:tc>
        <w:tc>
          <w:tcPr>
            <w:tcW w:w="0" w:type="dxa"/>
            <w:vAlign w:val="bottom"/>
          </w:tcPr>
          <w:p>
            <w:pPr>
              <w:spacing w:after="0"/>
              <w:rPr>
                <w:sz w:val="1"/>
                <w:szCs w:val="1"/>
                <w:color w:val="auto"/>
              </w:rPr>
            </w:pPr>
          </w:p>
        </w:tc>
      </w:tr>
      <w:tr>
        <w:trPr>
          <w:trHeight w:val="163"/>
        </w:trPr>
        <w:tc>
          <w:tcPr>
            <w:tcW w:w="4000" w:type="dxa"/>
            <w:vAlign w:val="bottom"/>
          </w:tcPr>
          <w:p>
            <w:pPr>
              <w:spacing w:after="0" w:line="155" w:lineRule="exact"/>
              <w:rPr>
                <w:sz w:val="20"/>
                <w:szCs w:val="20"/>
                <w:color w:val="auto"/>
              </w:rPr>
            </w:pPr>
            <w:r>
              <w:rPr>
                <w:rFonts w:ascii="Arial" w:cs="Arial" w:eastAsia="Arial" w:hAnsi="Arial"/>
                <w:sz w:val="14"/>
                <w:szCs w:val="14"/>
                <w:color w:val="auto"/>
              </w:rPr>
              <w:t>Balances at March 31, 2023</w:t>
            </w:r>
          </w:p>
        </w:tc>
        <w:tc>
          <w:tcPr>
            <w:tcW w:w="280" w:type="dxa"/>
            <w:vAlign w:val="bottom"/>
          </w:tcPr>
          <w:p>
            <w:pPr>
              <w:spacing w:after="0"/>
              <w:rPr>
                <w:sz w:val="14"/>
                <w:szCs w:val="14"/>
                <w:color w:val="auto"/>
              </w:rPr>
            </w:pPr>
          </w:p>
        </w:tc>
        <w:tc>
          <w:tcPr>
            <w:tcW w:w="9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143,653,545</w:t>
            </w:r>
          </w:p>
        </w:tc>
        <w:tc>
          <w:tcPr>
            <w:tcW w:w="2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w w:val="94"/>
              </w:rPr>
              <w:t>185,033</w:t>
            </w:r>
          </w:p>
        </w:tc>
        <w:tc>
          <w:tcPr>
            <w:tcW w:w="140" w:type="dxa"/>
            <w:vAlign w:val="bottom"/>
            <w:tcBorders>
              <w:top w:val="single" w:sz="8" w:color="auto"/>
              <w:bottom w:val="single" w:sz="8" w:color="auto"/>
              <w:right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1,614,004</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2,922</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(134,104)</w:t>
            </w:r>
          </w:p>
        </w:tc>
        <w:tc>
          <w:tcPr>
            <w:tcW w:w="1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(131,182)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2,342</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9</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4000" w:type="dxa"/>
            <w:vAlign w:val="bottom"/>
          </w:tcPr>
          <w:p>
            <w:pPr>
              <w:spacing w:after="0" w:line="130" w:lineRule="exact"/>
              <w:rPr>
                <w:sz w:val="20"/>
                <w:szCs w:val="20"/>
                <w:color w:val="auto"/>
              </w:rPr>
            </w:pPr>
            <w:r>
              <w:rPr>
                <w:rFonts w:ascii="Arial" w:cs="Arial" w:eastAsia="Arial" w:hAnsi="Arial"/>
                <w:sz w:val="14"/>
                <w:szCs w:val="14"/>
                <w:color w:val="auto"/>
              </w:rPr>
              <w:t>Amounts reclassified from deposit liabilities upon the vesting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40"/>
              <w:spacing w:after="0" w:line="149" w:lineRule="exact"/>
              <w:rPr>
                <w:sz w:val="20"/>
                <w:szCs w:val="20"/>
                <w:color w:val="auto"/>
              </w:rPr>
            </w:pPr>
            <w:r>
              <w:rPr>
                <w:rFonts w:ascii="Arial" w:cs="Arial" w:eastAsia="Arial" w:hAnsi="Arial"/>
                <w:sz w:val="14"/>
                <w:szCs w:val="14"/>
                <w:color w:val="auto"/>
                <w:w w:val="92"/>
              </w:rPr>
              <w:t>early-exercised stock options previously subject to repurchase, net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40"/>
              <w:spacing w:after="0" w:line="149" w:lineRule="exact"/>
              <w:rPr>
                <w:sz w:val="20"/>
                <w:szCs w:val="20"/>
                <w:color w:val="auto"/>
              </w:rPr>
            </w:pPr>
            <w:r>
              <w:rPr>
                <w:rFonts w:ascii="Arial" w:cs="Arial" w:eastAsia="Arial" w:hAnsi="Arial"/>
                <w:sz w:val="14"/>
                <w:szCs w:val="14"/>
                <w:color w:val="auto"/>
                <w:w w:val="92"/>
              </w:rPr>
              <w:t>of proceeds received from early exercise of unvested stock options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40"/>
              <w:spacing w:after="0"/>
              <w:rPr>
                <w:sz w:val="20"/>
                <w:szCs w:val="20"/>
                <w:color w:val="auto"/>
              </w:rPr>
            </w:pPr>
            <w:r>
              <w:rPr>
                <w:rFonts w:ascii="Arial" w:cs="Arial" w:eastAsia="Arial" w:hAnsi="Arial"/>
                <w:sz w:val="14"/>
                <w:szCs w:val="14"/>
                <w:color w:val="auto"/>
              </w:rPr>
              <w:t>subject to repurchase and recorded as deposit liabilities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5,708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969</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(13,441)</w:t>
            </w:r>
          </w:p>
        </w:tc>
        <w:tc>
          <w:tcPr>
            <w:tcW w:w="1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(13,441)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June 30, 2023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143,653,545</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185,033</w:t>
            </w:r>
          </w:p>
        </w:tc>
        <w:tc>
          <w:tcPr>
            <w:tcW w:w="140" w:type="dxa"/>
            <w:vAlign w:val="bottom"/>
            <w:tcBorders>
              <w:righ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1,622,054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3,926</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(147,545)</w:t>
            </w: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26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Lexeo Therapeutics, Inc.</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Condensed Consolidated Statements of Cash Flows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0"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June 30,</w:t>
      </w:r>
    </w:p>
    <w:p>
      <w:pPr>
        <w:spacing w:after="0" w:line="24" w:lineRule="exact"/>
        <w:rPr>
          <w:sz w:val="20"/>
          <w:szCs w:val="20"/>
          <w:color w:val="auto"/>
        </w:rPr>
      </w:pPr>
    </w:p>
    <w:p>
      <w:pPr>
        <w:jc w:val="both"/>
        <w:ind w:left="9740"/>
        <w:spacing w:after="0"/>
        <w:tabs>
          <w:tab w:leader="none" w:pos="1068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-116205</wp:posOffset>
            </wp:positionV>
            <wp:extent cx="9861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loss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1289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right-of-use asset, operating</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right-of-use assets,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Stock based compensation expense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Changes in operating assets and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Accounts payable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 in deferred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Accrued expenses and other current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Lease liability, operating</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1289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of internal 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Purchase of property and equipment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1289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issuance of series A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Proceeds from exercise of stock options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Payments on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$(32,099)</w:t>
      </w:r>
      <w:r>
        <w:rPr>
          <w:sz w:val="20"/>
          <w:szCs w:val="20"/>
          <w:color w:val="auto"/>
        </w:rPr>
        <w:tab/>
      </w:r>
      <w:r>
        <w:rPr>
          <w:rFonts w:ascii="Arial" w:cs="Arial" w:eastAsia="Arial" w:hAnsi="Arial"/>
          <w:sz w:val="15"/>
          <w:szCs w:val="15"/>
          <w:color w:val="auto"/>
        </w:rPr>
        <w:t>$ (27,645)</w:t>
      </w:r>
    </w:p>
    <w:p>
      <w:pPr>
        <w:spacing w:after="0" w:line="289" w:lineRule="exact"/>
        <w:rPr>
          <w:sz w:val="20"/>
          <w:szCs w:val="20"/>
          <w:color w:val="auto"/>
        </w:rPr>
      </w:pPr>
    </w:p>
    <w:p>
      <w:pPr>
        <w:ind w:left="1300" w:hanging="958"/>
        <w:spacing w:after="0"/>
        <w:tabs>
          <w:tab w:leader="none" w:pos="13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291</w:t>
      </w:r>
    </w:p>
    <w:p>
      <w:pPr>
        <w:spacing w:after="0" w:line="22" w:lineRule="exact"/>
        <w:rPr>
          <w:rFonts w:ascii="Arial" w:cs="Arial" w:eastAsia="Arial" w:hAnsi="Arial"/>
          <w:sz w:val="16"/>
          <w:szCs w:val="16"/>
          <w:color w:val="auto"/>
        </w:rPr>
      </w:pPr>
    </w:p>
    <w:p>
      <w:pPr>
        <w:ind w:left="1380" w:hanging="1038"/>
        <w:spacing w:after="0"/>
        <w:tabs>
          <w:tab w:leader="none" w:pos="13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35</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40" w:type="dxa"/>
            <w:vAlign w:val="bottom"/>
          </w:tcPr>
          <w:p>
            <w:pPr>
              <w:jc w:val="right"/>
              <w:ind w:right="199"/>
              <w:spacing w:after="0"/>
              <w:rPr>
                <w:sz w:val="20"/>
                <w:szCs w:val="20"/>
                <w:color w:val="auto"/>
              </w:rPr>
            </w:pPr>
            <w:r>
              <w:rPr>
                <w:rFonts w:ascii="Arial" w:cs="Arial" w:eastAsia="Arial" w:hAnsi="Arial"/>
                <w:sz w:val="16"/>
                <w:szCs w:val="16"/>
                <w:color w:val="auto"/>
                <w:w w:val="84"/>
              </w:rPr>
              <w:t>1,366</w:t>
            </w:r>
          </w:p>
        </w:tc>
        <w:tc>
          <w:tcPr>
            <w:tcW w:w="74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206"/>
        </w:trPr>
        <w:tc>
          <w:tcPr>
            <w:tcW w:w="64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05"/>
        </w:trPr>
        <w:tc>
          <w:tcPr>
            <w:tcW w:w="640" w:type="dxa"/>
            <w:vAlign w:val="bottom"/>
          </w:tcPr>
          <w:p>
            <w:pPr>
              <w:jc w:val="right"/>
              <w:ind w:right="199"/>
              <w:spacing w:after="0"/>
              <w:rPr>
                <w:sz w:val="20"/>
                <w:szCs w:val="20"/>
                <w:color w:val="auto"/>
              </w:rPr>
            </w:pPr>
            <w:r>
              <w:rPr>
                <w:rFonts w:ascii="Arial" w:cs="Arial" w:eastAsia="Arial" w:hAnsi="Arial"/>
                <w:sz w:val="16"/>
                <w:szCs w:val="16"/>
                <w:color w:val="auto"/>
              </w:rPr>
              <w:t>336</w:t>
            </w:r>
          </w:p>
        </w:tc>
        <w:tc>
          <w:tcPr>
            <w:tcW w:w="740" w:type="dxa"/>
            <w:vAlign w:val="bottom"/>
          </w:tcPr>
          <w:p>
            <w:pPr>
              <w:jc w:val="right"/>
              <w:spacing w:after="0"/>
              <w:rPr>
                <w:sz w:val="20"/>
                <w:szCs w:val="20"/>
                <w:color w:val="auto"/>
              </w:rPr>
            </w:pPr>
            <w:r>
              <w:rPr>
                <w:rFonts w:ascii="Arial" w:cs="Arial" w:eastAsia="Arial" w:hAnsi="Arial"/>
                <w:sz w:val="16"/>
                <w:szCs w:val="16"/>
                <w:color w:val="auto"/>
              </w:rPr>
              <w:t>(1,504)</w:t>
            </w:r>
          </w:p>
        </w:tc>
      </w:tr>
    </w:tbl>
    <w:p>
      <w:pPr>
        <w:ind w:left="1300" w:hanging="1011"/>
        <w:spacing w:after="0"/>
        <w:tabs>
          <w:tab w:leader="none" w:pos="1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741</w:t>
      </w:r>
    </w:p>
    <w:p>
      <w:pPr>
        <w:spacing w:after="0" w:line="1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(46)</w:t>
      </w:r>
    </w:p>
    <w:p>
      <w:pPr>
        <w:spacing w:after="0" w:line="19" w:lineRule="exact"/>
        <w:rPr>
          <w:sz w:val="20"/>
          <w:szCs w:val="20"/>
          <w:color w:val="auto"/>
        </w:rPr>
      </w:pPr>
    </w:p>
    <w:p>
      <w:pPr>
        <w:ind w:left="1180" w:hanging="891"/>
        <w:spacing w:after="0"/>
        <w:tabs>
          <w:tab w:leader="none" w:pos="11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1,176</w:t>
      </w:r>
    </w:p>
    <w:p>
      <w:pPr>
        <w:spacing w:after="0" w:line="19" w:lineRule="exact"/>
        <w:rPr>
          <w:sz w:val="20"/>
          <w:szCs w:val="20"/>
          <w:color w:val="auto"/>
        </w:rPr>
      </w:pPr>
    </w:p>
    <w:p>
      <w:pPr>
        <w:ind w:left="1240" w:hanging="951"/>
        <w:spacing w:after="0"/>
        <w:tabs>
          <w:tab w:leader="none" w:pos="12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(130)</w:t>
      </w:r>
    </w:p>
    <w:p>
      <w:pPr>
        <w:spacing w:after="0" w:line="30" w:lineRule="exact"/>
        <w:rPr>
          <w:sz w:val="20"/>
          <w:szCs w:val="20"/>
          <w:color w:val="auto"/>
        </w:rPr>
      </w:pPr>
    </w:p>
    <w:p>
      <w:pPr>
        <w:ind w:left="1380" w:hanging="1085"/>
        <w:spacing w:after="0"/>
        <w:tabs>
          <w:tab w:leader="none" w:pos="13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9861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5"/>
          <w:szCs w:val="15"/>
          <w:color w:val="auto"/>
        </w:rPr>
        <w:t>(31,566)</w:t>
      </w:r>
      <w:r>
        <w:rPr>
          <w:sz w:val="20"/>
          <w:szCs w:val="20"/>
          <w:color w:val="auto"/>
        </w:rPr>
        <w:tab/>
      </w:r>
      <w:r>
        <w:rPr>
          <w:rFonts w:ascii="Arial" w:cs="Arial" w:eastAsia="Arial" w:hAnsi="Arial"/>
          <w:sz w:val="15"/>
          <w:szCs w:val="15"/>
          <w:color w:val="auto"/>
        </w:rPr>
        <w:t>(26,145)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861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(103)</w:t>
      </w:r>
    </w:p>
    <w:p>
      <w:pPr>
        <w:spacing w:after="0" w:line="22" w:lineRule="exact"/>
        <w:rPr>
          <w:sz w:val="20"/>
          <w:szCs w:val="20"/>
          <w:color w:val="auto"/>
        </w:rPr>
      </w:pPr>
    </w:p>
    <w:p>
      <w:pPr>
        <w:ind w:left="1240" w:hanging="870"/>
        <w:spacing w:after="0"/>
        <w:tabs>
          <w:tab w:leader="none" w:pos="124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9861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3" w:lineRule="exact"/>
        <w:rPr>
          <w:sz w:val="20"/>
          <w:szCs w:val="20"/>
          <w:color w:val="auto"/>
        </w:rPr>
      </w:pPr>
    </w:p>
    <w:p>
      <w:pPr>
        <w:ind w:left="1240" w:hanging="870"/>
        <w:spacing w:after="0"/>
        <w:tabs>
          <w:tab w:leader="none" w:pos="124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861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20</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21</w:t>
      </w:r>
      <w:r>
        <w:rPr>
          <w:rFonts w:ascii="Arial" w:cs="Arial" w:eastAsia="Arial" w:hAnsi="Arial"/>
          <w:sz w:val="14"/>
          <w:szCs w:val="14"/>
          <w:color w:val="auto"/>
        </w:rPr>
        <w:t>304</w:t>
      </w:r>
    </w:p>
    <w:p>
      <w:pPr>
        <w:spacing w:after="0" w:line="19" w:lineRule="exact"/>
        <w:rPr>
          <w:sz w:val="20"/>
          <w:szCs w:val="20"/>
          <w:color w:val="auto"/>
        </w:rPr>
      </w:pPr>
    </w:p>
    <w:p>
      <w:pPr>
        <w:ind w:left="1320" w:hanging="1031"/>
        <w:spacing w:after="0"/>
        <w:tabs>
          <w:tab w:leader="none" w:pos="13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(19)</w:t>
      </w:r>
    </w:p>
    <w:p>
      <w:pPr>
        <w:spacing w:after="0" w:line="30" w:lineRule="exact"/>
        <w:rPr>
          <w:sz w:val="20"/>
          <w:szCs w:val="20"/>
          <w:color w:val="auto"/>
        </w:rPr>
      </w:pPr>
    </w:p>
    <w:p>
      <w:pPr>
        <w:sectPr>
          <w:pgSz w:w="11900" w:h="16838" w:orient="portrait"/>
          <w:cols w:equalWidth="0" w:num="2">
            <w:col w:w="8760" w:space="720"/>
            <w:col w:w="16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9020" w:type="dxa"/>
            <w:vAlign w:val="bottom"/>
          </w:tcPr>
          <w:p>
            <w:pPr>
              <w:ind w:left="16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0"/>
              </w:rPr>
              <w:t>(31,797)</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(26,234)</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6"/>
                <w:szCs w:val="16"/>
                <w:color w:val="auto"/>
              </w:rPr>
              <w:t>Total cash, cash equivalents and restricted cash at beginning of period</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8"/>
              </w:rPr>
              <w:t>80,588</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48,791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109,626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77,335</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135,860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included in long-term assets at beginning of period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3,253</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cash, cash equivalents and restricted cash at beginning of period</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80,588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45,539</w:t>
            </w: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106,643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6"/>
                <w:szCs w:val="16"/>
                <w:color w:val="auto"/>
              </w:rPr>
              <w:t>Restricted cash included in long-term assets at end of period</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3,252</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48,791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109,626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90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Purchase of property and equipment included in accounts payable and accrued expenses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 and operating lease liabilities recognized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11,585</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Finance lease right-of use assets and finance lease liabilities recognized</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w w:val="95"/>
              </w:rPr>
              <w:t>Amounts reclassified from deposit liabilities upon the vesting of early-exercised stock options previously subject to repurchase, net of</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received from early exercise of unvested stock options subject to repurchase and recorded as deposit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LEXEO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DESCRIPTION OF BUSINESS AND BASIS OF PRESENTATION</w:t>
      </w:r>
    </w:p>
    <w:p>
      <w:pPr>
        <w:spacing w:after="0" w:line="148" w:lineRule="exact"/>
        <w:rPr>
          <w:sz w:val="20"/>
          <w:szCs w:val="20"/>
          <w:color w:val="auto"/>
        </w:rPr>
      </w:pPr>
    </w:p>
    <w:p>
      <w:pPr>
        <w:ind w:left="120" w:right="160"/>
        <w:spacing w:after="0" w:line="274" w:lineRule="auto"/>
        <w:rPr>
          <w:sz w:val="20"/>
          <w:szCs w:val="20"/>
          <w:color w:val="auto"/>
        </w:rPr>
      </w:pPr>
      <w:r>
        <w:rPr>
          <w:rFonts w:ascii="Arial" w:cs="Arial" w:eastAsia="Arial" w:hAnsi="Arial"/>
          <w:sz w:val="17"/>
          <w:szCs w:val="17"/>
          <w:b w:val="1"/>
          <w:bCs w:val="1"/>
          <w:color w:val="auto"/>
        </w:rPr>
        <w:t>Description of Business</w:t>
      </w:r>
      <w:r>
        <w:rPr>
          <w:rFonts w:ascii="Arial" w:cs="Arial" w:eastAsia="Arial" w:hAnsi="Arial"/>
          <w:sz w:val="17"/>
          <w:szCs w:val="17"/>
          <w:color w:val="auto"/>
        </w:rPr>
        <w:t>—Lexeo Therapeutics, Inc. (“Lexeo” or the “Company”), together with its consolidated subsidiary, Stelios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until such subsidiary was merged into the Company on December 15, 2022 and ceased to exist, is a clinical stage genetic medicine company with a focus on hereditary and acquired diseases of high unmet need. The Company’s investigational therapies have the potential to offer gene therapy-based treatments to address many diseases that have eluded today’s existing drug delivery platforms. Lexeo utilizes adeno-associated viruses (“AAV”) that have been engineered to transfer genes to patients. The Company’s therapeutic investigational treatments include gene therapies primarily in the early clinical and late pre-clinical stages of research and development.</w:t>
      </w:r>
    </w:p>
    <w:p>
      <w:pPr>
        <w:spacing w:after="0" w:line="11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 is located in New York, NY and was first formed on February 17, 2017, as an LLC under the laws of the State of Delaware under the legal name Lexeo Therapeutics, LLC. The Company filed and executed a certificate of conversion to corporation on November 20, 2020, to convert the LLC to Lexeo Therapeutics, Inc, a Delaware corporation. All of the Company’s tangible assets are held in the United States (“U.S.”).</w:t>
      </w:r>
    </w:p>
    <w:p>
      <w:pPr>
        <w:spacing w:after="0" w:line="80"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Basis of Presentation and Principles of Consolidation</w:t>
      </w:r>
      <w:r>
        <w:rPr>
          <w:rFonts w:ascii="Arial" w:cs="Arial" w:eastAsia="Arial" w:hAnsi="Arial"/>
          <w:sz w:val="18"/>
          <w:szCs w:val="18"/>
          <w:color w:val="auto"/>
        </w:rPr>
        <w:t>—The Company’s fiscal year ends on December 31, and its fiscal quarters end on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and September 30.</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unaudited condensed consolidated financial statements and accompanying notes reflect the operations of the Company and its wholly owned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subsidiary that have been prepared in conformity with generally accepted accounting principles in the United States of America (“GAAP”) for interim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information. Accordingly, they do not include all of the information and disclosures required by GAAP for complete financial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These unaudited condensed consolidated financial statements and accompanying notes should be read in conjunction with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audited consolidated financial statements and notes thereto for the year ended December 31, 2022 (the “Annual Financial Statements”). The unaudited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condensed consolidated balance sheet at December 31, 2022 has been derived from the audited consolidated financial statements at that date.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opinion of management, all adjustments (consisting of normal recurring adjustments) considered necessary to present fairly the financial position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and its results of operations and cash flows for the periods presented have been included. Operating results for the three and six-months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2023 are not necessarily indicative of the results that may be expected for the year ending December 31, 2023, for any other interim period,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any other future year.</w:t>
      </w:r>
    </w:p>
    <w:p>
      <w:pPr>
        <w:spacing w:after="0" w:line="143"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 The accounts of the wholly owned subsidiary are included in these unaudited condensed consolidated financial statements and accompanying notes. The Company has no unconsolidated subsidiaries. All intercompany balances and transactions have been eliminated in consolidation.</w:t>
      </w:r>
    </w:p>
    <w:p>
      <w:pPr>
        <w:spacing w:after="0" w:line="10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 10.594230-for-1 reverse share split of the Company’s Series A convertible preferred stock, Series B convertible preferred stock, common stock, and options to purchase common stock under the Company’s 2021 Equity Incentive Plan (as defined in Note 9) was effected on October 13, 2023 as approved by the Company’s Board of Directors and its shareholders (the “Stock Split”). The Stock Split reduced the number of shares of the Company’s authorized, issued and outstanding common stock, as well as the numbers of shares reserved and available for future issuance and underlying outstanding options to purchase common stock under its 2021 Equity Incentive Plan, on a 10.594230-for-1 basis. As such, all references to Series A convertible preferred stock and Series B convertible preferred stock conversion ratios, conversion share and per share amounts, and post-conversion share and per share amounts, as well as common stock option, option per common share, common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share and common per share amounts, in these unaudited condensed consolidated financial statements and accompanying notes have been retroactively restated to reflect the Stock Split and the Stock Split’s effect on the respective Series A convertible preferred stock and Series B convertible preferred stock conversion ratios for each series of convertible preferred stock. The Stock Split did not affect the par values per share.</w:t>
      </w:r>
    </w:p>
    <w:p>
      <w:pPr>
        <w:spacing w:after="0" w:line="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color w:val="auto"/>
        </w:rPr>
        <w:t>Need for Additional Capital</w:t>
      </w:r>
      <w:r>
        <w:rPr>
          <w:rFonts w:ascii="Arial" w:cs="Arial" w:eastAsia="Arial" w:hAnsi="Arial"/>
          <w:sz w:val="16"/>
          <w:szCs w:val="16"/>
          <w:color w:val="auto"/>
        </w:rPr>
        <w:t>—Since inception, the Company has incurred net losses and negative cash flows from operations, including net losses of</w:t>
      </w:r>
      <w:r>
        <w:rPr>
          <w:rFonts w:ascii="Arial" w:cs="Arial" w:eastAsia="Arial" w:hAnsi="Arial"/>
          <w:sz w:val="16"/>
          <w:szCs w:val="16"/>
          <w:b w:val="1"/>
          <w:bCs w:val="1"/>
          <w:color w:val="auto"/>
        </w:rPr>
        <w:t xml:space="preserve"> </w:t>
      </w:r>
      <w:r>
        <w:rPr>
          <w:rFonts w:ascii="Arial" w:cs="Arial" w:eastAsia="Arial" w:hAnsi="Arial"/>
          <w:sz w:val="16"/>
          <w:szCs w:val="16"/>
          <w:color w:val="auto"/>
        </w:rPr>
        <w:t>$32.1 million and $59.3 million during the six months ended June 30, 2023 and the year ended December 31, 2022, respectively. During the years ended December 31, 2021 and December 31, 2020, the Company raised $51.0 million and $100.1 million of gross proceeds in connection with the issuance of its Series A convertible preferred stock and Series B convertible preferred stock (see Note 7), respectively. As of June 30, 2023, the Company had cash and cash equivalents of $45.5 million and an accumulated deficit of $147.5 million and expects to incur substantial operating losses and negative cash flows from operations for the foreseeable future, which raises substantial doubt about the Company’s ability to continue as a going concern for the one year period following the date that these unaudited condensed consolidated financial statements were issued or were available to be issued, before consideration of management’s plans. If the Company is unable to obtain funding, management’s plan includes delaying, reducing or eliminating some or all of its research and development programs and reducing headcount, which alleviates substantial doubt about the Company’s ability to continue as a going concern. The Company is seeking to complete an initial public offering (“IPO”) of its common stock. In the event the Company does not complete an IPO,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00"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If the Company is unable to obtain funding, management’s plan includes delaying, reducing or eliminating some or all of its research and development programs which could adversely affect its business prospects, or the Company may be unable to continue operations. Although management continues to pursue these plans, there is no assurance that the Company will be successful in implementing management’s plan or obtaining sufficient funding on terms acceptable to the Company to fund continuing operations, if at all.</w:t>
      </w:r>
    </w:p>
    <w:p>
      <w:pPr>
        <w:spacing w:after="0" w:line="102"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b w:val="1"/>
          <w:bCs w:val="1"/>
          <w:color w:val="auto"/>
        </w:rPr>
        <w:t>Risks and Uncertainties</w:t>
      </w:r>
      <w:r>
        <w:rPr>
          <w:rFonts w:ascii="Arial" w:cs="Arial" w:eastAsia="Arial" w:hAnsi="Arial"/>
          <w:sz w:val="17"/>
          <w:szCs w:val="17"/>
          <w:color w:val="auto"/>
        </w:rPr>
        <w:t>—The Company is subject to risks and uncertainties common to early-stage companies in the biopharmaceutical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ability to secure additional capital to fund operations, and commercial success of its product candidates. Any of the Company’s current product candidates and future product candidates that it may develop will require extensive nonclinical and clinical testing and regulatory approval prior to commercialization. These efforts require significant amounts of additional capital, adequate personnel, infrastructure and extensive compliance-reporting capabilities. Even if the Company’s product development efforts are successful, it is uncertain when, if ever, the Company will realize significant revenue from product sales.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significant changes in the Company’s accounting policies from those disclosed in its Annual Financial Statements.</w:t>
      </w:r>
    </w:p>
    <w:p>
      <w:pPr>
        <w:spacing w:after="0" w:line="154"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financial statements in accordance with U.S.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amounts of assets and liabilities and disclosure of contingent assets and liabilities at the date of the financial statements, and the reported amounts of income and expense during the reporting period. The most significant estimates relate to the accruals of research and development costs, accruals of research contract costs, and assumptions used to estimate the fair value of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Company’s stock option awards and the determination of fair value of its common stock.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1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b w:val="1"/>
          <w:bCs w:val="1"/>
          <w:color w:val="auto"/>
        </w:rPr>
        <w:t>Net Loss per Share—</w:t>
      </w:r>
      <w:r>
        <w:rPr>
          <w:rFonts w:ascii="Arial" w:cs="Arial" w:eastAsia="Arial" w:hAnsi="Arial"/>
          <w:sz w:val="17"/>
          <w:szCs w:val="17"/>
          <w:color w:val="auto"/>
        </w:rPr>
        <w:t>The Company follows the two-class method when computing net income (loss) per common share as the Company has issued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meet the definition of participating securities. The two-class method determines net income (loss) per common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receive dividends as if all income for the period had been distributed. The Company considers its convertible preferred stock to be participating securities as, in the event a dividend is paid on common stock, the holders of these securities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13"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Basic net income (loss) per common share is computed by dividing the net income (loss) per common share by the weighted-average number of common shares outstanding for the period. Diluted net income (loss) per common share is computed by adjusting net income (loss) to reallocate undistributed earnings based on the potential impact of dilutive securities. Diluted net loss per common share is computed by dividing the diluted net loss by the weighted-average number of common shares outstanding for the period, including potential dilutive common shares. For the purposes of this calculation, shares of convertible preferred stock are considered potential dilutive common shares.</w:t>
      </w:r>
    </w:p>
    <w:p>
      <w:pPr>
        <w:spacing w:after="0" w:line="9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periods in which the Company reported a net loss, diluted net loss per common share was the same as basic net loss per common share, since dilutive common shares were not assumed to have been issued if their effect was anti-dilutive. During the three and six-months ended June 30, 2023 and</w:t>
      </w:r>
    </w:p>
    <w:p>
      <w:pPr>
        <w:ind w:left="120"/>
        <w:spacing w:after="0" w:line="273" w:lineRule="auto"/>
        <w:rPr>
          <w:sz w:val="20"/>
          <w:szCs w:val="20"/>
          <w:color w:val="auto"/>
        </w:rPr>
      </w:pPr>
      <w:r>
        <w:rPr>
          <w:rFonts w:ascii="Arial" w:cs="Arial" w:eastAsia="Arial" w:hAnsi="Arial"/>
          <w:sz w:val="17"/>
          <w:szCs w:val="17"/>
          <w:color w:val="auto"/>
        </w:rPr>
        <w:t>June 30, 2022, the Company excluded 8,070,027 potential common shares related to the conversion of Series A convertible preferred stock and 5,489,573 potential common shares related to the conversion of Series B convertible preferred stock, and during the three and six-months ended June 30, 2023 and June 30, 2022 excluded 1,873,093 and 1,918,362 potential common shares, respectively, from the computation of diluted net loss per common share because including them would have had an anti-dilutive effect and the Company reported net losses for those periods.</w:t>
      </w:r>
    </w:p>
    <w:p>
      <w:pPr>
        <w:spacing w:after="0" w:line="105"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restricted cash. The Company’s cash and restricted cash balances exceed Federal Deposit Insurance Corporation (“FDIC”) insurance limits, and the Company’s cash equivalents consist of investments in a U.S. government money market fund. The majority of the Company’s cash and cash equivalents and restricted cash is held with a large financial institution that management believes to be of high credit quality. To date, the Company has not recognized any losses caused by uninsured balances.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52" w:lineRule="exact"/>
        <w:rPr>
          <w:sz w:val="20"/>
          <w:szCs w:val="20"/>
          <w:color w:val="auto"/>
        </w:rPr>
      </w:pPr>
    </w:p>
    <w:p>
      <w:pPr>
        <w:ind w:left="120" w:right="880"/>
        <w:spacing w:after="0" w:line="308"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three levels of inputs that may be used to measure fair value are as follows:</w:t>
      </w:r>
    </w:p>
    <w:p>
      <w:pPr>
        <w:spacing w:after="0" w:line="7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quoted prices (unadjusted)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89"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unobservable inputs for the asset or liability.</w:t>
      </w:r>
    </w:p>
    <w:p>
      <w:pPr>
        <w:spacing w:after="0" w:line="15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Company’s cash equivalents consist of investments in a U.S. government money market fund that are reported at carrying value, which approximates fair value and is based on quoted prices in active markets for identical securities. Cash is stated at carrying value, which approximates fair value due to its short-term nature. The carrying values of prepaid expenses, other current assets, accounts payable and accrued expenses approximate their fair values due to the short-term nature of these assets and liabilities.</w:t>
      </w:r>
    </w:p>
    <w:p>
      <w:pPr>
        <w:spacing w:after="0" w:line="10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0"/>
              </w:rPr>
              <w:t>As of June 30, 2023:</w:t>
            </w:r>
          </w:p>
        </w:tc>
      </w:tr>
      <w:tr>
        <w:trPr>
          <w:trHeight w:val="202"/>
        </w:trPr>
        <w:tc>
          <w:tcPr>
            <w:tcW w:w="50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7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9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Level 3</w:t>
            </w:r>
          </w:p>
        </w:tc>
        <w:tc>
          <w:tcPr>
            <w:tcW w:w="2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48"/>
        </w:trPr>
        <w:tc>
          <w:tcPr>
            <w:tcW w:w="50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equivalents (money market)</w:t>
            </w:r>
          </w:p>
        </w:tc>
        <w:tc>
          <w:tcPr>
            <w:tcW w:w="3320" w:type="dxa"/>
            <w:vAlign w:val="bottom"/>
            <w:gridSpan w:val="2"/>
          </w:tcPr>
          <w:p>
            <w:pPr>
              <w:jc w:val="right"/>
              <w:ind w:right="99"/>
              <w:spacing w:after="0"/>
              <w:rPr>
                <w:sz w:val="20"/>
                <w:szCs w:val="20"/>
                <w:color w:val="auto"/>
              </w:rPr>
            </w:pPr>
            <w:r>
              <w:rPr>
                <w:rFonts w:ascii="Arial" w:cs="Arial" w:eastAsia="Arial" w:hAnsi="Arial"/>
                <w:sz w:val="18"/>
                <w:szCs w:val="18"/>
                <w:color w:val="auto"/>
              </w:rPr>
              <w:t>$ 41,560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 41,560</w:t>
            </w:r>
          </w:p>
        </w:tc>
      </w:tr>
      <w:tr>
        <w:trPr>
          <w:trHeight w:val="74"/>
        </w:trPr>
        <w:tc>
          <w:tcPr>
            <w:tcW w:w="50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16"/>
        </w:trPr>
        <w:tc>
          <w:tcPr>
            <w:tcW w:w="50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$ 41,560</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41,560</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49"/>
        </w:trPr>
        <w:tc>
          <w:tcPr>
            <w:tcW w:w="50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spacing w:after="0"/>
              <w:rPr>
                <w:sz w:val="12"/>
                <w:szCs w:val="12"/>
                <w:color w:val="auto"/>
              </w:rPr>
            </w:pPr>
          </w:p>
        </w:tc>
      </w:tr>
      <w:tr>
        <w:trPr>
          <w:trHeight w:val="237"/>
        </w:trPr>
        <w:tc>
          <w:tcPr>
            <w:tcW w:w="5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3"/>
              </w:rPr>
              <w:t>As of December 31, 2022:</w:t>
            </w:r>
          </w:p>
        </w:tc>
      </w:tr>
      <w:tr>
        <w:trPr>
          <w:trHeight w:val="202"/>
        </w:trPr>
        <w:tc>
          <w:tcPr>
            <w:tcW w:w="50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7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9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Level 3</w:t>
            </w: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auto"/>
            </w:tcBorders>
          </w:tcPr>
          <w:p>
            <w:pPr>
              <w:spacing w:after="0"/>
              <w:rPr>
                <w:sz w:val="17"/>
                <w:szCs w:val="17"/>
                <w:color w:val="auto"/>
              </w:rPr>
            </w:pPr>
          </w:p>
        </w:tc>
      </w:tr>
      <w:tr>
        <w:trPr>
          <w:trHeight w:val="48"/>
        </w:trPr>
        <w:tc>
          <w:tcPr>
            <w:tcW w:w="50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equivalents (money market)</w:t>
            </w:r>
          </w:p>
        </w:tc>
        <w:tc>
          <w:tcPr>
            <w:tcW w:w="3320" w:type="dxa"/>
            <w:vAlign w:val="bottom"/>
            <w:gridSpan w:val="2"/>
          </w:tcPr>
          <w:p>
            <w:pPr>
              <w:jc w:val="right"/>
              <w:ind w:right="99"/>
              <w:spacing w:after="0"/>
              <w:rPr>
                <w:sz w:val="20"/>
                <w:szCs w:val="20"/>
                <w:color w:val="auto"/>
              </w:rPr>
            </w:pPr>
            <w:r>
              <w:rPr>
                <w:rFonts w:ascii="Arial" w:cs="Arial" w:eastAsia="Arial" w:hAnsi="Arial"/>
                <w:sz w:val="18"/>
                <w:szCs w:val="18"/>
                <w:color w:val="auto"/>
              </w:rPr>
              <w:t>$ 74,802</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 74,802</w:t>
            </w:r>
          </w:p>
        </w:tc>
      </w:tr>
      <w:tr>
        <w:trPr>
          <w:trHeight w:val="75"/>
        </w:trPr>
        <w:tc>
          <w:tcPr>
            <w:tcW w:w="50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16"/>
        </w:trPr>
        <w:tc>
          <w:tcPr>
            <w:tcW w:w="50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$ 74,802</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74,802</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PROPERTY AND EQUIPMENT</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the summary of the Company’s property and equipment and related accumulated depreciation and amortization as of June 30, 2023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4100" w:type="dxa"/>
            <w:vAlign w:val="bottom"/>
          </w:tcPr>
          <w:p>
            <w:pPr>
              <w:jc w:val="right"/>
              <w:ind w:right="193"/>
              <w:spacing w:after="0"/>
              <w:rPr>
                <w:sz w:val="20"/>
                <w:szCs w:val="20"/>
                <w:color w:val="auto"/>
              </w:rPr>
            </w:pPr>
            <w:r>
              <w:rPr>
                <w:rFonts w:ascii="Arial" w:cs="Arial" w:eastAsia="Arial" w:hAnsi="Arial"/>
                <w:sz w:val="16"/>
                <w:szCs w:val="16"/>
                <w:b w:val="1"/>
                <w:bCs w:val="1"/>
                <w:color w:val="auto"/>
              </w:rPr>
              <w:t>Useful</w:t>
            </w:r>
          </w:p>
        </w:tc>
        <w:tc>
          <w:tcPr>
            <w:tcW w:w="2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320" w:type="dxa"/>
            <w:vAlign w:val="bottom"/>
            <w:gridSpan w:val="3"/>
          </w:tcPr>
          <w:p>
            <w:pPr>
              <w:ind w:left="26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44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Life</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2022</w:t>
            </w: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4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 years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296</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100" w:type="dxa"/>
            <w:vAlign w:val="bottom"/>
          </w:tcPr>
          <w:p>
            <w:pPr>
              <w:jc w:val="right"/>
              <w:ind w:right="193"/>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375</w:t>
            </w:r>
          </w:p>
        </w:tc>
        <w:tc>
          <w:tcPr>
            <w:tcW w:w="5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4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 years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321</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00" w:type="dxa"/>
            <w:vAlign w:val="bottom"/>
          </w:tcPr>
          <w:p>
            <w:pPr>
              <w:jc w:val="right"/>
              <w:ind w:right="193"/>
              <w:spacing w:after="0"/>
              <w:rPr>
                <w:sz w:val="20"/>
                <w:szCs w:val="20"/>
                <w:color w:val="auto"/>
              </w:rPr>
            </w:pPr>
            <w:r>
              <w:rPr>
                <w:rFonts w:ascii="Arial" w:cs="Arial" w:eastAsia="Arial" w:hAnsi="Arial"/>
                <w:sz w:val="18"/>
                <w:szCs w:val="18"/>
                <w:color w:val="auto"/>
              </w:rPr>
              <w:t>7 years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r>
      <w:tr>
        <w:trPr>
          <w:trHeight w:val="27"/>
        </w:trPr>
        <w:tc>
          <w:tcPr>
            <w:tcW w:w="4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3"/>
              </w:rPr>
              <w:t>1,224</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7"/>
        </w:trPr>
        <w:tc>
          <w:tcPr>
            <w:tcW w:w="4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975</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r>
      <w:tr>
        <w:trPr>
          <w:trHeight w:val="216"/>
        </w:trPr>
        <w:tc>
          <w:tcPr>
            <w:tcW w:w="44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58"/>
        </w:trPr>
        <w:tc>
          <w:tcPr>
            <w:tcW w:w="4420" w:type="dxa"/>
            <w:vAlign w:val="bottom"/>
          </w:tcPr>
          <w:p>
            <w:pPr>
              <w:spacing w:after="0"/>
              <w:rPr>
                <w:sz w:val="24"/>
                <w:szCs w:val="24"/>
                <w:color w:val="auto"/>
              </w:rPr>
            </w:pPr>
          </w:p>
        </w:tc>
        <w:tc>
          <w:tcPr>
            <w:tcW w:w="4100" w:type="dxa"/>
            <w:vAlign w:val="bottom"/>
          </w:tcPr>
          <w:p>
            <w:pPr>
              <w:jc w:val="right"/>
              <w:ind w:right="2753"/>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jc w:val="both"/>
        <w:ind w:left="120" w:right="4700"/>
        <w:spacing w:after="0" w:line="391" w:lineRule="auto"/>
        <w:rPr>
          <w:sz w:val="20"/>
          <w:szCs w:val="20"/>
          <w:color w:val="auto"/>
        </w:rPr>
      </w:pPr>
      <w:r>
        <w:rPr>
          <w:rFonts w:ascii="Arial" w:cs="Arial" w:eastAsia="Arial" w:hAnsi="Arial"/>
          <w:sz w:val="21"/>
          <w:szCs w:val="21"/>
          <w:b w:val="1"/>
          <w:bCs w:val="1"/>
          <w:color w:val="auto"/>
        </w:rPr>
        <w:t xml:space="preserve">5. ACCRUED EXPENSES AND OTHER CURRENT LIABILITIES </w:t>
      </w:r>
      <w:r>
        <w:rPr>
          <w:rFonts w:ascii="Arial" w:cs="Arial" w:eastAsia="Arial" w:hAnsi="Arial"/>
          <w:sz w:val="16"/>
          <w:szCs w:val="16"/>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As of</w:t>
            </w:r>
          </w:p>
        </w:tc>
        <w:tc>
          <w:tcPr>
            <w:tcW w:w="640" w:type="dxa"/>
            <w:vAlign w:val="bottom"/>
          </w:tcPr>
          <w:p>
            <w:pPr>
              <w:spacing w:after="0"/>
              <w:rPr>
                <w:sz w:val="17"/>
                <w:szCs w:val="17"/>
                <w:color w:val="auto"/>
              </w:rPr>
            </w:pPr>
          </w:p>
        </w:tc>
        <w:tc>
          <w:tcPr>
            <w:tcW w:w="700" w:type="dxa"/>
            <w:vAlign w:val="bottom"/>
            <w:gridSpan w:val="2"/>
          </w:tcPr>
          <w:p>
            <w:pPr>
              <w:ind w:left="280"/>
              <w:spacing w:after="0"/>
              <w:rPr>
                <w:sz w:val="20"/>
                <w:szCs w:val="20"/>
                <w:color w:val="auto"/>
              </w:rPr>
            </w:pPr>
            <w:r>
              <w:rPr>
                <w:rFonts w:ascii="Arial" w:cs="Arial" w:eastAsia="Arial" w:hAnsi="Arial"/>
                <w:sz w:val="16"/>
                <w:szCs w:val="16"/>
                <w:b w:val="1"/>
                <w:bCs w:val="1"/>
                <w:color w:val="auto"/>
                <w:w w:val="99"/>
              </w:rPr>
              <w:t>As of</w:t>
            </w:r>
          </w:p>
        </w:tc>
      </w:tr>
      <w:tr>
        <w:trPr>
          <w:trHeight w:val="203"/>
        </w:trPr>
        <w:tc>
          <w:tcPr>
            <w:tcW w:w="62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3"/>
          </w:tcPr>
          <w:p>
            <w:pPr>
              <w:ind w:left="340"/>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6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3"/>
              </w:rPr>
              <w:t>4,837</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8"/>
                <w:szCs w:val="18"/>
                <w:color w:val="auto"/>
              </w:rPr>
              <w:t>477</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648</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3"/>
              </w:rPr>
              <w:t>1,255</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3"/>
              </w:rPr>
              <w:t>7,217</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6,420</w:t>
            </w:r>
          </w:p>
        </w:tc>
      </w:tr>
      <w:tr>
        <w:trPr>
          <w:trHeight w:val="216"/>
        </w:trPr>
        <w:tc>
          <w:tcPr>
            <w:tcW w:w="6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LEASES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 Right-of-Use Asset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January 2022, the Company entered into a lease agreement for an office facility and laboratory space in New York, New York that commenced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2022 and ends in July 2029 with an additional five-year option to extend the lease beyond July 2029 at the then-prevailing effective market rental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rate. Upon commencement of this lease, the Company recorded operating lease right-of-use assets and operating lease liabilities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$11.6 million based on the present value of payments over the lease term using an estimated incremental borrowing rate of 8.53% in accordance with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provisions of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In connection with the Company’s lease of office space and laboratory space, the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provided a security deposit to the landlord in the form of a letter of credit totaling $1.2 million. The cash collateralizing the letter of credit was included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long-term restricted cash in the Company’s condensed consolidated balance sheets as of June 30, 2023, and December 31, 2022. This lease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classified as an operating lease in accordance with the provisions of Topic 842. The Company did not recognize any right-of-use assets and lease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liabilities associated with the potential option to renew or extend. The Company’s operating lease agreement does not contain any significant residual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guarantees or restrictive covenants.</w:t>
      </w:r>
    </w:p>
    <w:p>
      <w:pPr>
        <w:spacing w:after="0" w:line="13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Components of this operating lease are as follows (in thousands, except remaining lease term and payment term (in years) and incremental borrowing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Three Months</w:t>
            </w:r>
          </w:p>
        </w:tc>
      </w:tr>
      <w:tr>
        <w:trPr>
          <w:trHeight w:val="210"/>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1560" w:type="dxa"/>
            <w:vAlign w:val="bottom"/>
            <w:gridSpan w:val="4"/>
          </w:tcPr>
          <w:p>
            <w:pPr>
              <w:jc w:val="center"/>
              <w:ind w:left="292"/>
              <w:spacing w:after="0"/>
              <w:rPr>
                <w:sz w:val="20"/>
                <w:szCs w:val="20"/>
                <w:color w:val="auto"/>
              </w:rPr>
            </w:pPr>
            <w:r>
              <w:rPr>
                <w:rFonts w:ascii="Arial" w:cs="Arial" w:eastAsia="Arial" w:hAnsi="Arial"/>
                <w:sz w:val="16"/>
                <w:szCs w:val="16"/>
                <w:b w:val="1"/>
                <w:bCs w:val="1"/>
                <w:color w:val="auto"/>
                <w:w w:val="90"/>
              </w:rPr>
              <w:t>Ended June 30,</w:t>
            </w:r>
          </w:p>
        </w:tc>
      </w:tr>
      <w:tr>
        <w:trPr>
          <w:trHeight w:val="202"/>
        </w:trPr>
        <w:tc>
          <w:tcPr>
            <w:tcW w:w="7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0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$ 1,074</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5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1,523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lease expense</w:t>
            </w:r>
          </w:p>
        </w:tc>
        <w:tc>
          <w:tcPr>
            <w:tcW w:w="10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$ 1,226</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r>
      <w:tr>
        <w:trPr>
          <w:trHeight w:val="284"/>
        </w:trPr>
        <w:tc>
          <w:tcPr>
            <w:tcW w:w="7080" w:type="dxa"/>
            <w:vAlign w:val="bottom"/>
          </w:tcPr>
          <w:p>
            <w:pPr>
              <w:spacing w:after="0"/>
              <w:rPr>
                <w:sz w:val="20"/>
                <w:szCs w:val="20"/>
                <w:color w:val="auto"/>
              </w:rPr>
            </w:pPr>
            <w:r>
              <w:rPr>
                <w:rFonts w:ascii="Arial" w:cs="Arial" w:eastAsia="Arial" w:hAnsi="Arial"/>
                <w:sz w:val="18"/>
                <w:szCs w:val="18"/>
                <w:color w:val="auto"/>
              </w:rPr>
              <w:t>Other information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Remaining lease term and payment term (in years)</w:t>
            </w:r>
          </w:p>
        </w:tc>
        <w:tc>
          <w:tcPr>
            <w:tcW w:w="10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Arial" w:cs="Arial" w:eastAsia="Arial" w:hAnsi="Arial"/>
                <w:sz w:val="18"/>
                <w:szCs w:val="18"/>
                <w:color w:val="auto"/>
              </w:rPr>
              <w:t>Incremental borrowing rate</w:t>
            </w:r>
          </w:p>
        </w:tc>
        <w:tc>
          <w:tcPr>
            <w:tcW w:w="1040" w:type="dxa"/>
            <w:vAlign w:val="bottom"/>
            <w:gridSpan w:val="2"/>
          </w:tcPr>
          <w:p>
            <w:pPr>
              <w:jc w:val="right"/>
              <w:ind w:right="136"/>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8.53%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8.53%</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8.53%</w:t>
            </w:r>
          </w:p>
        </w:tc>
        <w:tc>
          <w:tcPr>
            <w:tcW w:w="60" w:type="dxa"/>
            <w:vAlign w:val="bottom"/>
          </w:tcPr>
          <w:p>
            <w:pPr>
              <w:spacing w:after="0"/>
              <w:rPr>
                <w:sz w:val="18"/>
                <w:szCs w:val="18"/>
                <w:color w:val="auto"/>
              </w:rPr>
            </w:pPr>
          </w:p>
        </w:tc>
      </w:tr>
      <w:tr>
        <w:trPr>
          <w:trHeight w:val="202"/>
        </w:trPr>
        <w:tc>
          <w:tcPr>
            <w:tcW w:w="7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Cash paid for amounts included in the measurement of lease liabilities, included in operating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w:t>
            </w:r>
          </w:p>
        </w:tc>
        <w:tc>
          <w:tcPr>
            <w:tcW w:w="10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$ 1,055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7080" w:type="dxa"/>
            <w:vAlign w:val="bottom"/>
          </w:tcPr>
          <w:p>
            <w:pPr>
              <w:ind w:left="5340"/>
              <w:spacing w:after="0"/>
              <w:rPr>
                <w:sz w:val="20"/>
                <w:szCs w:val="20"/>
                <w:color w:val="auto"/>
              </w:rPr>
            </w:pPr>
            <w:r>
              <w:rPr>
                <w:rFonts w:ascii="Arial" w:cs="Arial" w:eastAsia="Arial" w:hAnsi="Arial"/>
                <w:sz w:val="18"/>
                <w:szCs w:val="18"/>
                <w:color w:val="auto"/>
              </w:rPr>
              <w:t>F-37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a reconciliation of the Company’s remaining undiscounted contractual rent obligations due within each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to the operating lease liabilities recognized as of June 30,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454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2026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Thereafter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Less: present value adjustment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Included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Current portion of lease liabilities—operating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Non-current portion of lease liabilities—operating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26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Equipment Finance Leases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ind w:right="80"/>
        <w:spacing w:after="0"/>
        <w:rPr>
          <w:sz w:val="20"/>
          <w:szCs w:val="20"/>
          <w:color w:val="auto"/>
        </w:rPr>
      </w:pPr>
      <w:r>
        <w:rPr>
          <w:rFonts w:ascii="Arial" w:cs="Arial" w:eastAsia="Arial" w:hAnsi="Arial"/>
          <w:sz w:val="15"/>
          <w:szCs w:val="15"/>
          <w:b w:val="1"/>
          <w:bCs w:val="1"/>
          <w:color w:val="auto"/>
        </w:rPr>
        <w:t>Operating</w:t>
      </w:r>
    </w:p>
    <w:p>
      <w:pPr>
        <w:spacing w:after="0" w:line="38"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Leases</w:t>
      </w:r>
    </w:p>
    <w:p>
      <w:pPr>
        <w:spacing w:after="0" w:line="240"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1,252</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2,152</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2,206</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2,261</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13,660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10,676</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2,265</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6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10,676</w:t>
      </w:r>
    </w:p>
    <w:p>
      <w:pPr>
        <w:spacing w:after="0" w:line="886" w:lineRule="exact"/>
        <w:rPr>
          <w:sz w:val="20"/>
          <w:szCs w:val="20"/>
          <w:color w:val="auto"/>
        </w:rPr>
      </w:pPr>
    </w:p>
    <w:p>
      <w:pPr>
        <w:sectPr>
          <w:pgSz w:w="11900" w:h="16838" w:orient="portrait"/>
          <w:cols w:equalWidth="0" w:num="2">
            <w:col w:w="9580" w:space="720"/>
            <w:col w:w="800"/>
          </w:cols>
          <w:pgMar w:left="320" w:top="459" w:right="479" w:bottom="1440" w:gutter="0" w:footer="0" w:header="0"/>
          <w:type w:val="continuous"/>
        </w:sectPr>
      </w:pPr>
    </w:p>
    <w:p>
      <w:pPr>
        <w:ind w:left="120"/>
        <w:spacing w:after="0" w:line="288" w:lineRule="auto"/>
        <w:rPr>
          <w:sz w:val="20"/>
          <w:szCs w:val="20"/>
          <w:color w:val="auto"/>
        </w:rPr>
      </w:pPr>
      <w:r>
        <w:rPr>
          <w:rFonts w:ascii="Arial" w:cs="Arial" w:eastAsia="Arial" w:hAnsi="Arial"/>
          <w:sz w:val="16"/>
          <w:szCs w:val="16"/>
          <w:color w:val="auto"/>
        </w:rPr>
        <w:t>Commencing in April 2022, the Company leases certain laboratory equipment under financing arrangements accounted for as finance leases in accordance with the provision of ASC Topic 842 that are classified in the Company’s condensed consolidated balance sheet as finance lease liabilities with related right-of-use assets recorded and depreciated on a straight-line basis over the estimated useful life of 7 years. The total gross, accumulated amortization, and net book values of equipment finance lease right-of-use assets capitalized under such finance lease arrangements at June 30, 2023 were approximately $2.2 million, $0.3 million and $1.9 million, respectively. Under the terms of the equipment finance lease agreements executed through the issuance date of these unaudited condensed consolidated financial statements, the principal balances plus interest for the equipment are to be repaid in full after 60 monthly installments following lease commencement, with lease commencement dates ranging from April 1, 2022 to April 1, 2023, annual imputed interest rates ranging from 7.90% to 9.30%, and monthly installment payment amounts ranging from approximately $4,000 to $18,000. As of June 30, 2023, the total aggregate monthly installment payment amount was approximately $48,000 for equipment finance lease agreements executed through the issuance date of these unaudited condensed consolidated financial statements.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type w:val="continuous"/>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Components of the equipment finance leases were as follows (in thousands, except weighted average remaining lease payment term (in years), weighted average remaining amortization term (in years), and weighted average effective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ind w:left="30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4"/>
          </w:tcPr>
          <w:p>
            <w:pPr>
              <w:ind w:left="100"/>
              <w:spacing w:after="0"/>
              <w:rPr>
                <w:sz w:val="20"/>
                <w:szCs w:val="20"/>
                <w:color w:val="auto"/>
              </w:rPr>
            </w:pPr>
            <w:r>
              <w:rPr>
                <w:rFonts w:ascii="Arial" w:cs="Arial" w:eastAsia="Arial" w:hAnsi="Arial"/>
                <w:sz w:val="16"/>
                <w:szCs w:val="16"/>
                <w:b w:val="1"/>
                <w:bCs w:val="1"/>
                <w:color w:val="auto"/>
                <w:w w:val="97"/>
              </w:rPr>
              <w:t>Three Months</w:t>
            </w:r>
          </w:p>
        </w:tc>
      </w:tr>
      <w:tr>
        <w:trPr>
          <w:trHeight w:val="210"/>
        </w:trPr>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gridSpan w:val="3"/>
          </w:tcPr>
          <w:p>
            <w:pPr>
              <w:ind w:left="2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Ended June 30,</w:t>
            </w:r>
          </w:p>
        </w:tc>
      </w:tr>
      <w:tr>
        <w:trPr>
          <w:trHeight w:val="202"/>
        </w:trPr>
        <w:tc>
          <w:tcPr>
            <w:tcW w:w="6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Period ended June 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Finance lease amortization of right-of-use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600" w:type="dxa"/>
            <w:vAlign w:val="bottom"/>
          </w:tcPr>
          <w:p>
            <w:pPr>
              <w:jc w:val="center"/>
              <w:ind w:left="434"/>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on finance lease liabilities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4"/>
        </w:trPr>
        <w:tc>
          <w:tcPr>
            <w:tcW w:w="6620" w:type="dxa"/>
            <w:vAlign w:val="bottom"/>
          </w:tcPr>
          <w:p>
            <w:pPr>
              <w:ind w:left="180"/>
              <w:spacing w:after="0"/>
              <w:rPr>
                <w:sz w:val="20"/>
                <w:szCs w:val="20"/>
                <w:color w:val="auto"/>
              </w:rPr>
            </w:pPr>
            <w:r>
              <w:rPr>
                <w:rFonts w:ascii="Arial" w:cs="Arial" w:eastAsia="Arial" w:hAnsi="Arial"/>
                <w:sz w:val="18"/>
                <w:szCs w:val="18"/>
                <w:color w:val="auto"/>
              </w:rPr>
              <w:t>Total finance lease expense</w:t>
            </w:r>
          </w:p>
        </w:tc>
        <w:tc>
          <w:tcPr>
            <w:tcW w:w="5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251</w:t>
            </w:r>
          </w:p>
        </w:tc>
        <w:tc>
          <w:tcPr>
            <w:tcW w:w="3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9</w:t>
            </w: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60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7"/>
        </w:trPr>
        <w:tc>
          <w:tcPr>
            <w:tcW w:w="6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Weighted Average Remaining Lease Payment Term (in years)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Remaining Amortization Term (in years)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Weighted Average Effective Interest Rate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90"/>
              </w:rPr>
              <w:t>8.58%</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7.90%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8.58%</w:t>
            </w:r>
          </w:p>
        </w:tc>
        <w:tc>
          <w:tcPr>
            <w:tcW w:w="6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7.90%</w:t>
            </w:r>
          </w:p>
        </w:tc>
        <w:tc>
          <w:tcPr>
            <w:tcW w:w="40" w:type="dxa"/>
            <w:vAlign w:val="bottom"/>
          </w:tcPr>
          <w:p>
            <w:pPr>
              <w:spacing w:after="0"/>
              <w:rPr>
                <w:sz w:val="18"/>
                <w:szCs w:val="18"/>
                <w:color w:val="auto"/>
              </w:rPr>
            </w:pPr>
          </w:p>
        </w:tc>
      </w:tr>
      <w:tr>
        <w:trPr>
          <w:trHeight w:val="202"/>
        </w:trPr>
        <w:tc>
          <w:tcPr>
            <w:tcW w:w="6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Cash paid for amounts included in the measurement of lease liabilities, included in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0"/>
                <w:szCs w:val="20"/>
                <w:color w:val="auto"/>
              </w:rPr>
            </w:pPr>
          </w:p>
        </w:tc>
      </w:tr>
      <w:tr>
        <w:trPr>
          <w:trHeight w:val="216"/>
        </w:trPr>
        <w:tc>
          <w:tcPr>
            <w:tcW w:w="6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reconciliation of the Company’s remaining equipment finance lease obligations due within each year ending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to the equipment finance lease liabilities recognized at June 30,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Equipment</w:t>
            </w:r>
          </w:p>
        </w:tc>
      </w:tr>
      <w:tr>
        <w:trPr>
          <w:trHeight w:val="213"/>
        </w:trPr>
        <w:tc>
          <w:tcPr>
            <w:tcW w:w="9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5"/>
              </w:rPr>
              <w:t>Finance Leases</w:t>
            </w:r>
          </w:p>
        </w:tc>
      </w:tr>
      <w:tr>
        <w:trPr>
          <w:trHeight w:val="213"/>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251</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357</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Total finance lease liabilties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4"/>
        </w:trPr>
        <w:tc>
          <w:tcPr>
            <w:tcW w:w="9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Included in the consolidated balance sheet: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180"/>
              <w:spacing w:after="0"/>
              <w:rPr>
                <w:sz w:val="20"/>
                <w:szCs w:val="20"/>
                <w:color w:val="auto"/>
              </w:rPr>
            </w:pPr>
            <w:r>
              <w:rPr>
                <w:rFonts w:ascii="Arial" w:cs="Arial" w:eastAsia="Arial" w:hAnsi="Arial"/>
                <w:sz w:val="18"/>
                <w:szCs w:val="18"/>
                <w:color w:val="auto"/>
              </w:rPr>
              <w:t>Current portion of lease liabilities—finance</w:t>
            </w: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528</w:t>
            </w:r>
          </w:p>
        </w:tc>
      </w:tr>
      <w:tr>
        <w:trPr>
          <w:trHeight w:val="216"/>
        </w:trPr>
        <w:tc>
          <w:tcPr>
            <w:tcW w:w="9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portion of lease liabilities—finance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r>
      <w:tr>
        <w:trPr>
          <w:trHeight w:val="224"/>
        </w:trPr>
        <w:tc>
          <w:tcPr>
            <w:tcW w:w="986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9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PREFERRED STOCK</w:t>
      </w:r>
    </w:p>
    <w:p>
      <w:pPr>
        <w:spacing w:after="0" w:line="1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of June 30, 2023, the Company’s certificate of incorporation authorized the Company to issue 143,653,546 million shares of series A and series B convertible preferred stock at par value of $0.0001.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2023 and December 31, 2022, preferred stock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Convertible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Convertible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Preferred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Common Stock</w:t>
            </w: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Stock</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Issued and</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83"/>
              </w:rPr>
              <w:t>Proceeds</w:t>
            </w:r>
          </w:p>
        </w:tc>
        <w:tc>
          <w:tcPr>
            <w:tcW w:w="110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Liquidation</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Issuable Upon</w:t>
            </w:r>
          </w:p>
        </w:tc>
      </w:tr>
      <w:tr>
        <w:trPr>
          <w:trHeight w:val="213"/>
        </w:trPr>
        <w:tc>
          <w:tcPr>
            <w:tcW w:w="5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Authorized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Received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89"/>
              </w:rPr>
              <w:t>Preference</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Conversion</w:t>
            </w:r>
          </w:p>
        </w:tc>
      </w:tr>
      <w:tr>
        <w:trPr>
          <w:trHeight w:val="21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85,495,722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85,495,722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85,496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8,070,027</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58,157,824</w:t>
            </w:r>
          </w:p>
        </w:tc>
        <w:tc>
          <w:tcPr>
            <w:tcW w:w="1120" w:type="dxa"/>
            <w:vAlign w:val="bottom"/>
          </w:tcPr>
          <w:p>
            <w:pPr>
              <w:jc w:val="right"/>
              <w:spacing w:after="0"/>
              <w:rPr>
                <w:sz w:val="20"/>
                <w:szCs w:val="20"/>
                <w:color w:val="auto"/>
              </w:rPr>
            </w:pPr>
            <w:r>
              <w:rPr>
                <w:rFonts w:ascii="Arial" w:cs="Arial" w:eastAsia="Arial" w:hAnsi="Arial"/>
                <w:sz w:val="18"/>
                <w:szCs w:val="18"/>
                <w:color w:val="auto"/>
              </w:rPr>
              <w:t>58,157,823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100,060</w:t>
            </w:r>
          </w:p>
        </w:tc>
        <w:tc>
          <w:tcPr>
            <w:tcW w:w="2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100,060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5,489,573</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143,653,546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143,653,545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185,556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185,556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13,599,600</w:t>
            </w:r>
          </w:p>
        </w:tc>
      </w:tr>
      <w:tr>
        <w:trPr>
          <w:trHeight w:val="216"/>
        </w:trPr>
        <w:tc>
          <w:tcPr>
            <w:tcW w:w="5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2023, the rights and privileges of the holders of the convertible preferred stock were as follows:</w:t>
      </w:r>
    </w:p>
    <w:p>
      <w:pPr>
        <w:spacing w:after="0" w:line="15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—Holders of preferred stock shall vote together with the holders of common stock as a single class and on an as converted to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10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—The holders of shares of series B convertible preferred stock are entitled to receive, as declared by the Company’s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per share at the rate of 8% of the issue price per share of series B convertible preferred stock, prior and in preference to any declaration or payment of any other dividend (other than dividends on shares of common stock payable in shares of common stock). After payment of dividends to the holders of shares of series B convertible preferred stock, the holders of shares of series A convertible preferred stock are entitled to receive, as declared by the Company’s board of directors, dividends per share at the rate of 8% of the issue price per share of series A convertible preferred stock, prior and in preference to any declaration or payment of any other dividend (other than dividends on shares of common stock payable in shares of common stock).</w:t>
      </w:r>
    </w:p>
    <w:p>
      <w:pPr>
        <w:spacing w:after="0" w:line="83"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i w:val="1"/>
          <w:iCs w:val="1"/>
          <w:color w:val="auto"/>
        </w:rPr>
        <w:t>Deemed Liquidation Event</w:t>
      </w:r>
      <w:r>
        <w:rPr>
          <w:rFonts w:ascii="Arial" w:cs="Arial" w:eastAsia="Arial" w:hAnsi="Arial"/>
          <w:sz w:val="16"/>
          <w:szCs w:val="16"/>
          <w:color w:val="auto"/>
        </w:rPr>
        <w:t>—Each of the following events shall be considered a “Deemed Liquidation Event” unless the holders of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preferred stock and the holders of at least 64% of the outstanding shares of series B convertible preferred stock elect otherwise by written notice sent to the Company at least five business days prior to the effective date of any such event;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company; or (2) if the surviving or resulting company is a wholly owned subsidiary of another company immediately following such merger or consolidation, the parent company of such surviving or resulting corporation; (b) (1) the sale, lease, transfer, exclusive license or other disposition, in a single transaction or series of related transactions, by the Company or any subsidiary of the Company of all or substantially all the assets of the Company and its subsidiaries taken as a whole, or (2) the sale or disposition (whether by merger, consolidation or otherwise, and whether in a single 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or (c) the Corporation’s completion of (1) a reverse merger into a public shell, or (2) a merger or consolidation with a special purpose acquisition company or its subsidiary in which the common stock (or similar securities) of the surviving or parent entity are publicly traded in a public offering pursuant to an effective registration statement under the 1933 Securities Act, as amended.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—In the event of any voluntary or involuntary liquidation, dissolution, or winding up of the Company, the holders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convertible preferred stock shall be entitled to be paid out of the assets of the Company or, in the case of a Deemed Liquidation Event, out of the consideration payable to stockholders or the available proceeds, before any payment shall be made to the holders of common stock or series A convertible preferred stock, an amount per share equal to the series B convertible preferred stock issue price of $18.2272674 per share (subject to adjustment in the event of any stock dividend, stock split, combination or other similar recapitalization), plus any dividends declared but unpaid. If upon any such liquidation, dissolution or winding up of the Company or Deemed Liquidation Event, the assets of the Company available for distribution to its stockholders shall be insufficient to pay the holders of shares of series B convertible preferred stock the full amount to which they are entitled, the holders of shares of series B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B Liquidation Preference”).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event of any voluntary or involuntary liquidation, dissolution, or winding up of the Company, after payment of the Series B Liquidation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Preference, the holders of shares of series A convertible preferred stock shall be entitled to be paid out of the assets of the Company or, in the case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Deemed Liquidation Event, out of the consideration payable to stockholders or the available proceeds, before any payment shall be made to the 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common stock or series A convertible preferred stock, an amount per share equal to the series A convertible preferred stock issue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$10.5942304 per share (subject to adjustment in the event of any stock dividend, stock split, combination or other similar recapitalization), plus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dividends declared but unpaid. If upon any such liquidation, dissolution or winding up of the Company or Deemed Liquidation Event, the assets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available for distribution to its stockholders shall be insufficient to pay the holders of shares of series A convertible preferred stock the full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to which they shall be entitled, the holders of shares of series A convertible preferred stock shall share ratably in any distribution of the assets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available for distribution in proportion to the respective amounts which would otherwise be payable in respect of the shares held by them upon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if all amounts payable on or with respect to such shares were paid in full (the “Series A Liquidation Preference”).</w:t>
      </w:r>
    </w:p>
    <w:p>
      <w:pPr>
        <w:spacing w:after="0" w:line="143"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the event that there are additional assets to be distributed after payment of the Series A Liquidation Preference and the Series B Liquidation Preference, the holders of the series A convertible preferred stock and series B convertible preferred stock will share in the distribution along with common stockholders as if the shares of the series A convertible preferred stock and series B convertible preferred stock had converted to common stock immediately prior to the distribution, up to an amount, (a) taken together with the Series A Liquidation Preference, not to exceed $31.7826911 per share with respect to the series A convertible preferred stockholders; and (b) taken together with the Series B Liquidation Preference, not to exceed $54.6818023 per share with respect to the series B convertible preferred stockholders.</w:t>
      </w:r>
    </w:p>
    <w:p>
      <w:pPr>
        <w:spacing w:after="0" w:line="9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—The preferred stock does not contain a mandatory redemption provision. Upon a deemed liquidation event, the holders will be paid their</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 amounts according to their priority. Remeasurement to redemption value will only be required if a deemed liquidation event is probable.</w:t>
      </w:r>
    </w:p>
    <w:p>
      <w:pPr>
        <w:spacing w:after="0" w:line="56"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—Upon either (a) the closing of the sale of shares of common stock to the public at a price of at least $22.7840578 per share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$75.0 million of gross proceeds to the Company and in connection with the offering of the common stock listed for trading on the Nasdaq Stock Market’s National Market, the New York Stock Exchange or another exchange or marketplace approved by the Company’s board of directors, including the approval of at least two (2) preferred directors (a “Qualified IPO”) or (b) the date and time, or the occurrence of an event specified by vote or written consent of the Noteholders, then (i) all outstanding shares of convertible preferred stock shall automatically be converted into shares of common stock, at the then effective conversion rate.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COMMON STOCK</w:t>
      </w:r>
    </w:p>
    <w:p>
      <w:pPr>
        <w:spacing w:after="0" w:line="15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of June 30, 2023, the Company’s certificate of incorporation authorized the Company to issue 18,125,051 shares of common stock with a par value of $0.0001 per share. The voting, dividend and liquidation rights of the holders of the Company’s common shares are subject to and qualified by the rights, powers and preferences of the holders of the convertible preferred stock set forth in Note 7. Each common share entitles the holder to one vote on all matters submitted to a vote of the Company’s stockholders.</w:t>
      </w:r>
    </w:p>
    <w:p>
      <w:pPr>
        <w:spacing w:after="0" w:line="11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Common stockholders are entitled to receive dividends, if any, as may be declared by the Company’s board of directors, subject to the preferential dividend rights of the convertible preferred stock. Through June 30, 2023, no cash dividends have been declared or paid by the Company.</w:t>
      </w:r>
    </w:p>
    <w:p>
      <w:pPr>
        <w:spacing w:after="0" w:line="4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has reserved the following number of shares of common stock for the exercise of outstanding stock options, future issuance of stock-based awards, and conversion of outstanding shares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r>
      <w:tr>
        <w:trPr>
          <w:trHeight w:val="213"/>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of series A convertible preferred stock</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8,070,027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8,070,027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Shares of series B convertible preferred stock</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5,489,573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5,489,573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shares of common stock</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1,873,093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1,916,194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Shares available for issuance under the 2021 Plan</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1,039,784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1,000,519</w:t>
            </w:r>
          </w:p>
        </w:tc>
      </w:tr>
      <w:tr>
        <w:trPr>
          <w:trHeight w:val="27"/>
        </w:trPr>
        <w:tc>
          <w:tcPr>
            <w:tcW w:w="8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reserved for future issuance</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16,472,477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16,476,313</w:t>
            </w:r>
          </w:p>
        </w:tc>
      </w:tr>
      <w:tr>
        <w:trPr>
          <w:trHeight w:val="216"/>
        </w:trPr>
        <w:tc>
          <w:tcPr>
            <w:tcW w:w="8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STOCK-BASED COMPENSATION</w:t>
      </w:r>
    </w:p>
    <w:p>
      <w:pPr>
        <w:spacing w:after="0" w:line="13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February 2021, the Company adopted the 2021 Equity Incentive Plan (the “Plan”) for the issuance of stock options to the Company’s key directors, officers, employees and consultants, as a means to secure the benefits arising from capital stock ownership. The purposes of the Plan are to promote the alignment of the interests of key directors, officers, employees, and consultants with the success of the Company and to provide compensation opportunities to attract, retain and motivate directors, officers, employees, and consultants of the Company.</w:t>
      </w:r>
    </w:p>
    <w:p>
      <w:pPr>
        <w:spacing w:after="0" w:line="10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Under the Plan, the Company initially authorized 841,800 shares of its common stock for issuance upon exercise of options granted under the Plan. In August 2021, the Company’s Board of Directors amended the Plan to increase the aggregate number of shares of its common stock reserved for issuance pursuant to the Plan by 1,889,682 shares, from 841,800 shares to a new total of 2,731,482 shares. In November 2021, the Company’s Board of Directors further amended the Plan to further increase the aggregate number of shares of its common stock reserved for issuance pursuant to the Plan by 319,852 shares, from 2,731,482 shares to a new total of 3,051,334 shares. As of June 30, 2023, 1,039,784 shares were available for future grants.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activity</w:t>
      </w:r>
    </w:p>
    <w:p>
      <w:pPr>
        <w:spacing w:after="0" w:line="15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Stock options granted generally (i) are subject to requisite service requirements, (ii) vest over a four-year period with 25% of the options granted vesting after one year and the remainder vesting in equal monthly installments over the following 36 months, and (iii) allow for early exercise subject to repurchase. Stock options granted to certain of the Company’s non-employees vest in equal monthly installments over a four-year period or vested upon the achievement of a certain milestone event. The Company did not repurchase any stock options during the six months ended June 30, 2023 and June 30, 2022.</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stock option activity under the Plan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Weighted-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Average</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Weighted-</w:t>
            </w:r>
          </w:p>
        </w:tc>
        <w:tc>
          <w:tcPr>
            <w:tcW w:w="130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rPr>
              <w:t>Weighted-</w:t>
            </w: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Remaining</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w w:val="91"/>
              </w:rPr>
              <w:t>Average</w:t>
            </w:r>
          </w:p>
        </w:tc>
        <w:tc>
          <w:tcPr>
            <w:tcW w:w="400" w:type="dxa"/>
            <w:vAlign w:val="bottom"/>
          </w:tcPr>
          <w:p>
            <w:pPr>
              <w:spacing w:after="0"/>
              <w:rPr>
                <w:sz w:val="17"/>
                <w:szCs w:val="17"/>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Average</w:t>
            </w: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Contractual</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r>
      <w:tr>
        <w:trPr>
          <w:trHeight w:val="203"/>
        </w:trPr>
        <w:tc>
          <w:tcPr>
            <w:tcW w:w="4780" w:type="dxa"/>
            <w:vAlign w:val="bottom"/>
          </w:tcPr>
          <w:p>
            <w:pPr>
              <w:spacing w:after="0"/>
              <w:rPr>
                <w:sz w:val="17"/>
                <w:szCs w:val="17"/>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7"/>
                <w:szCs w:val="17"/>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ind w:left="260"/>
              <w:spacing w:after="0"/>
              <w:rPr>
                <w:sz w:val="20"/>
                <w:szCs w:val="20"/>
                <w:color w:val="auto"/>
              </w:rPr>
            </w:pPr>
            <w:r>
              <w:rPr>
                <w:rFonts w:ascii="Arial" w:cs="Arial" w:eastAsia="Arial" w:hAnsi="Arial"/>
                <w:sz w:val="16"/>
                <w:szCs w:val="16"/>
                <w:b w:val="1"/>
                <w:bCs w:val="1"/>
                <w:color w:val="auto"/>
              </w:rPr>
              <w:t>Grant Date</w:t>
            </w: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Term</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213"/>
        </w:trPr>
        <w:tc>
          <w:tcPr>
            <w:tcW w:w="4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of Shares</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Price</w:t>
            </w:r>
          </w:p>
        </w:tc>
        <w:tc>
          <w:tcPr>
            <w:tcW w:w="130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(in years)</w:t>
            </w:r>
          </w:p>
        </w:tc>
        <w:tc>
          <w:tcPr>
            <w:tcW w:w="13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92"/>
              </w:rPr>
              <w:t>(in thousands)</w:t>
            </w: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7"/>
              </w:rPr>
              <w:t>1,916,194</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3.00</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8.65</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20,130</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464,613</w:t>
            </w:r>
          </w:p>
        </w:tc>
        <w:tc>
          <w:tcPr>
            <w:tcW w:w="34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17.59</w:t>
            </w:r>
          </w:p>
        </w:tc>
        <w:tc>
          <w:tcPr>
            <w:tcW w:w="4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13.01</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(503,878)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5.60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3.64</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(318,546)</w:t>
            </w:r>
          </w:p>
        </w:tc>
        <w:tc>
          <w:tcPr>
            <w:tcW w:w="34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4.68</w:t>
            </w:r>
          </w:p>
        </w:tc>
        <w:tc>
          <w:tcPr>
            <w:tcW w:w="4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3.03</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(185,332)</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3.67</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2.34</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Outstanding as of June 30, 2023</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7"/>
              </w:rPr>
              <w:t>1,873,093</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7.94</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5.54</w:t>
            </w: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8.41</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18,062</w:t>
            </w:r>
          </w:p>
        </w:tc>
        <w:tc>
          <w:tcPr>
            <w:tcW w:w="60" w:type="dxa"/>
            <w:vAlign w:val="bottom"/>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options outstanding and exercisable as of June 30,</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678,352</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4.35</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2.79</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7.74</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8,982</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7"/>
              </w:rPr>
              <w:t>Unvested options outstanding and exercisable as of June 30,</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2023</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w w:val="97"/>
              </w:rPr>
              <w:t>1,194,741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9.99</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7.10</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8.79</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608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4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5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total grant date fair values of options vested during the six months ended June 30, 2023 and June 30, 2022 were $0.8 million and $0.3 million, respectively.</w:t>
      </w:r>
    </w:p>
    <w:p>
      <w:pPr>
        <w:spacing w:after="0" w:line="8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estimated the fair value of options granted using a Black-Scholes option pricing model with the following assumptions presented on a weighted average basis during the following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June 30,</w:t>
      </w:r>
    </w:p>
    <w:p>
      <w:pPr>
        <w:spacing w:after="0" w:line="24" w:lineRule="exact"/>
        <w:rPr>
          <w:sz w:val="20"/>
          <w:szCs w:val="20"/>
          <w:color w:val="auto"/>
        </w:rPr>
      </w:pPr>
    </w:p>
    <w:p>
      <w:pPr>
        <w:ind w:left="9420"/>
        <w:spacing w:after="0"/>
        <w:tabs>
          <w:tab w:leader="none" w:pos="10400" w:val="left"/>
        </w:tabs>
        <w:rPr>
          <w:sz w:val="20"/>
          <w:szCs w:val="20"/>
          <w:color w:val="auto"/>
        </w:rPr>
      </w:pPr>
      <w:r>
        <w:rPr>
          <w:rFonts w:ascii="Arial" w:cs="Arial" w:eastAsia="Arial" w:hAnsi="Arial"/>
          <w:sz w:val="16"/>
          <w:szCs w:val="16"/>
          <w:b w:val="1"/>
          <w:bCs w:val="1"/>
          <w:color w:val="auto"/>
        </w:rPr>
        <w:t>  2023</w:t>
      </w:r>
      <w:r>
        <w:rPr>
          <w:sz w:val="20"/>
          <w:szCs w:val="20"/>
          <w:color w:val="auto"/>
        </w:rPr>
        <w:tab/>
      </w:r>
      <w:r>
        <w:rPr>
          <w:rFonts w:ascii="Arial" w:cs="Arial" w:eastAsia="Arial" w:hAnsi="Arial"/>
          <w:sz w:val="16"/>
          <w:szCs w:val="16"/>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-116205</wp:posOffset>
            </wp:positionV>
            <wp:extent cx="10801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4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060" w:type="dxa"/>
            <w:vAlign w:val="bottom"/>
          </w:tcPr>
          <w:p>
            <w:pPr>
              <w:jc w:val="right"/>
              <w:ind w:right="130"/>
              <w:spacing w:after="0"/>
              <w:rPr>
                <w:sz w:val="20"/>
                <w:szCs w:val="20"/>
                <w:color w:val="auto"/>
              </w:rPr>
            </w:pPr>
            <w:r>
              <w:rPr>
                <w:rFonts w:ascii="Arial" w:cs="Arial" w:eastAsia="Arial" w:hAnsi="Arial"/>
                <w:sz w:val="18"/>
                <w:szCs w:val="18"/>
                <w:color w:val="auto"/>
              </w:rPr>
              <w:t>5.90</w:t>
            </w:r>
          </w:p>
        </w:tc>
        <w:tc>
          <w:tcPr>
            <w:tcW w:w="8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6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519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2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expected dividend yields are 0.00% as the Company has never paid cash dividends and does not expect to pay any cash dividends in the foreseeable future.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 expense</w:t>
      </w:r>
    </w:p>
    <w:p>
      <w:pPr>
        <w:spacing w:after="0" w:line="15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recorded total stock-based compensation of $0.9 million and $1.4 million for the three and six-months ended June 30, 2023, respectively, and $0.6 million and $0.8 million for the three and six-months ended June 30, 2022, respectively. Stock-based compensation expense was classified as follows in the Company’s unaudited condensed consolidated statements of operations and comprehensive loss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17"/>
                <w:szCs w:val="17"/>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Six Months Ended</w:t>
            </w:r>
          </w:p>
        </w:tc>
      </w:tr>
      <w:tr>
        <w:trPr>
          <w:trHeight w:val="210"/>
        </w:trPr>
        <w:tc>
          <w:tcPr>
            <w:tcW w:w="4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June 30,</w:t>
            </w:r>
          </w:p>
        </w:tc>
      </w:tr>
      <w:tr>
        <w:trPr>
          <w:trHeight w:val="188"/>
        </w:trPr>
        <w:tc>
          <w:tcPr>
            <w:tcW w:w="4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0" w:type="dxa"/>
            <w:vAlign w:val="bottom"/>
            <w:tcBorders>
              <w:top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  </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w:t>
            </w:r>
          </w:p>
        </w:tc>
        <w:tc>
          <w:tcPr>
            <w:tcW w:w="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  </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w:t>
            </w:r>
          </w:p>
        </w:tc>
        <w:tc>
          <w:tcPr>
            <w:tcW w:w="60" w:type="dxa"/>
            <w:vAlign w:val="bottom"/>
          </w:tcPr>
          <w:p>
            <w:pPr>
              <w:spacing w:after="0"/>
              <w:rPr>
                <w:sz w:val="16"/>
                <w:szCs w:val="16"/>
                <w:color w:val="auto"/>
              </w:rPr>
            </w:pPr>
          </w:p>
        </w:tc>
      </w:tr>
      <w:tr>
        <w:trPr>
          <w:trHeight w:val="213"/>
        </w:trPr>
        <w:tc>
          <w:tcPr>
            <w:tcW w:w="4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0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$558</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716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460" w:type="dxa"/>
            <w:vAlign w:val="bottom"/>
          </w:tcPr>
          <w:p>
            <w:pPr>
              <w:spacing w:after="0"/>
              <w:rPr>
                <w:sz w:val="19"/>
                <w:szCs w:val="19"/>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411</w:t>
            </w: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650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0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$969</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84"/>
              </w:rPr>
              <w:t>1,366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r>
      <w:tr>
        <w:trPr>
          <w:trHeight w:val="216"/>
        </w:trPr>
        <w:tc>
          <w:tcPr>
            <w:tcW w:w="41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2"/>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4140" w:type="dxa"/>
            <w:vAlign w:val="bottom"/>
          </w:tcPr>
          <w:p>
            <w:pPr>
              <w:spacing w:after="0"/>
              <w:rPr>
                <w:sz w:val="24"/>
                <w:szCs w:val="24"/>
                <w:color w:val="auto"/>
              </w:rPr>
            </w:pPr>
          </w:p>
        </w:tc>
        <w:tc>
          <w:tcPr>
            <w:tcW w:w="4000" w:type="dxa"/>
            <w:vAlign w:val="bottom"/>
            <w:gridSpan w:val="2"/>
          </w:tcPr>
          <w:p>
            <w:pPr>
              <w:jc w:val="right"/>
              <w:ind w:right="2376"/>
              <w:spacing w:after="0"/>
              <w:rPr>
                <w:sz w:val="20"/>
                <w:szCs w:val="20"/>
                <w:color w:val="auto"/>
              </w:rPr>
            </w:pPr>
            <w:r>
              <w:rPr>
                <w:rFonts w:ascii="Arial" w:cs="Arial" w:eastAsia="Arial" w:hAnsi="Arial"/>
                <w:sz w:val="18"/>
                <w:szCs w:val="18"/>
                <w:color w:val="auto"/>
              </w:rPr>
              <w:t>F-43</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As of June 30, 2023 there was $7.7 million of unrecognized stock-based compensation expense related to unvested stock options estimated to be recognized over a weighted-average period of 2.55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NET LOSS PER SHARE</w:t>
      </w:r>
    </w:p>
    <w:p>
      <w:pPr>
        <w:spacing w:after="0" w:line="1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Basic and diluted net loss per common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20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June 30,</w:t>
            </w:r>
          </w:p>
        </w:tc>
      </w:tr>
      <w:tr>
        <w:trPr>
          <w:trHeight w:val="202"/>
        </w:trPr>
        <w:tc>
          <w:tcPr>
            <w:tcW w:w="5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r>
      <w:tr>
        <w:trPr>
          <w:trHeight w:val="48"/>
        </w:trPr>
        <w:tc>
          <w:tcPr>
            <w:tcW w:w="5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(13,441)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(32,099)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(27,645)</w:t>
            </w:r>
          </w:p>
        </w:tc>
      </w:tr>
      <w:tr>
        <w:trPr>
          <w:trHeight w:val="53"/>
        </w:trPr>
        <w:tc>
          <w:tcPr>
            <w:tcW w:w="5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basic and diluted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7"/>
              </w:rPr>
              <w:t>1,619,547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7"/>
              </w:rPr>
              <w:t>1,641,411</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9"/>
              </w:rPr>
              <w:t>1,615,194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1,616,711</w:t>
            </w:r>
          </w:p>
        </w:tc>
        <w:tc>
          <w:tcPr>
            <w:tcW w:w="12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(17.10)</w:t>
            </w:r>
          </w:p>
        </w:tc>
      </w:tr>
      <w:tr>
        <w:trPr>
          <w:trHeight w:val="216"/>
        </w:trPr>
        <w:tc>
          <w:tcPr>
            <w:tcW w:w="5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COMMITMENTS AND CONTINGENCIES</w:t>
      </w:r>
    </w:p>
    <w:p>
      <w:pPr>
        <w:spacing w:after="0" w:line="134" w:lineRule="exact"/>
        <w:rPr>
          <w:sz w:val="20"/>
          <w:szCs w:val="20"/>
          <w:color w:val="auto"/>
        </w:rPr>
      </w:pPr>
    </w:p>
    <w:p>
      <w:pPr>
        <w:jc w:val="both"/>
        <w:ind w:left="120" w:right="60"/>
        <w:spacing w:after="0" w:line="282"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—As of June 30, 2023, the Company had entered into commitments under lease agreements to rent office space and finance equipment (see Note</w:t>
      </w:r>
      <w:r>
        <w:rPr>
          <w:rFonts w:ascii="Arial" w:cs="Arial" w:eastAsia="Arial" w:hAnsi="Arial"/>
          <w:sz w:val="18"/>
          <w:szCs w:val="18"/>
          <w:b w:val="1"/>
          <w:bCs w:val="1"/>
          <w:color w:val="auto"/>
        </w:rPr>
        <w:t xml:space="preserve"> </w:t>
      </w:r>
      <w:r>
        <w:rPr>
          <w:rFonts w:ascii="Arial" w:cs="Arial" w:eastAsia="Arial" w:hAnsi="Arial"/>
          <w:sz w:val="18"/>
          <w:szCs w:val="18"/>
          <w:color w:val="auto"/>
        </w:rPr>
        <w:t>6).</w:t>
      </w:r>
    </w:p>
    <w:p>
      <w:pPr>
        <w:spacing w:after="0" w:line="94"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color w:val="auto"/>
        </w:rPr>
        <w:t>Commitments</w:t>
      </w:r>
      <w:r>
        <w:rPr>
          <w:rFonts w:ascii="Arial" w:cs="Arial" w:eastAsia="Arial" w:hAnsi="Arial"/>
          <w:sz w:val="18"/>
          <w:szCs w:val="18"/>
          <w:color w:val="auto"/>
        </w:rPr>
        <w:t>—As of December 31, 2022, the Company had entered into commitments under license, acquisition, research collaboration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research agreements with third parties (see Note 12). In addition, the Company has entered into services agreements with third parties for pharmaceutical manufacturing and research activities in the normal course of business, which can generally be terminated by the Company with 30- to 60-days’ written notice, unless otherwise indicated. Further, certain of the Company’s manufacturing agreements could require early termination and wind-down payments due from the Company upon either the termination of its clinical trials or if the Company terminates such agreements for convenience.</w:t>
      </w:r>
    </w:p>
    <w:p>
      <w:pPr>
        <w:spacing w:after="0" w:line="120"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b w:val="1"/>
          <w:bCs w:val="1"/>
          <w:color w:val="auto"/>
        </w:rPr>
        <w:t>Contingencies</w:t>
      </w:r>
      <w:r>
        <w:rPr>
          <w:rFonts w:ascii="Arial" w:cs="Arial" w:eastAsia="Arial" w:hAnsi="Arial"/>
          <w:sz w:val="17"/>
          <w:szCs w:val="17"/>
          <w:color w:val="auto"/>
        </w:rPr>
        <w:t>—From time to time, the Company may have certain contingent liabilities that arise in the ordinary course of business.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7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Indemnification Agreements</w:t>
      </w:r>
      <w:r>
        <w:rPr>
          <w:rFonts w:ascii="Arial" w:cs="Arial" w:eastAsia="Arial" w:hAnsi="Arial"/>
          <w:sz w:val="18"/>
          <w:szCs w:val="18"/>
          <w:color w:val="auto"/>
        </w:rPr>
        <w:t>—In the ordinary course of business, the Company may provide indemnification of varying scope and terms to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For all periods presented, the Company has not incurred any material costs as a result of such indemnifications.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12. LICENSE, ACQUISITION, RESEARCH COLLABORATION AND SPONSORED RESEARCH AGREEMENTS</w:t>
      </w:r>
    </w:p>
    <w:p>
      <w:pPr>
        <w:spacing w:after="0" w:line="15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b w:val="1"/>
          <w:bCs w:val="1"/>
          <w:color w:val="auto"/>
        </w:rPr>
        <w:t>Adverum Biotechnologies</w:t>
      </w:r>
      <w:r>
        <w:rPr>
          <w:rFonts w:ascii="Arial" w:cs="Arial" w:eastAsia="Arial" w:hAnsi="Arial"/>
          <w:sz w:val="16"/>
          <w:szCs w:val="16"/>
          <w:color w:val="auto"/>
        </w:rPr>
        <w:t>—On January 25, 2021, the Company entered into an exclusive license agreement with Adverum Biotechnologies Inc.</w:t>
      </w:r>
      <w:r>
        <w:rPr>
          <w:rFonts w:ascii="Arial" w:cs="Arial" w:eastAsia="Arial" w:hAnsi="Arial"/>
          <w:sz w:val="16"/>
          <w:szCs w:val="16"/>
          <w:b w:val="1"/>
          <w:bCs w:val="1"/>
          <w:color w:val="auto"/>
        </w:rPr>
        <w:t xml:space="preserve"> </w:t>
      </w:r>
      <w:r>
        <w:rPr>
          <w:rFonts w:ascii="Arial" w:cs="Arial" w:eastAsia="Arial" w:hAnsi="Arial"/>
          <w:sz w:val="16"/>
          <w:szCs w:val="16"/>
          <w:color w:val="auto"/>
        </w:rPr>
        <w:t>(“Adverum”) to in-license materials and technology related to the treatment of Cardiomyopathy due to Friedrich’s Ataxia (the “Adverum Agreement”). In connection with the Adverum Agreement, the Company gained access to a portfolio of inventions, patent rights, technology, and licensed methods that the Company continues to develop, and the Company will assume all development and commercialization activities worldwide. Pursuant to the Adverum Agreement, the Company paid a one-time up-front non-refundable fee of $7.5 million, and is obligated to pay aggregate development and regulatory milestones of up to $17.5 million including a $3.5 million development milestone that was achieved and paid in the first quarter of 2023, aggregate sales event and commercialization milestones of up to $49.0 million, and royalty payments ranging from 8% of aggregate net sales less than or equal to $500 million in a calendar year to 10% of aggregate net sales greater than $500 million in a calendar year subject to reductions upon the expiration of valid claims in licensed patents and third-party licenses. As of June 30, 2023, there were no research and development expenses recorded by the Company or payments made to Adverum under the terms of the Adverum Agreement other than the one-time up-front non-refundable fee of $7.5 million and the $3.5 million development milestone that was achieved and paid in the first quarter of 2023.</w:t>
      </w:r>
    </w:p>
    <w:p>
      <w:pPr>
        <w:spacing w:after="0" w:line="10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Adverum Agreement remains in effect until termination at the date of the last royalty term to expire. The Company can terminate the Adverum Agreement with 120 days’ written notice. The Adverum Agreement can also be terminated as a result of a patent challenge, material breach of contractual terms, or insolvency by either party.</w:t>
      </w:r>
    </w:p>
    <w:p>
      <w:pPr>
        <w:spacing w:after="0" w:line="9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b w:val="1"/>
          <w:bCs w:val="1"/>
          <w:color w:val="auto"/>
        </w:rPr>
        <w:t>Cornell University</w:t>
      </w:r>
      <w:r>
        <w:rPr>
          <w:rFonts w:ascii="Arial" w:cs="Arial" w:eastAsia="Arial" w:hAnsi="Arial"/>
          <w:sz w:val="17"/>
          <w:szCs w:val="17"/>
          <w:color w:val="auto"/>
        </w:rPr>
        <w:t>—On May 27, 2020, the Company entered into two exclusive license agreements with Cornell University (“Cornell”) (the “Cornell</w:t>
      </w:r>
      <w:r>
        <w:rPr>
          <w:rFonts w:ascii="Arial" w:cs="Arial" w:eastAsia="Arial" w:hAnsi="Arial"/>
          <w:sz w:val="17"/>
          <w:szCs w:val="17"/>
          <w:b w:val="1"/>
          <w:bCs w:val="1"/>
          <w:color w:val="auto"/>
        </w:rPr>
        <w:t xml:space="preserve"> </w:t>
      </w:r>
      <w:r>
        <w:rPr>
          <w:rFonts w:ascii="Arial" w:cs="Arial" w:eastAsia="Arial" w:hAnsi="Arial"/>
          <w:sz w:val="17"/>
          <w:szCs w:val="17"/>
          <w:color w:val="auto"/>
        </w:rPr>
        <w:t>First License Agreement” and the “Cornell Second License Agreement,” collectively “the Cornell License Agreements”). The Cornell First License Agreement is for the in-license of technology related to portfolios for APOE, Alzheimer’s disease, and Anti-Tau, although the Company’s license is not restricted by such indications and it includes assignment to the Company of Cornell’s IND for the use of AAVrh10.hAPOE2 vector to treat APOE4 homozygous patients who are at risk for or have Alzheimer’s disease to support development of the Company’s LX1001 program. The Cornell Second License Agreement is for the in-license of technology related to portfolios for infantile neuronal ceroid lipofuscinosis (also called CLN2 Batten disease) and Friedreich’s ataxia although the Company’s license is not restricted by such indications, and it includes assignment to the Company of Cornell’s IND for the use of AAVrh.10cUhCLN2 to treat children with CLN2 Batten disease to support development of the Company’s LX1004 program. Through the Cornell License Agreements, the Company gains access to a portfolio of inventions, patent rights, technology, and licensed methods that the Company continues to develop. Under the terms of the Cornell License Agreements, the Company has assumed all development and commercialization activities worldwide with respect to the licensed technology.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initial consideration for the Cornell License Agreements, the Company paid Cornell an upfront payment in cash of $0.3 million and issued</w:t>
      </w:r>
    </w:p>
    <w:p>
      <w:pPr>
        <w:spacing w:after="0" w:line="35"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$1.3 million of notes (“Notes”). In November 2020, Notes with outstanding principal of $1.3 million were cancelled in exchange for 1,337,610 shares of Series A convertible preferred stock. As additional consideration, the Company is required to pay Cornell up to $8.4 million upon the achievement of specific clinical and regulatory milestones under the Cornell First License Agreement and up to $4.3 million in two portfolios and up to $0.6 million for a third portfolio upon the achievement of specific clinical and regulatory milestones under the Cornell Second License Agreement. In the second quarter of 2022, a clinical and regulatory milestone of $0.1 million was recognized and paid to Cornell in connection with the Cornell Second License Agreement. The Company is also required to pay Cornell a flat royalty in the mid-single-digits based on net sales of the products covered by the licenses, subject to certain adjustments.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Upon expiration of the royalty term of a given licensed product in a country, the respective license becomes non-exclusive and royalty-free. In addition, each of the Cornell License Agreements may be terminated by the Company for any reason upon ninety (90) days’ advance notice to Cornell and by Cornell upon the Company’s material uncured breach, and all licenses and rights granted by either party under such agreement will concurrently terminate.</w:t>
      </w:r>
    </w:p>
    <w:p>
      <w:pPr>
        <w:spacing w:after="0" w:line="11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During the three and six months ended June 30, 2022, the Company incurred and paid $0.1 million of research and development expenses to Cornell in connection with the Cornell License Agreements. During the three and six months ended June 30, 2023, the Company did not incur any research and development expenses or make any payments to Cornell in connection with the Cornell License Agreements.</w:t>
      </w:r>
    </w:p>
    <w:p>
      <w:pPr>
        <w:spacing w:after="0" w:line="94"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Stelios Therapeutics, Inc.</w:t>
      </w:r>
      <w:r>
        <w:rPr>
          <w:rFonts w:ascii="Arial" w:cs="Arial" w:eastAsia="Arial" w:hAnsi="Arial"/>
          <w:sz w:val="16"/>
          <w:szCs w:val="16"/>
          <w:color w:val="auto"/>
        </w:rPr>
        <w:t>—Stelios Therapeutics, Inc. (“Stelios”) was an early-stage company developing novel adeno-associated AAV-based gene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therapies for rare cardiac conditions including arrhythmogenic right ventricular cardiomyopathy and TNNI3-associated hypertrophic cardiomyopathy. On July 16, 2021, the Company acquired 100% of the outstanding stock of Stelios that was accounted for as an asset acquisition pursuant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is required to pay up to an aggregate of $20.5 million to the selling shareholders of Stelios upon the achievement of certain development milestones, including a $2.0 million development milestone that was achieved and paid in the third quarter of 2022.</w:t>
      </w:r>
    </w:p>
    <w:p>
      <w:pPr>
        <w:spacing w:after="0" w:line="73"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b w:val="1"/>
          <w:bCs w:val="1"/>
          <w:color w:val="auto"/>
        </w:rPr>
        <w:t>Regents of the University of California, San Diego</w:t>
      </w:r>
      <w:r>
        <w:rPr>
          <w:rFonts w:ascii="Arial" w:cs="Arial" w:eastAsia="Arial" w:hAnsi="Arial"/>
          <w:sz w:val="17"/>
          <w:szCs w:val="17"/>
          <w:color w:val="auto"/>
        </w:rPr>
        <w:t>—Stelios entered into exclusive worldwide license agreements on April 23, 2020, and August 6,</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“First UCSD Agreement” and the “Second UCSD Agreement”, respectively) with the Regents of UCSD to in-license materials and intellectual property related to gene therapies for arrhythmogenic right ventricular cardiomyopathy and hypertrophic cardiomyopathy, respectively. The First UCSD Agreement and the Second UCSD Agreement relate to the Company’s development efforts for its LX2021 and LX2022 programs, respectively. In connection with the First UCSD Agreement and the Second UCSD Agreement, the Company gained access to inventions, patent rights, technology, and licensed methods that it continues to develop, and it has assumed all worldwide development and commercialization activities with respect to the licensed technologies. The First UCSD Agreement and Second UCSD Agreement required Stelios to pay one-time up-front non-refundable cash fees of $20,000 for each agreement and requires the Company to pay aggregate development and commercialization milestones of up to $4.75 million and $2.4 million, respectively, and low- to mid-single digit royalties and low-single digit royalties, respectively, based on aggregate net sales. The only research and development expenses incurred by Stelios or the Company and payments made to the Regents of UCSD to-date under the terms of the First UCSD Agreement and the Second UCSD Agreement were the one-time up-front non-refundable cash fees of $20,000 for each agreement. The Company has the right to terminate the First UCSD Agreement and the Second UCSD Agreement at any time upon sixty (60)-days’ written notice to the Regents of UCSD.</w:t>
      </w:r>
    </w:p>
    <w:p>
      <w:pPr>
        <w:spacing w:after="0" w:line="11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On October 4, 2021, the Company entered into an exclusive worldwide license agreement (the “Third UCSD Agreement” and collectively with the First UCSD Agreement and the Second UCSD Agreement, the “UCSD Agreements”) with the Regents of UCSD to in-license materials and intellectual property related to a gene therapy for arrhythmogenic right ventricular cardiomyopathy. The Third UCSD Agreement relates to the Company’s development efforts for its LX2020 program. In connection with the Third UCSD Agreement, the Company gained access to inventions, patent rights, technology, and licensed methods that it continues to develop, and it has assumed all worldwide development and commercialization activities with respect to the licensed technology. The Third UCSD Agreement required the Company to pay a one-time up-front non-refundable cash fee of $20,000 and requires the Company to pay aggregate development and commercialization milestones of up to $4.0 million, and low- to mid-single digit royalties based on aggregate net sales. The only research and development expenses incurred by the Company and payments made to the Regents of UCSD to-date under the terms of the Third UCSD Agreement were the one-time up-front non-refundable cash fee of $20,000. The Company has the right to terminate the Third UCSD Agreement at any time upon sixty (60)-days’ written notice to the Regents of UCSD.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December 3, 2021, the Company entered into two sponsored research agreements with the Regents of UCSD (collectively, the “UCSD SRAs”) for the Company’s LX2020, LX2021 and LX2022 programs in connection with the UCSD Agreements. Under the terms of the UCSD SRAs, the Company has the first rights to obtain non-exclusive or exclusive, sublicensable, royalty-bearing, perpetual and transferable worldwide licenses in any resulting inventions owned by the Regents of UCSD or resulting jointly owned inventions between the Company and the Regents of UCSD, and the Company retains the rights to any resulting inventions owned by the Company. The UCSD SRAs have a two-year term and may be terminated early by the Company at any time upon the giving of thirty (30) days’ written notice to the Regents of UCSD. The total costs to be invoiced to the Company over the terms of the UCSD SRAs are approximately $5.5 million, of which $0.5 million and $0.5 million were recorded in research and development expenses during the three months ended June 30, 2023, and June 30, 2022, respectively, and $0.3 million and $1.8 million were recorded in research and development expenses during the six months ended June 30, 2023, and June 30, 2022, respectively. The Company did not make any payments to UCSD in connection with the UCSD SRAs during the three months ended June 30, 2023, and made payments totaling $0.2 million during the six months ended June 30, 2023. The Company paid totals of $0.5 million and $1.8 million during the three and six months ended June 30, 2022, respectively, and has paid a cumulative total of $3.0 million to the Regents of UCSD to-date as of June 30, 2023, in connection with the UCSD SRAs.</w:t>
      </w:r>
    </w:p>
    <w:p>
      <w:pPr>
        <w:spacing w:after="0" w:line="96"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color w:val="auto"/>
        </w:rPr>
        <w:t>Weill Cornell Medical College</w:t>
      </w:r>
      <w:r>
        <w:rPr>
          <w:rFonts w:ascii="Arial" w:cs="Arial" w:eastAsia="Arial" w:hAnsi="Arial"/>
          <w:sz w:val="18"/>
          <w:szCs w:val="18"/>
          <w:color w:val="auto"/>
        </w:rPr>
        <w:t>—On February 2, 2021, the Company entered into a Research Collaboration Agreement with Weill Cornell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College (“WCM” and the “WCM Agreement”) in conjunction with the Cornell License Agreements entered on May 27, 2020. The Company committed to fund scientific research at WCM to investigate further and potentially enhance the technology licensed to the Company pursuant to the License Agreements.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terms of the WCM Agreement, the Company is required to pay WCM at least $3.0 million over the course of 3 years, with equal</w:t>
      </w:r>
    </w:p>
    <w:p>
      <w:pPr>
        <w:spacing w:after="0" w:line="23"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$0.25 million payments due each quarter starting 10 days after the execution of the WCM Agreement. With respect to each WCM invention, joint invention, and related joint results for which an Improvement, as defined in the WCM Agreement, applies and the Company has made an election to amend the Cornell License Agreements, the Company has the first option to negotiate in good faith with WCM for royalty-bearing, worldwide license, under Cornell patent rights, Cornell rights, and Cornell’s interest in joint patent rights, to develop, make, have made, use, offer for sale, sell, have sold, and import derived products in the field. During the three months ended June 30, 2022, the Company did not incur or pay any costs to WCM in connection with the WCM Agreement and incurred and paid $0.8 million to WCM during the six months ended June 30, 2022. During the three months ended June 30, 2023, the Company incurred and paid $0.3 million of costs to WCM in connection with the WCM Agreement, and during the six months ended June 30, 2023, the Company incurred and paid $3.4 million to WCM. Cumulatively, the Company has incurred and paid total research and development costs of $9.6 million to WCM to-date in connection with the WCM Agreement as of June 30, 2023.</w:t>
      </w:r>
    </w:p>
    <w:p>
      <w:pPr>
        <w:spacing w:after="0" w:line="91" w:lineRule="exact"/>
        <w:rPr>
          <w:sz w:val="20"/>
          <w:szCs w:val="20"/>
          <w:color w:val="auto"/>
        </w:rPr>
      </w:pPr>
    </w:p>
    <w:p>
      <w:pPr>
        <w:jc w:val="both"/>
        <w:ind w:left="120" w:right="480"/>
        <w:spacing w:after="0" w:line="342" w:lineRule="auto"/>
        <w:rPr>
          <w:sz w:val="20"/>
          <w:szCs w:val="20"/>
          <w:color w:val="auto"/>
        </w:rPr>
      </w:pPr>
      <w:r>
        <w:rPr>
          <w:rFonts w:ascii="Arial" w:cs="Arial" w:eastAsia="Arial" w:hAnsi="Arial"/>
          <w:sz w:val="16"/>
          <w:szCs w:val="16"/>
          <w:color w:val="auto"/>
        </w:rPr>
        <w:t>The WCM Agreement terminates upon the expiration of the agreed upon 3-year term. In addition, the WCM Agreement may be terminated by the Company in the event that the WCM principal investigator ceases to supervise the research and WCM is unable to or declines to find a substitute.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SUBSEQUENT EVENTS</w:t>
      </w:r>
    </w:p>
    <w:p>
      <w:pPr>
        <w:spacing w:after="0" w:line="13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Subsequent events have been evaluated through August 15, 2023, which is the date that these unaudited condensed consolidated financial statements were issued and were available to be issued.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i w:val="1"/>
          <w:iCs w:val="1"/>
          <w:color w:val="auto"/>
        </w:rPr>
        <w:t>9,000,000 Shares</w:t>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2487930</wp:posOffset>
            </wp:positionV>
            <wp:extent cx="1474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tabs>
          <w:tab w:leader="none" w:pos="2540" w:val="left"/>
          <w:tab w:leader="none" w:pos="5840" w:val="left"/>
          <w:tab w:leader="none" w:pos="82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7"/>
          <w:szCs w:val="27"/>
          <w:b w:val="1"/>
          <w:bCs w:val="1"/>
          <w:color w:val="auto"/>
        </w:rPr>
        <w:t>RBC Capital Markets</w:t>
      </w: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Chardan</w:t>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Through and including    , 2023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020"/>
          </w:cols>
          <w:pgMar w:left="320" w:top="459" w:right="559" w:bottom="1440" w:gutter="0" w:footer="0" w:header="0"/>
          <w:type w:val="continuous"/>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95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3"/>
        </w:trPr>
        <w:tc>
          <w:tcPr>
            <w:tcW w:w="9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FINRA filing fee</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23,788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1,127,483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Miscellaneous</w:t>
            </w:r>
          </w:p>
        </w:tc>
        <w:tc>
          <w:tcPr>
            <w:tcW w:w="4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56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4,300,000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90"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9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9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9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03"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r>
        <w:rPr>
          <w:rFonts w:ascii="Arial" w:cs="Arial" w:eastAsia="Arial" w:hAnsi="Arial"/>
          <w:sz w:val="22"/>
          <w:szCs w:val="22"/>
          <w:b w:val="1"/>
          <w:bCs w:val="1"/>
          <w:i w:val="1"/>
          <w:iCs w:val="1"/>
          <w:color w:val="auto"/>
        </w:rPr>
        <w:t>.</w:t>
      </w:r>
    </w:p>
    <w:p>
      <w:pPr>
        <w:spacing w:after="0" w:line="1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Limited Liability Interests</w:t>
      </w:r>
    </w:p>
    <w:p>
      <w:pPr>
        <w:spacing w:after="0" w:line="14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our formation in February 2017, we issued 9,025 limited liability common units to our founder and 475 limited liability common units to a service provider that is an accredited investor.</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January 2020, we issued 511 limited liability company incentive units to our chief executive officer.</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2020, we issued an aggregate of 206 limited liability company incentive units to two of our employees.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Common Stock</w:t>
      </w:r>
    </w:p>
    <w:p>
      <w:pPr>
        <w:spacing w:after="0" w:line="15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November 2020, we issued an aggregate of 1,514,113 shares of our common stock to five individuals and accredited investors, including our founder and our chief executive officer, in connection with the conversion of all outstanding units to shares of common stock and the conversion of our company from a limited liability company to a corporation.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Convertible Promissory Notes and SAFE Instruments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2020, we issued a convertible promissory note to Cornell University in the principal amount of $650,000.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2020, we issued a convertible promissory note to Cornell University in the principal amount of $650,000.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June 2020, we issued a convertible promissory note to the Alzheimer’s Drug Discovery Foundation in the principal amount of $1,977,336.</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we issued a convertible promissory note to the Alchemy LP in the principal amount of $250,000.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we issued a convertible promissory note to Thomas McWilliams in the principal amount of $250,000.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September 2020, we issued a convertible promissory note to Nova Venture Holdings LLC in the principal amount of $125,000.</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2023, we issued a SAFE instrument to Sarepta Therapeutics, Inc. in the amount of $4.0 million.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November 2020, we issued an aggregate of 31,337,606 shares of our Series A convertible preferred stock to 13 investors at a purchase price of</w:t>
      </w:r>
    </w:p>
    <w:p>
      <w:pPr>
        <w:spacing w:after="0" w:line="3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$1.00 per share, for aggregate cash consideration of approximately $30 million and pursuant to the conversion of certain convertible promissory notes and related cancellation of indebtedness of approximately $1.3 million. We also issued an aggregate of 4,495,729 shares of our Series A convertible preferred stock to four investors at a price of $0.85 per share, pursuant to the conversion of certain convertible promissory notes and related cancellation of indebtedness of approximately $2.7 million.</w:t>
      </w:r>
    </w:p>
    <w:p>
      <w:pPr>
        <w:spacing w:after="0" w:line="1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July 2021, we issued an aggregate of 50,999,997 shares of our Series A convertible preferred stock to 11 investors at a purchase price of $1.00 per share, for aggregate consideration of approximately $51 million.</w:t>
      </w:r>
    </w:p>
    <w:p>
      <w:pPr>
        <w:spacing w:after="0" w:line="8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August 2021, we issued an aggregate of 58,157,823 shares of our Series B convertible preferred stock to 32 investors at a purchase price of $1.72 per share, for aggregate consideration of over $100 million.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Pursuant to our Equity Plans</w:t>
      </w:r>
    </w:p>
    <w:p>
      <w:pPr>
        <w:spacing w:after="0" w:line="144"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From February 2017 (the date of our inception) through the date of this registration statement, we granted options under the Existing Plan to purchase an aggregate of 3,281,065 shares of common stock, at a weighted average exercise price of $7.82 per share, to our employees, directors and consultants. Of these, 146,537 shares have been issued upon the exercise of options, and 812,430 options have been forfeited, expired or cancelled.</w:t>
      </w:r>
    </w:p>
    <w:p>
      <w:pPr>
        <w:spacing w:after="0" w:line="8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Sections 3(a)(9) and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r>
        <w:rPr>
          <w:rFonts w:ascii="Arial" w:cs="Arial" w:eastAsia="Arial" w:hAnsi="Arial"/>
          <w:sz w:val="22"/>
          <w:szCs w:val="22"/>
          <w:b w:val="1"/>
          <w:bCs w:val="1"/>
          <w:i w:val="1"/>
          <w:iCs w:val="1"/>
          <w:color w:val="auto"/>
        </w:rPr>
        <w:t>.</w:t>
      </w:r>
    </w:p>
    <w:p>
      <w:pPr>
        <w:spacing w:after="0" w:line="152"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580" w:type="dxa"/>
            <w:vAlign w:val="bottom"/>
            <w:gridSpan w:val="28"/>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440" w:type="dxa"/>
            <w:vAlign w:val="bottom"/>
          </w:tcPr>
          <w:p>
            <w:pPr>
              <w:spacing w:after="0"/>
              <w:rPr>
                <w:sz w:val="18"/>
                <w:szCs w:val="18"/>
                <w:color w:val="auto"/>
              </w:rPr>
            </w:pPr>
          </w:p>
        </w:tc>
        <w:tc>
          <w:tcPr>
            <w:tcW w:w="9580" w:type="dxa"/>
            <w:vAlign w:val="bottom"/>
            <w:tcBorders>
              <w:bottom w:val="single" w:sz="8" w:color="auto"/>
            </w:tcBorders>
            <w:gridSpan w:val="2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40" w:type="dxa"/>
            <w:vAlign w:val="bottom"/>
            <w:gridSpan w:val="2"/>
          </w:tcPr>
          <w:p>
            <w:pPr>
              <w:spacing w:after="0"/>
              <w:rPr>
                <w:sz w:val="20"/>
                <w:szCs w:val="20"/>
                <w:color w:val="auto"/>
              </w:rPr>
            </w:pPr>
            <w:r>
              <w:rPr>
                <w:rFonts w:ascii="Arial" w:cs="Arial" w:eastAsia="Arial" w:hAnsi="Arial"/>
                <w:sz w:val="18"/>
                <w:szCs w:val="18"/>
                <w:color w:val="auto"/>
              </w:rPr>
              <w:t>  1.1</w:t>
            </w:r>
          </w:p>
        </w:tc>
        <w:tc>
          <w:tcPr>
            <w:tcW w:w="9580" w:type="dxa"/>
            <w:vAlign w:val="bottom"/>
            <w:gridSpan w:val="28"/>
          </w:tcPr>
          <w:p>
            <w:pPr>
              <w:spacing w:after="0"/>
              <w:rPr>
                <w:sz w:val="20"/>
                <w:szCs w:val="20"/>
                <w:color w:val="auto"/>
              </w:rPr>
            </w:pPr>
            <w:r>
              <w:rPr>
                <w:rFonts w:ascii="Arial" w:cs="Arial" w:eastAsia="Arial" w:hAnsi="Arial"/>
                <w:sz w:val="18"/>
                <w:szCs w:val="18"/>
                <w:color w:val="0000EE"/>
              </w:rPr>
              <w:t>Form of Underwriting Agreement</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  3.1</w:t>
            </w:r>
          </w:p>
        </w:tc>
        <w:tc>
          <w:tcPr>
            <w:tcW w:w="9580" w:type="dxa"/>
            <w:vAlign w:val="bottom"/>
            <w:gridSpan w:val="28"/>
          </w:tcPr>
          <w:p>
            <w:pPr>
              <w:spacing w:after="0"/>
              <w:rPr>
                <w:sz w:val="20"/>
                <w:szCs w:val="20"/>
                <w:color w:val="auto"/>
              </w:rPr>
            </w:pPr>
            <w:r>
              <w:rPr>
                <w:rFonts w:ascii="Arial" w:cs="Arial" w:eastAsia="Arial" w:hAnsi="Arial"/>
                <w:sz w:val="18"/>
                <w:szCs w:val="18"/>
                <w:color w:val="0000EE"/>
              </w:rPr>
              <w:t>Amended and Restated Certificate of Incorporation of the Registrant (as amended and currently in effect)</w:t>
            </w: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  3.2+</w:t>
            </w:r>
          </w:p>
        </w:tc>
        <w:tc>
          <w:tcPr>
            <w:tcW w:w="32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r:id="rId526">
              <w:r>
                <w:rPr>
                  <w:rFonts w:ascii="Arial" w:cs="Arial" w:eastAsia="Arial" w:hAnsi="Arial"/>
                  <w:sz w:val="18"/>
                  <w:szCs w:val="18"/>
                  <w:color w:val="0000EE"/>
                  <w:w w:val="92"/>
                </w:rPr>
                <w:t>Bylaws of the Registrant (currently in effect)</w:t>
              </w:r>
            </w:hyperlink>
          </w:p>
        </w:tc>
        <w:tc>
          <w:tcPr>
            <w:tcW w:w="4340" w:type="dxa"/>
            <w:vAlign w:val="bottom"/>
            <w:tcBorders>
              <w:top w:val="single" w:sz="8" w:color="0000EE"/>
            </w:tcBorders>
            <w:gridSpan w:val="7"/>
          </w:tcPr>
          <w:p>
            <w:pPr>
              <w:spacing w:after="0"/>
              <w:rPr>
                <w:sz w:val="22"/>
                <w:szCs w:val="22"/>
                <w:color w:val="auto"/>
              </w:rPr>
            </w:pPr>
          </w:p>
        </w:tc>
        <w:tc>
          <w:tcPr>
            <w:tcW w:w="20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  3.3</w:t>
            </w:r>
          </w:p>
        </w:tc>
        <w:tc>
          <w:tcPr>
            <w:tcW w:w="91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Form of Amended and Restated Certificate of Incorporation of the Registrant (to be effective upon the closing of this offering)</w:t>
            </w:r>
          </w:p>
        </w:tc>
        <w:tc>
          <w:tcPr>
            <w:tcW w:w="4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  3.4</w:t>
            </w:r>
          </w:p>
        </w:tc>
        <w:tc>
          <w:tcPr>
            <w:tcW w:w="76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1"/>
              </w:rPr>
              <w:t>Form of Amended and Restated Bylaws of the Registrant (to be effective upon the closing of this offering)</w:t>
            </w:r>
          </w:p>
        </w:tc>
        <w:tc>
          <w:tcPr>
            <w:tcW w:w="19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  4.1+¥</w:t>
            </w:r>
          </w:p>
        </w:tc>
        <w:tc>
          <w:tcPr>
            <w:tcW w:w="9580" w:type="dxa"/>
            <w:vAlign w:val="bottom"/>
            <w:gridSpan w:val="28"/>
          </w:tcPr>
          <w:p>
            <w:pPr>
              <w:spacing w:after="0"/>
              <w:rPr>
                <w:rFonts w:ascii="Arial" w:cs="Arial" w:eastAsia="Arial" w:hAnsi="Arial"/>
                <w:sz w:val="18"/>
                <w:szCs w:val="18"/>
                <w:color w:val="0000EE"/>
                <w:w w:val="90"/>
              </w:rPr>
            </w:pPr>
            <w:hyperlink r:id="rId527">
              <w:r>
                <w:rPr>
                  <w:rFonts w:ascii="Arial" w:cs="Arial" w:eastAsia="Arial" w:hAnsi="Arial"/>
                  <w:sz w:val="18"/>
                  <w:szCs w:val="18"/>
                  <w:color w:val="0000EE"/>
                  <w:w w:val="90"/>
                </w:rPr>
                <w:t>Amended and Restated Investors’ Rights Agreement, by and among the Registrant and certain of its stockholders, dated August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27">
              <w:r>
                <w:rPr>
                  <w:rFonts w:ascii="Arial" w:cs="Arial" w:eastAsia="Arial" w:hAnsi="Arial"/>
                  <w:sz w:val="18"/>
                  <w:szCs w:val="18"/>
                  <w:color w:val="0000EE"/>
                  <w:w w:val="84"/>
                </w:rPr>
                <w:t>2021</w:t>
              </w:r>
            </w:hyperlink>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  4.2</w:t>
            </w:r>
          </w:p>
        </w:tc>
        <w:tc>
          <w:tcPr>
            <w:tcW w:w="9580" w:type="dxa"/>
            <w:vAlign w:val="bottom"/>
            <w:gridSpan w:val="28"/>
          </w:tcPr>
          <w:p>
            <w:pPr>
              <w:spacing w:after="0"/>
              <w:rPr>
                <w:sz w:val="20"/>
                <w:szCs w:val="20"/>
                <w:color w:val="auto"/>
              </w:rPr>
            </w:pPr>
            <w:r>
              <w:rPr>
                <w:rFonts w:ascii="Arial" w:cs="Arial" w:eastAsia="Arial" w:hAnsi="Arial"/>
                <w:sz w:val="18"/>
                <w:szCs w:val="18"/>
                <w:color w:val="0000EE"/>
              </w:rPr>
              <w:t>Form of Common Stock Certificate of the Registrant</w:t>
            </w: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  5.1</w:t>
            </w:r>
          </w:p>
        </w:tc>
        <w:tc>
          <w:tcPr>
            <w:tcW w:w="17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4"/>
              </w:rPr>
              <w:t>Opinion of Cooley LLP</w:t>
            </w:r>
          </w:p>
        </w:tc>
        <w:tc>
          <w:tcPr>
            <w:tcW w:w="2080" w:type="dxa"/>
            <w:vAlign w:val="bottom"/>
            <w:tcBorders>
              <w:top w:val="single" w:sz="8" w:color="0000EE"/>
            </w:tcBorders>
            <w:gridSpan w:val="4"/>
          </w:tcPr>
          <w:p>
            <w:pPr>
              <w:spacing w:after="0"/>
              <w:rPr>
                <w:sz w:val="22"/>
                <w:szCs w:val="22"/>
                <w:color w:val="auto"/>
              </w:rPr>
            </w:pPr>
          </w:p>
        </w:tc>
        <w:tc>
          <w:tcPr>
            <w:tcW w:w="578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w:t>
            </w:r>
          </w:p>
        </w:tc>
        <w:tc>
          <w:tcPr>
            <w:tcW w:w="8960" w:type="dxa"/>
            <w:vAlign w:val="bottom"/>
            <w:tcBorders>
              <w:bottom w:val="single" w:sz="8" w:color="0000EE"/>
            </w:tcBorders>
            <w:gridSpan w:val="20"/>
          </w:tcPr>
          <w:p>
            <w:pPr>
              <w:spacing w:after="0"/>
              <w:rPr>
                <w:rFonts w:ascii="Arial" w:cs="Arial" w:eastAsia="Arial" w:hAnsi="Arial"/>
                <w:sz w:val="18"/>
                <w:szCs w:val="18"/>
                <w:color w:val="0000EE"/>
                <w:w w:val="91"/>
              </w:rPr>
            </w:pPr>
            <w:hyperlink r:id="rId528">
              <w:r>
                <w:rPr>
                  <w:rFonts w:ascii="Arial" w:cs="Arial" w:eastAsia="Arial" w:hAnsi="Arial"/>
                  <w:sz w:val="18"/>
                  <w:szCs w:val="18"/>
                  <w:color w:val="0000EE"/>
                  <w:w w:val="91"/>
                </w:rPr>
                <w:t>2021 Equity Incentive Plan, as amended from time to time and Form of Stock Option Agreement, Early Exercise Notice and</w:t>
              </w:r>
            </w:hyperlink>
          </w:p>
        </w:tc>
        <w:tc>
          <w:tcPr>
            <w:tcW w:w="6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8"/>
          </w:tcPr>
          <w:p>
            <w:pPr>
              <w:spacing w:after="0" w:line="196" w:lineRule="exact"/>
              <w:rPr>
                <w:rFonts w:ascii="Arial" w:cs="Arial" w:eastAsia="Arial" w:hAnsi="Arial"/>
                <w:sz w:val="18"/>
                <w:szCs w:val="18"/>
                <w:color w:val="0000EE"/>
              </w:rPr>
            </w:pPr>
            <w:hyperlink r:id="rId528">
              <w:r>
                <w:rPr>
                  <w:rFonts w:ascii="Arial" w:cs="Arial" w:eastAsia="Arial" w:hAnsi="Arial"/>
                  <w:sz w:val="18"/>
                  <w:szCs w:val="18"/>
                  <w:color w:val="0000EE"/>
                </w:rPr>
                <w:t>Restricted Stock Purchase Agreement, and Exercise Notice</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 10.2#</w:t>
            </w:r>
          </w:p>
        </w:tc>
        <w:tc>
          <w:tcPr>
            <w:tcW w:w="93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1"/>
              </w:rPr>
              <w:t>2023 Equity Incentive Plan and Forms of Option Grant Notice and Agreement, Exercise Notice and Restricted Stock Unit Award</w:t>
            </w:r>
          </w:p>
        </w:tc>
        <w:tc>
          <w:tcPr>
            <w:tcW w:w="2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8"/>
          </w:tcPr>
          <w:p>
            <w:pPr>
              <w:spacing w:after="0" w:line="196" w:lineRule="exact"/>
              <w:rPr>
                <w:sz w:val="20"/>
                <w:szCs w:val="20"/>
                <w:color w:val="auto"/>
              </w:rPr>
            </w:pPr>
            <w:r>
              <w:rPr>
                <w:rFonts w:ascii="Arial" w:cs="Arial" w:eastAsia="Arial" w:hAnsi="Arial"/>
                <w:sz w:val="18"/>
                <w:szCs w:val="18"/>
                <w:color w:val="0000EE"/>
              </w:rPr>
              <w:t>Notice</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 10.3#</w:t>
            </w:r>
          </w:p>
        </w:tc>
        <w:tc>
          <w:tcPr>
            <w:tcW w:w="9580" w:type="dxa"/>
            <w:vAlign w:val="bottom"/>
            <w:gridSpan w:val="28"/>
          </w:tcPr>
          <w:p>
            <w:pPr>
              <w:spacing w:after="0"/>
              <w:rPr>
                <w:sz w:val="20"/>
                <w:szCs w:val="20"/>
                <w:color w:val="auto"/>
              </w:rPr>
            </w:pPr>
            <w:r>
              <w:rPr>
                <w:rFonts w:ascii="Arial" w:cs="Arial" w:eastAsia="Arial" w:hAnsi="Arial"/>
                <w:sz w:val="18"/>
                <w:szCs w:val="18"/>
                <w:color w:val="0000EE"/>
              </w:rPr>
              <w:t>2023 Employee Stock Purchase Plan</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 10.4+#</w:t>
            </w:r>
          </w:p>
        </w:tc>
        <w:tc>
          <w:tcPr>
            <w:tcW w:w="9580" w:type="dxa"/>
            <w:vAlign w:val="bottom"/>
            <w:gridSpan w:val="28"/>
          </w:tcPr>
          <w:p>
            <w:pPr>
              <w:spacing w:after="0"/>
              <w:rPr>
                <w:rFonts w:ascii="Arial" w:cs="Arial" w:eastAsia="Arial" w:hAnsi="Arial"/>
                <w:sz w:val="18"/>
                <w:szCs w:val="18"/>
                <w:color w:val="0000EE"/>
              </w:rPr>
            </w:pPr>
            <w:hyperlink r:id="rId529">
              <w:r>
                <w:rPr>
                  <w:rFonts w:ascii="Arial" w:cs="Arial" w:eastAsia="Arial" w:hAnsi="Arial"/>
                  <w:sz w:val="18"/>
                  <w:szCs w:val="18"/>
                  <w:color w:val="0000EE"/>
                </w:rPr>
                <w:t>Form of Indemnification Agreement with Executive Officers and Directors</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 10.5+#</w:t>
            </w:r>
          </w:p>
        </w:tc>
        <w:tc>
          <w:tcPr>
            <w:tcW w:w="9580" w:type="dxa"/>
            <w:vAlign w:val="bottom"/>
            <w:gridSpan w:val="28"/>
          </w:tcPr>
          <w:p>
            <w:pPr>
              <w:spacing w:after="0"/>
              <w:rPr>
                <w:rFonts w:ascii="Arial" w:cs="Arial" w:eastAsia="Arial" w:hAnsi="Arial"/>
                <w:sz w:val="18"/>
                <w:szCs w:val="18"/>
                <w:color w:val="0000EE"/>
                <w:w w:val="90"/>
              </w:rPr>
            </w:pPr>
            <w:hyperlink r:id="rId530">
              <w:r>
                <w:rPr>
                  <w:rFonts w:ascii="Arial" w:cs="Arial" w:eastAsia="Arial" w:hAnsi="Arial"/>
                  <w:sz w:val="18"/>
                  <w:szCs w:val="18"/>
                  <w:color w:val="0000EE"/>
                  <w:w w:val="90"/>
                </w:rPr>
                <w:t>Amended and Restated Employment Agreement, dated September 28, 2023, by and between the Company and R. Nolan Townsend</w:t>
              </w:r>
            </w:hyperlink>
          </w:p>
        </w:tc>
        <w:tc>
          <w:tcPr>
            <w:tcW w:w="0" w:type="dxa"/>
            <w:vAlign w:val="bottom"/>
          </w:tcPr>
          <w:p>
            <w:pPr>
              <w:spacing w:after="0"/>
              <w:rPr>
                <w:sz w:val="1"/>
                <w:szCs w:val="1"/>
                <w:color w:val="auto"/>
              </w:rPr>
            </w:pPr>
          </w:p>
        </w:tc>
      </w:tr>
      <w:tr>
        <w:trPr>
          <w:trHeight w:val="277"/>
        </w:trPr>
        <w:tc>
          <w:tcPr>
            <w:tcW w:w="1440" w:type="dxa"/>
            <w:vAlign w:val="bottom"/>
            <w:gridSpan w:val="2"/>
          </w:tcPr>
          <w:p>
            <w:pPr>
              <w:spacing w:after="0"/>
              <w:rPr>
                <w:sz w:val="20"/>
                <w:szCs w:val="20"/>
                <w:color w:val="auto"/>
              </w:rPr>
            </w:pPr>
            <w:r>
              <w:rPr>
                <w:rFonts w:ascii="Arial" w:cs="Arial" w:eastAsia="Arial" w:hAnsi="Arial"/>
                <w:sz w:val="18"/>
                <w:szCs w:val="18"/>
                <w:color w:val="auto"/>
              </w:rPr>
              <w:t> 10.6+#</w:t>
            </w:r>
          </w:p>
        </w:tc>
        <w:tc>
          <w:tcPr>
            <w:tcW w:w="9460" w:type="dxa"/>
            <w:vAlign w:val="bottom"/>
            <w:tcBorders>
              <w:top w:val="single" w:sz="8" w:color="0000EE"/>
            </w:tcBorders>
            <w:gridSpan w:val="26"/>
          </w:tcPr>
          <w:p>
            <w:pPr>
              <w:spacing w:after="0"/>
              <w:rPr>
                <w:rFonts w:ascii="Arial" w:cs="Arial" w:eastAsia="Arial" w:hAnsi="Arial"/>
                <w:sz w:val="18"/>
                <w:szCs w:val="18"/>
                <w:color w:val="0000EE"/>
                <w:w w:val="89"/>
              </w:rPr>
            </w:pPr>
            <w:hyperlink r:id="rId531">
              <w:r>
                <w:rPr>
                  <w:rFonts w:ascii="Arial" w:cs="Arial" w:eastAsia="Arial" w:hAnsi="Arial"/>
                  <w:sz w:val="18"/>
                  <w:szCs w:val="18"/>
                  <w:color w:val="0000EE"/>
                  <w:w w:val="89"/>
                </w:rPr>
                <w:t>Amended and Restated Employment Agreement, dated September 28, 2023, by and between the Company and Jenny R. Robertson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gridSpan w:val="2"/>
          </w:tcPr>
          <w:p>
            <w:pPr>
              <w:spacing w:after="0"/>
              <w:rPr>
                <w:sz w:val="20"/>
                <w:szCs w:val="20"/>
                <w:color w:val="auto"/>
              </w:rPr>
            </w:pPr>
            <w:r>
              <w:rPr>
                <w:rFonts w:ascii="Arial" w:cs="Arial" w:eastAsia="Arial" w:hAnsi="Arial"/>
                <w:sz w:val="18"/>
                <w:szCs w:val="18"/>
                <w:color w:val="auto"/>
              </w:rPr>
              <w:t> 10.7+#</w:t>
            </w:r>
          </w:p>
        </w:tc>
        <w:tc>
          <w:tcPr>
            <w:tcW w:w="9440" w:type="dxa"/>
            <w:vAlign w:val="bottom"/>
            <w:tcBorders>
              <w:top w:val="single" w:sz="8" w:color="0000EE"/>
            </w:tcBorders>
            <w:gridSpan w:val="25"/>
          </w:tcPr>
          <w:p>
            <w:pPr>
              <w:spacing w:after="0"/>
              <w:rPr>
                <w:rFonts w:ascii="Arial" w:cs="Arial" w:eastAsia="Arial" w:hAnsi="Arial"/>
                <w:sz w:val="18"/>
                <w:szCs w:val="18"/>
                <w:color w:val="0000EE"/>
                <w:w w:val="91"/>
              </w:rPr>
            </w:pPr>
            <w:hyperlink r:id="rId532">
              <w:r>
                <w:rPr>
                  <w:rFonts w:ascii="Arial" w:cs="Arial" w:eastAsia="Arial" w:hAnsi="Arial"/>
                  <w:sz w:val="18"/>
                  <w:szCs w:val="18"/>
                  <w:color w:val="0000EE"/>
                  <w:w w:val="91"/>
                </w:rPr>
                <w:t>Amended and Restated Employment Agreement, dated September 28, 2023, by and between the Company and Paul McCormac</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gridSpan w:val="2"/>
          </w:tcPr>
          <w:p>
            <w:pPr>
              <w:spacing w:after="0"/>
              <w:rPr>
                <w:sz w:val="20"/>
                <w:szCs w:val="20"/>
                <w:color w:val="auto"/>
              </w:rPr>
            </w:pPr>
            <w:r>
              <w:rPr>
                <w:rFonts w:ascii="Arial" w:cs="Arial" w:eastAsia="Arial" w:hAnsi="Arial"/>
                <w:sz w:val="18"/>
                <w:szCs w:val="18"/>
                <w:color w:val="auto"/>
              </w:rPr>
              <w:t> 10.8+*#</w:t>
            </w:r>
          </w:p>
        </w:tc>
        <w:tc>
          <w:tcPr>
            <w:tcW w:w="81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r:id="rId533">
              <w:r>
                <w:rPr>
                  <w:rFonts w:ascii="Arial" w:cs="Arial" w:eastAsia="Arial" w:hAnsi="Arial"/>
                  <w:sz w:val="18"/>
                  <w:szCs w:val="18"/>
                  <w:color w:val="0000EE"/>
                  <w:w w:val="91"/>
                </w:rPr>
                <w:t>Consulting Agreement, dated October 9, 2020, between LEXEO Therapeutics, LLC and Ronald G. Crystal, M.D.</w:t>
              </w:r>
            </w:hyperlink>
          </w:p>
        </w:tc>
        <w:tc>
          <w:tcPr>
            <w:tcW w:w="1020" w:type="dxa"/>
            <w:vAlign w:val="bottom"/>
            <w:tcBorders>
              <w:top w:val="single" w:sz="8" w:color="0000EE"/>
            </w:tcBorders>
            <w:gridSpan w:val="6"/>
          </w:tcPr>
          <w:p>
            <w:pPr>
              <w:spacing w:after="0"/>
              <w:rPr>
                <w:sz w:val="24"/>
                <w:szCs w:val="24"/>
                <w:color w:val="auto"/>
              </w:rPr>
            </w:pPr>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 10.9+*#</w:t>
            </w:r>
          </w:p>
        </w:tc>
        <w:tc>
          <w:tcPr>
            <w:tcW w:w="9580" w:type="dxa"/>
            <w:vAlign w:val="bottom"/>
            <w:gridSpan w:val="28"/>
          </w:tcPr>
          <w:p>
            <w:pPr>
              <w:spacing w:after="0"/>
              <w:rPr>
                <w:rFonts w:ascii="Arial" w:cs="Arial" w:eastAsia="Arial" w:hAnsi="Arial"/>
                <w:sz w:val="18"/>
                <w:szCs w:val="18"/>
                <w:color w:val="0000EE"/>
              </w:rPr>
            </w:pPr>
            <w:hyperlink r:id="rId534">
              <w:r>
                <w:rPr>
                  <w:rFonts w:ascii="Arial" w:cs="Arial" w:eastAsia="Arial" w:hAnsi="Arial"/>
                  <w:sz w:val="18"/>
                  <w:szCs w:val="18"/>
                  <w:color w:val="0000EE"/>
                </w:rPr>
                <w:t>Consulting Agreement, dated July 16, 2021, between LEXEO Therapeutics, LLC and Eric Adler, M.D.</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 10.10+*¥</w:t>
            </w:r>
          </w:p>
        </w:tc>
        <w:tc>
          <w:tcPr>
            <w:tcW w:w="8820" w:type="dxa"/>
            <w:vAlign w:val="bottom"/>
            <w:tcBorders>
              <w:bottom w:val="single" w:sz="8" w:color="0000EE"/>
            </w:tcBorders>
            <w:gridSpan w:val="18"/>
          </w:tcPr>
          <w:p>
            <w:pPr>
              <w:spacing w:after="0"/>
              <w:rPr>
                <w:rFonts w:ascii="Arial" w:cs="Arial" w:eastAsia="Arial" w:hAnsi="Arial"/>
                <w:sz w:val="18"/>
                <w:szCs w:val="18"/>
                <w:color w:val="0000EE"/>
                <w:w w:val="90"/>
              </w:rPr>
            </w:pPr>
            <w:hyperlink r:id="rId535">
              <w:r>
                <w:rPr>
                  <w:rFonts w:ascii="Arial" w:cs="Arial" w:eastAsia="Arial" w:hAnsi="Arial"/>
                  <w:sz w:val="18"/>
                  <w:szCs w:val="18"/>
                  <w:color w:val="0000EE"/>
                  <w:w w:val="90"/>
                </w:rPr>
                <w:t>Stock Purchase Agreement, dated July 16, 2021, by and among LEXEO Therapeutics, Inc., Stelios Therapeutics, Inc., The</w:t>
              </w:r>
            </w:hyperlink>
          </w:p>
        </w:tc>
        <w:tc>
          <w:tcPr>
            <w:tcW w:w="7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35">
              <w:r>
                <w:rPr>
                  <w:rFonts w:ascii="Arial" w:cs="Arial" w:eastAsia="Arial" w:hAnsi="Arial"/>
                  <w:sz w:val="18"/>
                  <w:szCs w:val="18"/>
                  <w:color w:val="0000EE"/>
                  <w:w w:val="90"/>
                </w:rPr>
                <w:t>Cystinosis Research Foundation, Eric Adler, M.D., Farah Sheikh, Ph.D., Jeffrey M. Ostrove, Ph.D., and Stephanie Cherqui, Ph.D.,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8"/>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and Jeffery M. Ostrove, Ph.D., as Stockholders’ Representative</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 10.11+*¥</w:t>
            </w:r>
          </w:p>
        </w:tc>
        <w:tc>
          <w:tcPr>
            <w:tcW w:w="8940" w:type="dxa"/>
            <w:vAlign w:val="bottom"/>
            <w:tcBorders>
              <w:bottom w:val="single" w:sz="8" w:color="0000EE"/>
            </w:tcBorders>
            <w:gridSpan w:val="19"/>
          </w:tcPr>
          <w:p>
            <w:pPr>
              <w:spacing w:after="0"/>
              <w:rPr>
                <w:rFonts w:ascii="Arial" w:cs="Arial" w:eastAsia="Arial" w:hAnsi="Arial"/>
                <w:sz w:val="18"/>
                <w:szCs w:val="18"/>
                <w:color w:val="0000EE"/>
                <w:w w:val="90"/>
              </w:rPr>
            </w:pPr>
            <w:hyperlink r:id="rId536">
              <w:r>
                <w:rPr>
                  <w:rFonts w:ascii="Arial" w:cs="Arial" w:eastAsia="Arial" w:hAnsi="Arial"/>
                  <w:sz w:val="18"/>
                  <w:szCs w:val="18"/>
                  <w:color w:val="0000EE"/>
                  <w:w w:val="90"/>
                </w:rPr>
                <w:t>License Agreement, dated October 4, 2021, by and between LEXEO Therapeutics, Inc. and the Regents of the University of</w:t>
              </w:r>
            </w:hyperlink>
          </w:p>
        </w:tc>
        <w:tc>
          <w:tcPr>
            <w:tcW w:w="6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536">
              <w:r>
                <w:rPr>
                  <w:rFonts w:ascii="Arial" w:cs="Arial" w:eastAsia="Arial" w:hAnsi="Arial"/>
                  <w:sz w:val="18"/>
                  <w:szCs w:val="18"/>
                  <w:color w:val="0000EE"/>
                  <w:w w:val="94"/>
                </w:rPr>
                <w:t>California</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 10.12+*¥</w:t>
            </w:r>
          </w:p>
        </w:tc>
        <w:tc>
          <w:tcPr>
            <w:tcW w:w="9580" w:type="dxa"/>
            <w:vAlign w:val="bottom"/>
            <w:gridSpan w:val="28"/>
          </w:tcPr>
          <w:p>
            <w:pPr>
              <w:spacing w:after="0"/>
              <w:rPr>
                <w:rFonts w:ascii="Arial" w:cs="Arial" w:eastAsia="Arial" w:hAnsi="Arial"/>
                <w:sz w:val="18"/>
                <w:szCs w:val="18"/>
                <w:color w:val="0000EE"/>
              </w:rPr>
            </w:pPr>
            <w:hyperlink r:id="rId537">
              <w:r>
                <w:rPr>
                  <w:rFonts w:ascii="Arial" w:cs="Arial" w:eastAsia="Arial" w:hAnsi="Arial"/>
                  <w:sz w:val="18"/>
                  <w:szCs w:val="18"/>
                  <w:color w:val="0000EE"/>
                </w:rPr>
                <w:t>License Agreement, dated April 23, 2020, by and between Stelios Therapeutics, Inc. (as successor-in-interest to ARVC</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37">
              <w:r>
                <w:rPr>
                  <w:rFonts w:ascii="Arial" w:cs="Arial" w:eastAsia="Arial" w:hAnsi="Arial"/>
                  <w:sz w:val="18"/>
                  <w:szCs w:val="18"/>
                  <w:color w:val="0000EE"/>
                </w:rPr>
                <w:t>Therapeutics, Inc.) and the Regents of the University of California</w:t>
              </w:r>
            </w:hyperlink>
          </w:p>
        </w:tc>
        <w:tc>
          <w:tcPr>
            <w:tcW w:w="10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4780" w:type="dxa"/>
            <w:vAlign w:val="bottom"/>
            <w:gridSpan w:val="11"/>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 10.13+*¥</w:t>
            </w:r>
          </w:p>
        </w:tc>
        <w:tc>
          <w:tcPr>
            <w:tcW w:w="9580" w:type="dxa"/>
            <w:vAlign w:val="bottom"/>
            <w:gridSpan w:val="28"/>
          </w:tcPr>
          <w:p>
            <w:pPr>
              <w:spacing w:after="0"/>
              <w:rPr>
                <w:rFonts w:ascii="Arial" w:cs="Arial" w:eastAsia="Arial" w:hAnsi="Arial"/>
                <w:sz w:val="18"/>
                <w:szCs w:val="18"/>
                <w:color w:val="0000EE"/>
                <w:w w:val="98"/>
              </w:rPr>
            </w:pPr>
            <w:hyperlink r:id="rId538">
              <w:r>
                <w:rPr>
                  <w:rFonts w:ascii="Arial" w:cs="Arial" w:eastAsia="Arial" w:hAnsi="Arial"/>
                  <w:sz w:val="18"/>
                  <w:szCs w:val="18"/>
                  <w:color w:val="0000EE"/>
                  <w:w w:val="98"/>
                </w:rPr>
                <w:t>License Agreement, dated August 6, 2020, by and between Stelios Therapeutics, Inc. and the Regents of the University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538">
              <w:r>
                <w:rPr>
                  <w:rFonts w:ascii="Arial" w:cs="Arial" w:eastAsia="Arial" w:hAnsi="Arial"/>
                  <w:sz w:val="18"/>
                  <w:szCs w:val="18"/>
                  <w:color w:val="0000EE"/>
                  <w:w w:val="94"/>
                </w:rPr>
                <w:t>California</w:t>
              </w:r>
            </w:hyperlink>
          </w:p>
        </w:tc>
        <w:tc>
          <w:tcPr>
            <w:tcW w:w="8080" w:type="dxa"/>
            <w:vAlign w:val="bottom"/>
            <w:tcBorders>
              <w:top w:val="single" w:sz="8" w:color="0000EE"/>
            </w:tcBorders>
            <w:gridSpan w:val="15"/>
          </w:tcPr>
          <w:p>
            <w:pPr>
              <w:spacing w:after="0"/>
              <w:rPr>
                <w:sz w:val="17"/>
                <w:szCs w:val="17"/>
                <w:color w:val="auto"/>
              </w:rPr>
            </w:pPr>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580" w:type="dxa"/>
            <w:vAlign w:val="bottom"/>
            <w:gridSpan w:val="21"/>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440" w:type="dxa"/>
            <w:vAlign w:val="bottom"/>
          </w:tcPr>
          <w:p>
            <w:pPr>
              <w:spacing w:after="0"/>
              <w:rPr>
                <w:sz w:val="18"/>
                <w:szCs w:val="18"/>
                <w:color w:val="auto"/>
              </w:rPr>
            </w:pPr>
          </w:p>
        </w:tc>
        <w:tc>
          <w:tcPr>
            <w:tcW w:w="9580" w:type="dxa"/>
            <w:vAlign w:val="bottom"/>
            <w:tcBorders>
              <w:bottom w:val="single" w:sz="8" w:color="auto"/>
            </w:tcBorders>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40" w:type="dxa"/>
            <w:vAlign w:val="bottom"/>
            <w:gridSpan w:val="2"/>
          </w:tcPr>
          <w:p>
            <w:pPr>
              <w:spacing w:after="0"/>
              <w:rPr>
                <w:sz w:val="20"/>
                <w:szCs w:val="20"/>
                <w:color w:val="auto"/>
              </w:rPr>
            </w:pPr>
            <w:r>
              <w:rPr>
                <w:rFonts w:ascii="Arial" w:cs="Arial" w:eastAsia="Arial" w:hAnsi="Arial"/>
                <w:sz w:val="18"/>
                <w:szCs w:val="18"/>
                <w:color w:val="auto"/>
              </w:rPr>
              <w:t> 10.14+*¥</w:t>
            </w:r>
          </w:p>
        </w:tc>
        <w:tc>
          <w:tcPr>
            <w:tcW w:w="9200" w:type="dxa"/>
            <w:vAlign w:val="bottom"/>
            <w:tcBorders>
              <w:bottom w:val="single" w:sz="8" w:color="0000EE"/>
            </w:tcBorders>
            <w:gridSpan w:val="14"/>
          </w:tcPr>
          <w:p>
            <w:pPr>
              <w:spacing w:after="0"/>
              <w:rPr>
                <w:rFonts w:ascii="Arial" w:cs="Arial" w:eastAsia="Arial" w:hAnsi="Arial"/>
                <w:sz w:val="18"/>
                <w:szCs w:val="18"/>
                <w:color w:val="0000EE"/>
                <w:w w:val="90"/>
              </w:rPr>
            </w:pPr>
            <w:hyperlink r:id="rId541">
              <w:r>
                <w:rPr>
                  <w:rFonts w:ascii="Arial" w:cs="Arial" w:eastAsia="Arial" w:hAnsi="Arial"/>
                  <w:sz w:val="18"/>
                  <w:szCs w:val="18"/>
                  <w:color w:val="0000EE"/>
                  <w:w w:val="90"/>
                </w:rPr>
                <w:t>ARVC Research Agreement, dated December 3, 2021, between LEXEO Therapeutics, Inc. and the Regents of the University of</w:t>
              </w:r>
            </w:hyperlink>
          </w:p>
        </w:tc>
        <w:tc>
          <w:tcPr>
            <w:tcW w:w="3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41">
              <w:r>
                <w:rPr>
                  <w:rFonts w:ascii="Arial" w:cs="Arial" w:eastAsia="Arial" w:hAnsi="Arial"/>
                  <w:sz w:val="18"/>
                  <w:szCs w:val="18"/>
                  <w:color w:val="0000EE"/>
                  <w:w w:val="91"/>
                </w:rPr>
                <w:t>California, as amended by Amendment No. 1, dated April 5, 2023</w:t>
              </w:r>
            </w:hyperlink>
          </w:p>
        </w:tc>
        <w:tc>
          <w:tcPr>
            <w:tcW w:w="4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 10.15+*¥</w:t>
            </w:r>
          </w:p>
        </w:tc>
        <w:tc>
          <w:tcPr>
            <w:tcW w:w="9240" w:type="dxa"/>
            <w:vAlign w:val="bottom"/>
            <w:tcBorders>
              <w:bottom w:val="single" w:sz="8" w:color="0000EE"/>
            </w:tcBorders>
            <w:gridSpan w:val="15"/>
          </w:tcPr>
          <w:p>
            <w:pPr>
              <w:spacing w:after="0"/>
              <w:rPr>
                <w:rFonts w:ascii="Arial" w:cs="Arial" w:eastAsia="Arial" w:hAnsi="Arial"/>
                <w:sz w:val="18"/>
                <w:szCs w:val="18"/>
                <w:color w:val="0000EE"/>
                <w:w w:val="90"/>
              </w:rPr>
            </w:pPr>
            <w:hyperlink r:id="rId542">
              <w:r>
                <w:rPr>
                  <w:rFonts w:ascii="Arial" w:cs="Arial" w:eastAsia="Arial" w:hAnsi="Arial"/>
                  <w:sz w:val="18"/>
                  <w:szCs w:val="18"/>
                  <w:color w:val="0000EE"/>
                  <w:w w:val="90"/>
                </w:rPr>
                <w:t>TNNI3 Research Agreement, dated December 3, 2021, between LEXEO Therapeutics, Inc. and the Regents of the University of</w:t>
              </w:r>
            </w:hyperlink>
          </w:p>
        </w:tc>
        <w:tc>
          <w:tcPr>
            <w:tcW w:w="3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r:id="rId542">
              <w:r>
                <w:rPr>
                  <w:rFonts w:ascii="Arial" w:cs="Arial" w:eastAsia="Arial" w:hAnsi="Arial"/>
                  <w:sz w:val="18"/>
                  <w:szCs w:val="18"/>
                  <w:color w:val="0000EE"/>
                </w:rPr>
                <w:t>California, as amended by Amendment No. 1, dated April 19, 2023</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 10.16+*¥</w:t>
            </w:r>
          </w:p>
        </w:tc>
        <w:tc>
          <w:tcPr>
            <w:tcW w:w="7740" w:type="dxa"/>
            <w:vAlign w:val="bottom"/>
            <w:tcBorders>
              <w:bottom w:val="single" w:sz="8" w:color="0000EE"/>
            </w:tcBorders>
            <w:gridSpan w:val="11"/>
          </w:tcPr>
          <w:p>
            <w:pPr>
              <w:spacing w:after="0"/>
              <w:rPr>
                <w:rFonts w:ascii="Arial" w:cs="Arial" w:eastAsia="Arial" w:hAnsi="Arial"/>
                <w:sz w:val="18"/>
                <w:szCs w:val="18"/>
                <w:color w:val="0000EE"/>
                <w:w w:val="91"/>
              </w:rPr>
            </w:pPr>
            <w:hyperlink r:id="rId543">
              <w:r>
                <w:rPr>
                  <w:rFonts w:ascii="Arial" w:cs="Arial" w:eastAsia="Arial" w:hAnsi="Arial"/>
                  <w:sz w:val="18"/>
                  <w:szCs w:val="18"/>
                  <w:color w:val="0000EE"/>
                  <w:w w:val="91"/>
                </w:rPr>
                <w:t>First License Agreement, dated May 28, 2020, between LEXEO Therapeutics, LLC and Cornell University</w:t>
              </w:r>
            </w:hyperlink>
          </w:p>
        </w:tc>
        <w:tc>
          <w:tcPr>
            <w:tcW w:w="18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 10.17+*¥</w:t>
            </w:r>
          </w:p>
        </w:tc>
        <w:tc>
          <w:tcPr>
            <w:tcW w:w="7940" w:type="dxa"/>
            <w:vAlign w:val="bottom"/>
            <w:tcBorders>
              <w:bottom w:val="single" w:sz="8" w:color="0000EE"/>
            </w:tcBorders>
            <w:gridSpan w:val="12"/>
          </w:tcPr>
          <w:p>
            <w:pPr>
              <w:spacing w:after="0"/>
              <w:rPr>
                <w:rFonts w:ascii="Arial" w:cs="Arial" w:eastAsia="Arial" w:hAnsi="Arial"/>
                <w:sz w:val="18"/>
                <w:szCs w:val="18"/>
                <w:color w:val="0000EE"/>
                <w:w w:val="91"/>
              </w:rPr>
            </w:pPr>
            <w:hyperlink r:id="rId544">
              <w:r>
                <w:rPr>
                  <w:rFonts w:ascii="Arial" w:cs="Arial" w:eastAsia="Arial" w:hAnsi="Arial"/>
                  <w:sz w:val="18"/>
                  <w:szCs w:val="18"/>
                  <w:color w:val="0000EE"/>
                  <w:w w:val="91"/>
                </w:rPr>
                <w:t>Second License Agreement, dated May 28, 2020, between LEXEO Therapeutics, LLC and Cornell University</w:t>
              </w:r>
            </w:hyperlink>
          </w:p>
        </w:tc>
        <w:tc>
          <w:tcPr>
            <w:tcW w:w="16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 10.18+*</w:t>
            </w:r>
          </w:p>
        </w:tc>
        <w:tc>
          <w:tcPr>
            <w:tcW w:w="9000" w:type="dxa"/>
            <w:vAlign w:val="bottom"/>
            <w:tcBorders>
              <w:bottom w:val="single" w:sz="8" w:color="0000EE"/>
            </w:tcBorders>
            <w:gridSpan w:val="13"/>
          </w:tcPr>
          <w:p>
            <w:pPr>
              <w:spacing w:after="0"/>
              <w:rPr>
                <w:rFonts w:ascii="Arial" w:cs="Arial" w:eastAsia="Arial" w:hAnsi="Arial"/>
                <w:sz w:val="18"/>
                <w:szCs w:val="18"/>
                <w:color w:val="0000EE"/>
                <w:w w:val="90"/>
              </w:rPr>
            </w:pPr>
            <w:hyperlink r:id="rId545">
              <w:r>
                <w:rPr>
                  <w:rFonts w:ascii="Arial" w:cs="Arial" w:eastAsia="Arial" w:hAnsi="Arial"/>
                  <w:sz w:val="18"/>
                  <w:szCs w:val="18"/>
                  <w:color w:val="0000EE"/>
                  <w:w w:val="90"/>
                </w:rPr>
                <w:t>Amendment No. 1, dated January 13, 2022, to the Second License Agreement, dated May 28, 2020, by and between LEXEO</w:t>
              </w:r>
            </w:hyperlink>
          </w:p>
        </w:tc>
        <w:tc>
          <w:tcPr>
            <w:tcW w:w="5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r:id="rId545">
              <w:r>
                <w:rPr>
                  <w:rFonts w:ascii="Arial" w:cs="Arial" w:eastAsia="Arial" w:hAnsi="Arial"/>
                  <w:sz w:val="18"/>
                  <w:szCs w:val="18"/>
                  <w:color w:val="0000EE"/>
                </w:rPr>
                <w:t>Therapeutics, Inc. and Cornell University</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 10.19+*</w:t>
            </w:r>
          </w:p>
        </w:tc>
        <w:tc>
          <w:tcPr>
            <w:tcW w:w="9580" w:type="dxa"/>
            <w:vAlign w:val="bottom"/>
            <w:gridSpan w:val="21"/>
          </w:tcPr>
          <w:p>
            <w:pPr>
              <w:spacing w:after="0"/>
              <w:rPr>
                <w:rFonts w:ascii="Arial" w:cs="Arial" w:eastAsia="Arial" w:hAnsi="Arial"/>
                <w:sz w:val="18"/>
                <w:szCs w:val="18"/>
                <w:color w:val="0000EE"/>
                <w:w w:val="91"/>
              </w:rPr>
            </w:pPr>
            <w:hyperlink r:id="rId546">
              <w:r>
                <w:rPr>
                  <w:rFonts w:ascii="Arial" w:cs="Arial" w:eastAsia="Arial" w:hAnsi="Arial"/>
                  <w:sz w:val="18"/>
                  <w:szCs w:val="18"/>
                  <w:color w:val="0000EE"/>
                  <w:w w:val="91"/>
                </w:rPr>
                <w:t>Amendment No. 1, dated July 4, 2022, to the First License Agreement, dated May 28, 2020, by and between LEXEO Therapeutics,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r:id="rId546">
              <w:r>
                <w:rPr>
                  <w:rFonts w:ascii="Arial" w:cs="Arial" w:eastAsia="Arial" w:hAnsi="Arial"/>
                  <w:sz w:val="18"/>
                  <w:szCs w:val="18"/>
                  <w:color w:val="0000EE"/>
                  <w:w w:val="91"/>
                </w:rPr>
                <w:t>Inc. and Cornell University and Amendment No. 2, dated July 1, 2022, to the Second License Agreement, dated May 28, 2020 (as</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46">
              <w:r>
                <w:rPr>
                  <w:rFonts w:ascii="Arial" w:cs="Arial" w:eastAsia="Arial" w:hAnsi="Arial"/>
                  <w:sz w:val="18"/>
                  <w:szCs w:val="18"/>
                  <w:color w:val="0000EE"/>
                </w:rPr>
                <w:t>amended by Amendment No. 1 to the Second License Agreement, dated January 13, 2022)</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 10.20+*</w:t>
            </w:r>
          </w:p>
        </w:tc>
        <w:tc>
          <w:tcPr>
            <w:tcW w:w="9580" w:type="dxa"/>
            <w:vAlign w:val="bottom"/>
            <w:gridSpan w:val="21"/>
          </w:tcPr>
          <w:p>
            <w:pPr>
              <w:spacing w:after="0"/>
              <w:rPr>
                <w:rFonts w:ascii="Arial" w:cs="Arial" w:eastAsia="Arial" w:hAnsi="Arial"/>
                <w:sz w:val="18"/>
                <w:szCs w:val="18"/>
                <w:color w:val="0000EE"/>
                <w:w w:val="96"/>
              </w:rPr>
            </w:pPr>
            <w:hyperlink r:id="rId547">
              <w:r>
                <w:rPr>
                  <w:rFonts w:ascii="Arial" w:cs="Arial" w:eastAsia="Arial" w:hAnsi="Arial"/>
                  <w:sz w:val="18"/>
                  <w:szCs w:val="18"/>
                  <w:color w:val="0000EE"/>
                  <w:w w:val="96"/>
                </w:rPr>
                <w:t>Amendment No. 2, dated September 28, 2022, to the First License Agreement, dated May 28, 2020, by and between LEXEO</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w w:val="93"/>
              </w:rPr>
            </w:pPr>
            <w:hyperlink r:id="rId547">
              <w:r>
                <w:rPr>
                  <w:rFonts w:ascii="Arial" w:cs="Arial" w:eastAsia="Arial" w:hAnsi="Arial"/>
                  <w:sz w:val="18"/>
                  <w:szCs w:val="18"/>
                  <w:color w:val="0000EE"/>
                  <w:w w:val="93"/>
                </w:rPr>
                <w:t>Therapeutics, Inc. and Cornell University (as amended by Amendment No. 1 to the First License Agreement, dated July 4, 2022)</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 10.21+*¥</w:t>
            </w:r>
          </w:p>
        </w:tc>
        <w:tc>
          <w:tcPr>
            <w:tcW w:w="9380" w:type="dxa"/>
            <w:vAlign w:val="bottom"/>
            <w:tcBorders>
              <w:bottom w:val="single" w:sz="8" w:color="0000EE"/>
            </w:tcBorders>
            <w:gridSpan w:val="18"/>
          </w:tcPr>
          <w:p>
            <w:pPr>
              <w:spacing w:after="0"/>
              <w:rPr>
                <w:rFonts w:ascii="Arial" w:cs="Arial" w:eastAsia="Arial" w:hAnsi="Arial"/>
                <w:sz w:val="18"/>
                <w:szCs w:val="18"/>
                <w:color w:val="0000EE"/>
                <w:w w:val="90"/>
              </w:rPr>
            </w:pPr>
            <w:hyperlink r:id="rId548">
              <w:r>
                <w:rPr>
                  <w:rFonts w:ascii="Arial" w:cs="Arial" w:eastAsia="Arial" w:hAnsi="Arial"/>
                  <w:sz w:val="18"/>
                  <w:szCs w:val="18"/>
                  <w:color w:val="0000EE"/>
                  <w:w w:val="90"/>
                </w:rPr>
                <w:t>Research Collaboration Agreement, dated February 3, 2021, by and between Cornell University and LEXEO Therapeutics, Inc. as</w:t>
              </w:r>
            </w:hyperlink>
          </w:p>
        </w:tc>
        <w:tc>
          <w:tcPr>
            <w:tcW w:w="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r:id="rId548">
              <w:r>
                <w:rPr>
                  <w:rFonts w:ascii="Arial" w:cs="Arial" w:eastAsia="Arial" w:hAnsi="Arial"/>
                  <w:sz w:val="18"/>
                  <w:szCs w:val="18"/>
                  <w:color w:val="0000EE"/>
                </w:rPr>
                <w:t>amended by Amendment No. 1, dated February 1, 2022</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32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 10.22+*¥</w:t>
            </w:r>
          </w:p>
        </w:tc>
        <w:tc>
          <w:tcPr>
            <w:tcW w:w="9420" w:type="dxa"/>
            <w:vAlign w:val="bottom"/>
            <w:tcBorders>
              <w:bottom w:val="single" w:sz="8" w:color="0000EE"/>
            </w:tcBorders>
            <w:gridSpan w:val="19"/>
          </w:tcPr>
          <w:p>
            <w:pPr>
              <w:spacing w:after="0"/>
              <w:rPr>
                <w:rFonts w:ascii="Arial" w:cs="Arial" w:eastAsia="Arial" w:hAnsi="Arial"/>
                <w:sz w:val="18"/>
                <w:szCs w:val="18"/>
                <w:color w:val="0000EE"/>
                <w:w w:val="90"/>
              </w:rPr>
            </w:pPr>
            <w:hyperlink r:id="rId549">
              <w:r>
                <w:rPr>
                  <w:rFonts w:ascii="Arial" w:cs="Arial" w:eastAsia="Arial" w:hAnsi="Arial"/>
                  <w:sz w:val="18"/>
                  <w:szCs w:val="18"/>
                  <w:color w:val="0000EE"/>
                  <w:w w:val="90"/>
                </w:rPr>
                <w:t>License Agreement, dated January 19, 2021, between Adverum Biotechnologies, Inc. and LEXEO Therapeutics, Inc., as amended</w:t>
              </w:r>
            </w:hyperlink>
          </w:p>
        </w:tc>
        <w:tc>
          <w:tcPr>
            <w:tcW w:w="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r:id="rId549">
              <w:r>
                <w:rPr>
                  <w:rFonts w:ascii="Arial" w:cs="Arial" w:eastAsia="Arial" w:hAnsi="Arial"/>
                  <w:sz w:val="18"/>
                  <w:szCs w:val="18"/>
                  <w:color w:val="0000EE"/>
                </w:rPr>
                <w:t>by the First Amendment, dated February 28, 2022</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 23.1</w:t>
            </w:r>
          </w:p>
        </w:tc>
        <w:tc>
          <w:tcPr>
            <w:tcW w:w="9580" w:type="dxa"/>
            <w:vAlign w:val="bottom"/>
            <w:gridSpan w:val="21"/>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c>
          <w:tcPr>
            <w:tcW w:w="0" w:type="dxa"/>
            <w:vAlign w:val="bottom"/>
          </w:tcPr>
          <w:p>
            <w:pPr>
              <w:spacing w:after="0"/>
              <w:rPr>
                <w:sz w:val="1"/>
                <w:szCs w:val="1"/>
                <w:color w:val="auto"/>
              </w:rPr>
            </w:pPr>
          </w:p>
        </w:tc>
      </w:tr>
      <w:tr>
        <w:trPr>
          <w:trHeight w:val="264"/>
        </w:trPr>
        <w:tc>
          <w:tcPr>
            <w:tcW w:w="1440" w:type="dxa"/>
            <w:vAlign w:val="bottom"/>
            <w:gridSpan w:val="2"/>
          </w:tcPr>
          <w:p>
            <w:pPr>
              <w:spacing w:after="0"/>
              <w:rPr>
                <w:sz w:val="20"/>
                <w:szCs w:val="20"/>
                <w:color w:val="auto"/>
              </w:rPr>
            </w:pPr>
            <w:r>
              <w:rPr>
                <w:rFonts w:ascii="Arial" w:cs="Arial" w:eastAsia="Arial" w:hAnsi="Arial"/>
                <w:sz w:val="18"/>
                <w:szCs w:val="18"/>
                <w:color w:val="auto"/>
              </w:rPr>
              <w:t> 23.2</w:t>
            </w:r>
          </w:p>
        </w:tc>
        <w:tc>
          <w:tcPr>
            <w:tcW w:w="51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Consent of Cooley LLP (included in Exhibit 5.1)</w:t>
            </w:r>
          </w:p>
        </w:tc>
        <w:tc>
          <w:tcPr>
            <w:tcW w:w="448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 24.1+</w:t>
            </w:r>
          </w:p>
        </w:tc>
        <w:tc>
          <w:tcPr>
            <w:tcW w:w="3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r:id="rId550">
              <w:r>
                <w:rPr>
                  <w:rFonts w:ascii="Arial" w:cs="Arial" w:eastAsia="Arial" w:hAnsi="Arial"/>
                  <w:sz w:val="18"/>
                  <w:szCs w:val="18"/>
                  <w:color w:val="0000EE"/>
                  <w:w w:val="90"/>
                </w:rPr>
                <w:t>Power of Attorney (included on signature page)</w:t>
              </w:r>
            </w:hyperlink>
          </w:p>
        </w:tc>
        <w:tc>
          <w:tcPr>
            <w:tcW w:w="80" w:type="dxa"/>
            <w:vAlign w:val="bottom"/>
            <w:tcBorders>
              <w:top w:val="single" w:sz="8" w:color="0000EE"/>
            </w:tcBorders>
          </w:tcPr>
          <w:p>
            <w:pPr>
              <w:spacing w:after="0"/>
              <w:rPr>
                <w:sz w:val="22"/>
                <w:szCs w:val="22"/>
                <w:color w:val="auto"/>
              </w:rPr>
            </w:pPr>
          </w:p>
        </w:tc>
        <w:tc>
          <w:tcPr>
            <w:tcW w:w="606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40" w:type="dxa"/>
            <w:vAlign w:val="bottom"/>
            <w:gridSpan w:val="2"/>
          </w:tcPr>
          <w:p>
            <w:pPr>
              <w:spacing w:after="0"/>
              <w:rPr>
                <w:sz w:val="20"/>
                <w:szCs w:val="20"/>
                <w:color w:val="auto"/>
              </w:rPr>
            </w:pPr>
            <w:r>
              <w:rPr>
                <w:rFonts w:ascii="Arial" w:cs="Arial" w:eastAsia="Arial" w:hAnsi="Arial"/>
                <w:sz w:val="18"/>
                <w:szCs w:val="18"/>
                <w:color w:val="auto"/>
              </w:rPr>
              <w:t> 107</w:t>
            </w:r>
          </w:p>
        </w:tc>
        <w:tc>
          <w:tcPr>
            <w:tcW w:w="9580" w:type="dxa"/>
            <w:vAlign w:val="bottom"/>
            <w:gridSpan w:val="21"/>
          </w:tcPr>
          <w:p>
            <w:pPr>
              <w:spacing w:after="0"/>
              <w:rPr>
                <w:sz w:val="20"/>
                <w:szCs w:val="20"/>
                <w:color w:val="auto"/>
              </w:rPr>
            </w:pPr>
            <w:r>
              <w:rPr>
                <w:rFonts w:ascii="Arial" w:cs="Arial" w:eastAsia="Arial" w:hAnsi="Arial"/>
                <w:sz w:val="18"/>
                <w:szCs w:val="18"/>
                <w:color w:val="0000EE"/>
              </w:rPr>
              <w:t>Filing Fee Table</w:t>
            </w:r>
          </w:p>
        </w:tc>
        <w:tc>
          <w:tcPr>
            <w:tcW w:w="0" w:type="dxa"/>
            <w:vAlign w:val="bottom"/>
          </w:tcPr>
          <w:p>
            <w:pPr>
              <w:spacing w:after="0"/>
              <w:rPr>
                <w:sz w:val="1"/>
                <w:szCs w:val="1"/>
                <w:color w:val="auto"/>
              </w:rPr>
            </w:pPr>
          </w:p>
        </w:tc>
      </w:tr>
      <w:tr>
        <w:trPr>
          <w:trHeight w:val="34"/>
        </w:trPr>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Borders>
              <w:top w:val="single" w:sz="8" w:color="0000EE"/>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40" w:hanging="324"/>
        <w:spacing w:after="0"/>
        <w:tabs>
          <w:tab w:leader="none" w:pos="4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80" w:lineRule="exact"/>
        <w:rPr>
          <w:sz w:val="20"/>
          <w:szCs w:val="20"/>
          <w:color w:val="auto"/>
        </w:rPr>
      </w:pPr>
    </w:p>
    <w:p>
      <w:pPr>
        <w:ind w:left="440" w:right="220" w:hanging="324"/>
        <w:spacing w:after="0" w:line="274" w:lineRule="auto"/>
        <w:tabs>
          <w:tab w:leader="none" w:pos="4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Portions of this exhibit (indicated by [***]) have been omitted because the registrant has determined that the information is both not material and is the type that the Registrant treats as private or confidential.</w:t>
      </w:r>
    </w:p>
    <w:p>
      <w:pPr>
        <w:spacing w:after="0" w:line="37" w:lineRule="exact"/>
        <w:rPr>
          <w:sz w:val="20"/>
          <w:szCs w:val="20"/>
          <w:color w:val="auto"/>
        </w:rPr>
      </w:pPr>
    </w:p>
    <w:p>
      <w:pPr>
        <w:ind w:left="440" w:hanging="324"/>
        <w:spacing w:after="0"/>
        <w:tabs>
          <w:tab w:leader="none" w:pos="44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Schedules have been omitted pursuant to Item 601(a)(5) of Regulation S-K. The Registrant undertakes to furnish supplemental copies of any of the omitted schedules upon request by the SEC.</w:t>
      </w:r>
    </w:p>
    <w:p>
      <w:pPr>
        <w:spacing w:after="0" w:line="91"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2"/>
          <w:szCs w:val="12"/>
          <w:color w:val="auto"/>
        </w:rPr>
        <w:t>Indicates management or compensatory plan.</w:t>
      </w:r>
    </w:p>
    <w:p>
      <w:pPr>
        <w:spacing w:after="0" w:line="144"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r>
        <w:rPr>
          <w:rFonts w:ascii="Arial" w:cs="Arial" w:eastAsia="Arial" w:hAnsi="Arial"/>
          <w:sz w:val="22"/>
          <w:szCs w:val="22"/>
          <w:b w:val="1"/>
          <w:bCs w:val="1"/>
          <w:i w:val="1"/>
          <w:iCs w:val="1"/>
          <w:color w:val="auto"/>
        </w:rPr>
        <w:t>.</w:t>
      </w:r>
    </w:p>
    <w:p>
      <w:pPr>
        <w:spacing w:after="0" w:line="15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9"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540" w:right="240" w:hanging="424"/>
        <w:spacing w:after="0" w:line="291"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54" w:lineRule="exact"/>
        <w:rPr>
          <w:rFonts w:ascii="Arial" w:cs="Arial" w:eastAsia="Arial" w:hAnsi="Arial"/>
          <w:sz w:val="16"/>
          <w:szCs w:val="16"/>
          <w:color w:val="auto"/>
        </w:rPr>
      </w:pPr>
    </w:p>
    <w:p>
      <w:pPr>
        <w:ind w:left="540" w:hanging="424"/>
        <w:spacing w:after="0" w:line="263"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40"/>
          </w:cols>
          <w:pgMar w:left="320" w:top="459" w:right="5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Signatures</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30th day of October, 2023.</w:t>
      </w:r>
    </w:p>
    <w:p>
      <w:pPr>
        <w:spacing w:after="0" w:line="14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LEXEO THERAPEUTICS, INC.</w:t>
      </w:r>
    </w:p>
    <w:p>
      <w:pPr>
        <w:spacing w:after="0" w:line="200" w:lineRule="exact"/>
        <w:rPr>
          <w:sz w:val="20"/>
          <w:szCs w:val="20"/>
          <w:color w:val="auto"/>
        </w:rPr>
      </w:pP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 Nolan Townsend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00"/>
          </w:cols>
          <w:pgMar w:left="320" w:top="459" w:right="479" w:bottom="1440" w:gutter="0" w:footer="0" w:header="0"/>
        </w:sectPr>
      </w:pP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4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Title</w:t>
            </w:r>
          </w:p>
        </w:tc>
      </w:tr>
      <w:tr>
        <w:trPr>
          <w:trHeight w:val="270"/>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Nolan Townsend</w:t>
            </w:r>
          </w:p>
        </w:tc>
        <w:tc>
          <w:tcPr>
            <w:tcW w:w="100" w:type="dxa"/>
            <w:vAlign w:val="bottom"/>
          </w:tcPr>
          <w:p>
            <w:pPr>
              <w:spacing w:after="0"/>
              <w:rPr>
                <w:sz w:val="23"/>
                <w:szCs w:val="23"/>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R. Nolan Townsend</w:t>
            </w:r>
          </w:p>
        </w:tc>
        <w:tc>
          <w:tcPr>
            <w:tcW w:w="10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Financial and Accounting Officer)</w:t>
            </w:r>
          </w:p>
        </w:tc>
      </w:tr>
      <w:tr>
        <w:trPr>
          <w:trHeight w:val="472"/>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Mette Kirstine Agger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83"/>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Steven Altschuler, M.D.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83"/>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Paula HJ Cholmondeley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83"/>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Brenda Cooperstone, M.D.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83"/>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Bernard Davitian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83"/>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Reinaldo Diaz</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364"/>
        </w:trPr>
        <w:tc>
          <w:tcPr>
            <w:tcW w:w="4180" w:type="dxa"/>
            <w:vAlign w:val="bottom"/>
            <w:gridSpan w:val="2"/>
          </w:tcPr>
          <w:p>
            <w:pPr>
              <w:spacing w:after="0"/>
              <w:rPr>
                <w:sz w:val="20"/>
                <w:szCs w:val="20"/>
                <w:color w:val="auto"/>
              </w:rPr>
            </w:pPr>
            <w:r>
              <w:rPr>
                <w:rFonts w:ascii="Arial" w:cs="Arial" w:eastAsia="Arial" w:hAnsi="Arial"/>
                <w:sz w:val="18"/>
                <w:szCs w:val="18"/>
                <w:color w:val="auto"/>
              </w:rPr>
              <w:t>*By:  /s/ R. Nolan Townsend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Nolan Townsend</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17145</wp:posOffset>
            </wp:positionV>
            <wp:extent cx="11315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October 30, 2023</w:t>
      </w:r>
    </w:p>
    <w:p>
      <w:pPr>
        <w:sectPr>
          <w:pgSz w:w="11900" w:h="16838" w:orient="portrait"/>
          <w:cols w:equalWidth="0" w:num="2">
            <w:col w:w="8940" w:space="720"/>
            <w:col w:w="1440"/>
          </w:cols>
          <w:pgMar w:left="320" w:top="459" w:right="479" w:bottom="1440" w:gutter="0" w:footer="0" w:header="0"/>
          <w:type w:val="continuous"/>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LEXEO THERAPEUTICS, INC.</w:t>
      </w:r>
    </w:p>
    <w:p>
      <w:pPr>
        <w:spacing w:after="0" w:line="117" w:lineRule="exact"/>
        <w:rPr>
          <w:sz w:val="20"/>
          <w:szCs w:val="20"/>
          <w:color w:val="auto"/>
        </w:rPr>
      </w:pPr>
    </w:p>
    <w:p>
      <w:pPr>
        <w:ind w:left="4540" w:right="4440" w:hanging="120"/>
        <w:spacing w:after="0" w:line="528" w:lineRule="auto"/>
        <w:tabs>
          <w:tab w:leader="none" w:pos="4654"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Shares of Common Stock 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6136005</wp:posOffset>
            </wp:positionH>
            <wp:positionV relativeFrom="paragraph">
              <wp:posOffset>-10160</wp:posOffset>
            </wp:positionV>
            <wp:extent cx="5715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Lexeo Therapeutics, Inc., a Delaware corporation (the “Company”), proposes to issue and sell to the several underwriters listed in Schedule 1 hereto (the “Underwriters”), for whom you are acting as representatives (the “Representatives”), an aggregate of [•] shares of common stock, par value $0.0001 per share (the “Common Stock”), of the Company (the “Underwritten Shares”) and, at the option of the Underwriters, up to an additional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ectPr>
          <w:pgSz w:w="11900" w:h="16838" w:orient="portrait"/>
          <w:cols w:equalWidth="0" w:num="1">
            <w:col w:w="11020"/>
          </w:cols>
          <w:pgMar w:left="440" w:top="121" w:right="439" w:bottom="1440" w:gutter="0" w:footer="0" w:header="0"/>
        </w:sectPr>
      </w:pPr>
    </w:p>
    <w:bookmarkStart w:id="314" w:name="page315"/>
    <w:bookmarkEnd w:id="31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confirms its agreement with the several Underwriters concerning the purchase and sale of the Shares, as follows:</w:t>
      </w:r>
    </w:p>
    <w:p>
      <w:pPr>
        <w:spacing w:after="0" w:line="129" w:lineRule="exact"/>
        <w:rPr>
          <w:sz w:val="20"/>
          <w:szCs w:val="20"/>
          <w:color w:val="auto"/>
        </w:rPr>
      </w:pPr>
    </w:p>
    <w:p>
      <w:pPr>
        <w:ind w:firstLine="436"/>
        <w:spacing w:after="0" w:line="287" w:lineRule="auto"/>
        <w:tabs>
          <w:tab w:leader="none" w:pos="62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333-274777),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2023 and each “free-writing prospectus” (as defined pursuant to Rule 405 under the Securities Act)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P.M., New York City time, on [•], 2023.</w:t>
      </w:r>
    </w:p>
    <w:p>
      <w:pPr>
        <w:spacing w:after="0" w:line="225" w:lineRule="exact"/>
        <w:rPr>
          <w:sz w:val="20"/>
          <w:szCs w:val="20"/>
          <w:color w:val="auto"/>
        </w:rPr>
      </w:pPr>
    </w:p>
    <w:p>
      <w:pPr>
        <w:ind w:left="620" w:hanging="184"/>
        <w:spacing w:after="0"/>
        <w:tabs>
          <w:tab w:leader="none" w:pos="62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w:t>
      </w:r>
    </w:p>
    <w:p>
      <w:pPr>
        <w:spacing w:after="0" w:line="225" w:lineRule="exact"/>
        <w:rPr>
          <w:sz w:val="20"/>
          <w:szCs w:val="20"/>
          <w:color w:val="auto"/>
        </w:rPr>
      </w:pPr>
    </w:p>
    <w:p>
      <w:pPr>
        <w:jc w:val="both"/>
        <w:ind w:right="80" w:firstLine="436"/>
        <w:spacing w:after="0" w:line="279" w:lineRule="auto"/>
        <w:tabs>
          <w:tab w:leader="none" w:pos="6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7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ectPr>
          <w:pgSz w:w="11900" w:h="16838" w:orient="portrait"/>
          <w:cols w:equalWidth="0" w:num="1">
            <w:col w:w="11000"/>
          </w:cols>
          <w:pgMar w:left="440" w:top="274" w:right="459" w:bottom="1440" w:gutter="0" w:footer="0" w:header="0"/>
        </w:sectPr>
      </w:pPr>
    </w:p>
    <w:bookmarkStart w:id="315" w:name="page316"/>
    <w:bookmarkEnd w:id="315"/>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64" w:lineRule="exact"/>
        <w:rPr>
          <w:sz w:val="20"/>
          <w:szCs w:val="20"/>
          <w:color w:val="auto"/>
        </w:rPr>
      </w:pPr>
    </w:p>
    <w:p>
      <w:pPr>
        <w:jc w:val="both"/>
        <w:ind w:right="220" w:firstLine="436"/>
        <w:spacing w:after="0" w:line="263"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83" w:lineRule="exact"/>
        <w:rPr>
          <w:rFonts w:ascii="Arial" w:cs="Arial" w:eastAsia="Arial" w:hAnsi="Arial"/>
          <w:sz w:val="18"/>
          <w:szCs w:val="18"/>
          <w:color w:val="auto"/>
        </w:rPr>
      </w:pPr>
    </w:p>
    <w:p>
      <w:pPr>
        <w:ind w:right="60" w:firstLine="436"/>
        <w:spacing w:after="0" w:line="272"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Payment for the Shares shall be made by wire transfer in immediately available funds to the account specified by the Company to the Representatives in the case of the Underwritten Shares, at the offices of Paul Hastings LLP, MetLife Building, 200 Park Avenue, New York, New York 10166 at 10:00 A.M. New York City time on [•], 2023,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7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in book-entry form registered in such names and in such denominations as the Representatives shall request in writing not later than two full business days prior to the Closing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ectPr>
          <w:pgSz w:w="11900" w:h="16838" w:orient="portrait"/>
          <w:cols w:equalWidth="0" w:num="1">
            <w:col w:w="11000"/>
          </w:cols>
          <w:pgMar w:left="440" w:top="274" w:right="459" w:bottom="1440" w:gutter="0" w:footer="0" w:header="0"/>
        </w:sectPr>
      </w:pPr>
    </w:p>
    <w:bookmarkStart w:id="316" w:name="page317"/>
    <w:bookmarkEnd w:id="316"/>
    <w:p>
      <w:pPr>
        <w:ind w:left="-436" w:firstLine="436"/>
        <w:spacing w:after="0" w:line="270" w:lineRule="auto"/>
        <w:tabs>
          <w:tab w:leader="none" w:pos="259" w:val="left"/>
        </w:tabs>
        <w:numPr>
          <w:ilvl w:val="0"/>
          <w:numId w:val="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1" w:lineRule="exact"/>
        <w:rPr>
          <w:sz w:val="20"/>
          <w:szCs w:val="20"/>
          <w:color w:val="auto"/>
        </w:rPr>
      </w:pPr>
    </w:p>
    <w:p>
      <w:pPr>
        <w:ind w:left="184" w:hanging="184"/>
        <w:spacing w:after="0"/>
        <w:tabs>
          <w:tab w:leader="none" w:pos="18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 w:firstLine="419"/>
        <w:spacing w:after="0" w:line="271" w:lineRule="auto"/>
        <w:tabs>
          <w:tab w:leader="none" w:pos="671"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70" w:lineRule="exact"/>
        <w:rPr>
          <w:rFonts w:ascii="Arial" w:cs="Arial" w:eastAsia="Arial" w:hAnsi="Arial"/>
          <w:sz w:val="17"/>
          <w:szCs w:val="17"/>
          <w:color w:val="auto"/>
        </w:rPr>
      </w:pPr>
    </w:p>
    <w:p>
      <w:pPr>
        <w:ind w:left="4" w:right="60" w:firstLine="419"/>
        <w:spacing w:after="0" w:line="253" w:lineRule="auto"/>
        <w:tabs>
          <w:tab w:leader="none" w:pos="681"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ectPr>
          <w:pgSz w:w="11900" w:h="16838" w:orient="portrait"/>
          <w:cols w:equalWidth="0" w:num="1">
            <w:col w:w="10564"/>
          </w:cols>
          <w:pgMar w:left="876" w:top="274" w:right="459" w:bottom="1440" w:gutter="0" w:footer="0" w:header="0"/>
        </w:sectPr>
      </w:pPr>
    </w:p>
    <w:bookmarkStart w:id="317" w:name="page318"/>
    <w:bookmarkEnd w:id="317"/>
    <w:p>
      <w:pPr>
        <w:ind w:left="4" w:firstLine="419"/>
        <w:spacing w:after="0" w:line="285" w:lineRule="auto"/>
        <w:tabs>
          <w:tab w:leader="none" w:pos="67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Issuer Free Writing Prospectus. </w:t>
      </w:r>
      <w:r>
        <w:rPr>
          <w:rFonts w:ascii="Arial" w:cs="Arial" w:eastAsia="Arial" w:hAnsi="Arial"/>
          <w:sz w:val="16"/>
          <w:szCs w:val="16"/>
          <w:color w:val="auto"/>
        </w:rPr>
        <w:t>Other than the Registration Statement, the Preliminary Prospectus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65" w:lineRule="exact"/>
        <w:rPr>
          <w:rFonts w:ascii="Arial" w:cs="Arial" w:eastAsia="Arial" w:hAnsi="Arial"/>
          <w:sz w:val="16"/>
          <w:szCs w:val="16"/>
          <w:color w:val="auto"/>
        </w:rPr>
      </w:pPr>
    </w:p>
    <w:p>
      <w:pPr>
        <w:ind w:left="4" w:right="340" w:firstLine="419"/>
        <w:spacing w:after="0" w:line="296" w:lineRule="auto"/>
        <w:tabs>
          <w:tab w:leader="none" w:pos="68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From the time of initial confidential submission of the Registration Statement to the Commission (or, if</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the first date on which the Company engaged directly or through any person authorized to act on its behalf in any Testing-the-Waters Communication as defined below)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53" w:lineRule="exact"/>
        <w:rPr>
          <w:rFonts w:ascii="Arial" w:cs="Arial" w:eastAsia="Arial" w:hAnsi="Arial"/>
          <w:sz w:val="16"/>
          <w:szCs w:val="16"/>
          <w:color w:val="auto"/>
        </w:rPr>
      </w:pPr>
    </w:p>
    <w:p>
      <w:pPr>
        <w:ind w:left="664" w:hanging="241"/>
        <w:spacing w:after="0"/>
        <w:tabs>
          <w:tab w:leader="none" w:pos="664"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w:t>
      </w:r>
    </w:p>
    <w:p>
      <w:pPr>
        <w:spacing w:after="0" w:line="2" w:lineRule="exact"/>
        <w:rPr>
          <w:sz w:val="20"/>
          <w:szCs w:val="20"/>
          <w:color w:val="auto"/>
        </w:rPr>
      </w:pPr>
    </w:p>
    <w:p>
      <w:pPr>
        <w:ind w:left="4" w:right="40" w:hanging="4"/>
        <w:spacing w:after="0" w:line="260" w:lineRule="auto"/>
        <w:tabs>
          <w:tab w:leader="none" w:pos="25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entities that the Company reasonably believed to be QIBs or IAIs and otherwise in compliance with the requirements of Rule 163B under the Securities Act and (ii) has not authorized anyone</w:t>
      </w:r>
    </w:p>
    <w:p>
      <w:pPr>
        <w:sectPr>
          <w:pgSz w:w="11900" w:h="16838" w:orient="portrait"/>
          <w:cols w:equalWidth="0" w:num="1">
            <w:col w:w="10564"/>
          </w:cols>
          <w:pgMar w:left="876" w:top="274" w:right="459" w:bottom="1440" w:gutter="0" w:footer="0" w:header="0"/>
        </w:sectPr>
      </w:pPr>
    </w:p>
    <w:bookmarkStart w:id="318" w:name="page319"/>
    <w:bookmarkEnd w:id="318"/>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58" w:lineRule="exact"/>
        <w:rPr>
          <w:sz w:val="20"/>
          <w:szCs w:val="20"/>
          <w:color w:val="auto"/>
        </w:rPr>
      </w:pPr>
    </w:p>
    <w:p>
      <w:pPr>
        <w:ind w:right="20" w:firstLine="419"/>
        <w:spacing w:after="0" w:line="286" w:lineRule="auto"/>
        <w:tabs>
          <w:tab w:leader="none" w:pos="648"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62" w:lineRule="exact"/>
        <w:rPr>
          <w:rFonts w:ascii="Arial" w:cs="Arial" w:eastAsia="Arial" w:hAnsi="Arial"/>
          <w:sz w:val="16"/>
          <w:szCs w:val="16"/>
          <w:color w:val="auto"/>
        </w:rPr>
      </w:pPr>
    </w:p>
    <w:p>
      <w:pPr>
        <w:ind w:firstLine="419"/>
        <w:spacing w:after="0" w:line="296" w:lineRule="auto"/>
        <w:tabs>
          <w:tab w:leader="none" w:pos="678"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w:t>
      </w:r>
    </w:p>
    <w:p>
      <w:pPr>
        <w:sectPr>
          <w:pgSz w:w="11900" w:h="16838" w:orient="portrait"/>
          <w:cols w:equalWidth="0" w:num="1">
            <w:col w:w="10560"/>
          </w:cols>
          <w:pgMar w:left="880" w:top="274" w:right="459" w:bottom="1440" w:gutter="0" w:footer="0" w:header="0"/>
        </w:sectPr>
      </w:pPr>
    </w:p>
    <w:bookmarkStart w:id="319" w:name="page320"/>
    <w:bookmarkEnd w:id="319"/>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applied on a consistent basis throughout the periods covered thereby, except for any normal year-end adjustments in any unaudited interim financial statements, which do not contain certain footnotes as permitted by the applicable rules of the Commission, and any supporting schedules included in the Registration Statement present fairly in all material respects the information required to be stated therein;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if any, comply with Regulation G of the Securities Exchange Act of 1934, as amended, and the rules and regulations of the Commission thereunder (collectively, the “Exchange Act”) and Item 10 of Regulation S-K of the Securities Act, to the extent applicable;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and the related notes thereto included in the Registration Statement, the Pricing Disclosure Package and the Prospectus have been prepared in accordance with the applicable requirements of the Securities Act and the material assumptions underlying such pro forma financial information are reasonable and are set forth in the Registration Statement, the Pricing Disclosure Package and the Prospectus.</w:t>
      </w:r>
    </w:p>
    <w:p>
      <w:pPr>
        <w:spacing w:after="0" w:line="71" w:lineRule="exact"/>
        <w:rPr>
          <w:sz w:val="20"/>
          <w:szCs w:val="20"/>
          <w:color w:val="auto"/>
        </w:rPr>
      </w:pPr>
    </w:p>
    <w:p>
      <w:pPr>
        <w:ind w:left="4" w:right="20" w:firstLine="419"/>
        <w:spacing w:after="0" w:line="283" w:lineRule="auto"/>
        <w:tabs>
          <w:tab w:leader="none" w:pos="681"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there has not been any material change in the capital stock of the Company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(except as otherwise disclosed in the Registration Statement, the Pricing Disclosure Package and the Prospectus)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w:t>
      </w:r>
    </w:p>
    <w:p>
      <w:pPr>
        <w:spacing w:after="0" w:line="3" w:lineRule="exact"/>
        <w:rPr>
          <w:rFonts w:ascii="Arial" w:cs="Arial" w:eastAsia="Arial" w:hAnsi="Arial"/>
          <w:sz w:val="16"/>
          <w:szCs w:val="16"/>
          <w:color w:val="auto"/>
        </w:rPr>
      </w:pPr>
    </w:p>
    <w:p>
      <w:pPr>
        <w:ind w:left="4" w:hanging="4"/>
        <w:spacing w:after="0" w:line="273" w:lineRule="auto"/>
        <w:tabs>
          <w:tab w:leader="none" w:pos="31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ectPr>
          <w:pgSz w:w="11900" w:h="16838" w:orient="portrait"/>
          <w:cols w:equalWidth="0" w:num="1">
            <w:col w:w="10544"/>
          </w:cols>
          <w:pgMar w:left="876" w:top="274" w:right="479" w:bottom="1440" w:gutter="0" w:footer="0" w:header="0"/>
        </w:sectPr>
      </w:pPr>
    </w:p>
    <w:bookmarkStart w:id="320" w:name="page321"/>
    <w:bookmarkEnd w:id="320"/>
    <w:p>
      <w:pPr>
        <w:ind w:left="-419" w:right="80" w:firstLine="419"/>
        <w:spacing w:after="0" w:line="270" w:lineRule="auto"/>
        <w:tabs>
          <w:tab w:leader="none" w:pos="218"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Arial" w:cs="Arial" w:eastAsia="Arial" w:hAnsi="Arial"/>
          <w:sz w:val="17"/>
          <w:szCs w:val="17"/>
          <w:color w:val="auto"/>
        </w:rPr>
        <w:t>The Company and each of its subsidiaries have been duly organized and are validly existing and in</w:t>
      </w:r>
      <w:r>
        <w:rPr>
          <w:rFonts w:ascii="Arial" w:cs="Arial" w:eastAsia="Arial" w:hAnsi="Arial"/>
          <w:sz w:val="17"/>
          <w:szCs w:val="17"/>
          <w:i w:val="1"/>
          <w:iCs w:val="1"/>
          <w:color w:val="auto"/>
        </w:rPr>
        <w:t xml:space="preserve"> </w:t>
      </w:r>
      <w:r>
        <w:rPr>
          <w:rFonts w:ascii="Arial" w:cs="Arial" w:eastAsia="Arial" w:hAnsi="Arial"/>
          <w:sz w:val="17"/>
          <w:szCs w:val="17"/>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72" w:lineRule="exact"/>
        <w:rPr>
          <w:rFonts w:ascii="Arial" w:cs="Arial" w:eastAsia="Arial" w:hAnsi="Arial"/>
          <w:sz w:val="17"/>
          <w:szCs w:val="17"/>
          <w:color w:val="auto"/>
        </w:rPr>
      </w:pPr>
    </w:p>
    <w:p>
      <w:pPr>
        <w:ind w:left="-419" w:firstLine="419"/>
        <w:spacing w:after="0" w:line="287" w:lineRule="auto"/>
        <w:tabs>
          <w:tab w:leader="none" w:pos="218"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 except as described in or expressly contemplated by the Registration Statement,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59" w:lineRule="exact"/>
        <w:rPr>
          <w:rFonts w:ascii="Arial" w:cs="Arial" w:eastAsia="Arial" w:hAnsi="Arial"/>
          <w:sz w:val="16"/>
          <w:szCs w:val="16"/>
          <w:color w:val="auto"/>
        </w:rPr>
      </w:pPr>
    </w:p>
    <w:p>
      <w:pPr>
        <w:ind w:left="-419" w:right="40" w:firstLine="419"/>
        <w:spacing w:after="0" w:line="272" w:lineRule="auto"/>
        <w:tabs>
          <w:tab w:leader="none" w:pos="258"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With respect to the stock options (the “Stock Options”) granted pursuant to the stock-based compensation plans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to the knowledge of the Company (other than with respect to due execution and delivery by the Company), the award agreement governing such grant (if</w:t>
      </w:r>
    </w:p>
    <w:p>
      <w:pPr>
        <w:sectPr>
          <w:pgSz w:w="11900" w:h="16838" w:orient="portrait"/>
          <w:cols w:equalWidth="0" w:num="1">
            <w:col w:w="10141"/>
          </w:cols>
          <w:pgMar w:left="1299" w:top="274" w:right="459" w:bottom="1440" w:gutter="0" w:footer="0" w:header="0"/>
        </w:sectPr>
      </w:pPr>
    </w:p>
    <w:bookmarkStart w:id="321" w:name="page322"/>
    <w:bookmarkEnd w:id="32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was duly executed and delivered by each party thereto, (iii) each such grant was made in accordance with the terms of the Company Stock Plans, the Exchange Act and all other applicable laws and regulatory rules or requirements, including the rules of the Nasdaq Global Market (the “Nasdaq Market”) and any other exchange on which Company securities are traded, in all material respects, and (iv) each such grant was properly accounted for in accordance with GAAP in the financial statements (including the related notes) of the Company in all material respects.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69" w:lineRule="exact"/>
        <w:rPr>
          <w:sz w:val="20"/>
          <w:szCs w:val="20"/>
          <w:color w:val="auto"/>
        </w:rPr>
      </w:pPr>
    </w:p>
    <w:p>
      <w:pPr>
        <w:ind w:right="60" w:firstLine="419"/>
        <w:spacing w:after="0" w:line="263" w:lineRule="auto"/>
        <w:tabs>
          <w:tab w:leader="none" w:pos="638"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right,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19"/>
        <w:spacing w:after="0" w:line="279" w:lineRule="auto"/>
        <w:tabs>
          <w:tab w:leader="none" w:pos="678"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or satisfied.</w:t>
      </w:r>
    </w:p>
    <w:p>
      <w:pPr>
        <w:spacing w:after="0" w:line="63" w:lineRule="exact"/>
        <w:rPr>
          <w:rFonts w:ascii="Arial" w:cs="Arial" w:eastAsia="Arial" w:hAnsi="Arial"/>
          <w:sz w:val="17"/>
          <w:szCs w:val="17"/>
          <w:color w:val="auto"/>
        </w:rPr>
      </w:pPr>
    </w:p>
    <w:p>
      <w:pPr>
        <w:ind w:right="80" w:firstLine="419"/>
        <w:spacing w:after="0" w:line="277" w:lineRule="auto"/>
        <w:tabs>
          <w:tab w:leader="none" w:pos="678"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Description of the Underwriting Agreement. </w:t>
      </w:r>
      <w:r>
        <w:rPr>
          <w:rFonts w:ascii="Arial" w:cs="Arial" w:eastAsia="Arial" w:hAnsi="Arial"/>
          <w:sz w:val="18"/>
          <w:szCs w:val="18"/>
          <w:color w:val="auto"/>
        </w:rPr>
        <w:t>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p>
    <w:p>
      <w:pPr>
        <w:spacing w:after="0" w:line="23"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having jurisdiction over the Company, except, in the case of clauses (ii) and (iii) above, for any such default or violation that would not, individually or in the aggregate, reasonably be expected to have a Material Adverse Effect.</w:t>
      </w:r>
    </w:p>
    <w:p>
      <w:pPr>
        <w:sectPr>
          <w:pgSz w:w="11900" w:h="16838" w:orient="portrait"/>
          <w:cols w:equalWidth="0" w:num="1">
            <w:col w:w="10580"/>
          </w:cols>
          <w:pgMar w:left="880" w:top="274" w:right="439" w:bottom="1440" w:gutter="0" w:footer="0" w:header="0"/>
        </w:sectPr>
      </w:pPr>
    </w:p>
    <w:bookmarkStart w:id="322" w:name="page323"/>
    <w:bookmarkEnd w:id="322"/>
    <w:p>
      <w:pPr>
        <w:ind w:left="-419" w:firstLine="419"/>
        <w:spacing w:after="0" w:line="269" w:lineRule="auto"/>
        <w:tabs>
          <w:tab w:leader="none" w:pos="258"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Conflicts. </w:t>
      </w:r>
      <w:r>
        <w:rPr>
          <w:rFonts w:ascii="Arial" w:cs="Arial" w:eastAsia="Arial" w:hAnsi="Arial"/>
          <w:sz w:val="17"/>
          <w:szCs w:val="17"/>
          <w:color w:val="auto"/>
        </w:rPr>
        <w:t>The execution, delivery and performance by the Company of this Agreement, the issuance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except, in the case of clauses (i) and (iii) above, for any such conflict, breach, violation, default, lien, charge or encumbrance that would not, individually or in the aggregate, reasonably be excepted to have a Material Adverse Effect.</w:t>
      </w:r>
    </w:p>
    <w:p>
      <w:pPr>
        <w:spacing w:after="0" w:line="73" w:lineRule="exact"/>
        <w:rPr>
          <w:rFonts w:ascii="Arial" w:cs="Arial" w:eastAsia="Arial" w:hAnsi="Arial"/>
          <w:sz w:val="17"/>
          <w:szCs w:val="17"/>
          <w:color w:val="auto"/>
        </w:rPr>
      </w:pPr>
    </w:p>
    <w:p>
      <w:pPr>
        <w:ind w:left="-419" w:right="20" w:firstLine="419"/>
        <w:spacing w:after="0" w:line="254" w:lineRule="auto"/>
        <w:tabs>
          <w:tab w:leader="none" w:pos="228"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Company of this Agreement, the issuance and sale of the Shares and the consummation of the transactions contemplated by this Agreement, except for (i) the filing of the amended and restated certificate of incorporation of the Company with the Secretary of State of Delaware and (ii) the registration of the Shares under the Securities Act and such consents, approvals, authorizations, orders and registrations or qualifications as may be required by the Financial Industry Regulatory Authority, Inc. (“FINRA”), the Nasdaq Market and under applicable state securities laws in connection with the purchase and distribution of the Shares by the Underwriters.</w:t>
      </w:r>
    </w:p>
    <w:p>
      <w:pPr>
        <w:spacing w:after="0" w:line="86" w:lineRule="exact"/>
        <w:rPr>
          <w:rFonts w:ascii="Arial" w:cs="Arial" w:eastAsia="Arial" w:hAnsi="Arial"/>
          <w:sz w:val="18"/>
          <w:szCs w:val="18"/>
          <w:color w:val="auto"/>
        </w:rPr>
      </w:pPr>
    </w:p>
    <w:p>
      <w:pPr>
        <w:ind w:left="-419" w:firstLine="419"/>
        <w:spacing w:after="0" w:line="269" w:lineRule="auto"/>
        <w:tabs>
          <w:tab w:leader="none" w:pos="238"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legal, governmental or regulatory 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except as described in the Registration Statement, the Pricing Disclosure Package and the Prospectus,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ectPr>
          <w:pgSz w:w="11900" w:h="16838" w:orient="portrait"/>
          <w:cols w:equalWidth="0" w:num="1">
            <w:col w:w="10121"/>
          </w:cols>
          <w:pgMar w:left="1299" w:top="274" w:right="479" w:bottom="1440" w:gutter="0" w:footer="0" w:header="0"/>
        </w:sectPr>
      </w:pPr>
    </w:p>
    <w:bookmarkStart w:id="323" w:name="page324"/>
    <w:bookmarkEnd w:id="323"/>
    <w:p>
      <w:pPr>
        <w:ind w:left="640" w:hanging="2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Accountants</w:t>
      </w:r>
      <w:r>
        <w:rPr>
          <w:rFonts w:ascii="Arial" w:cs="Arial" w:eastAsia="Arial" w:hAnsi="Arial"/>
          <w:sz w:val="17"/>
          <w:szCs w:val="17"/>
          <w:color w:val="auto"/>
        </w:rPr>
        <w:t>. KPMG LLP, who have certified certain financial statements of the Company and its subsidiaries, is an</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3" w:lineRule="exact"/>
        <w:rPr>
          <w:rFonts w:ascii="Arial" w:cs="Arial" w:eastAsia="Arial" w:hAnsi="Arial"/>
          <w:sz w:val="17"/>
          <w:szCs w:val="17"/>
          <w:color w:val="auto"/>
        </w:rPr>
      </w:pPr>
    </w:p>
    <w:p>
      <w:pPr>
        <w:ind w:right="120" w:firstLine="419"/>
        <w:spacing w:after="0" w:line="257" w:lineRule="auto"/>
        <w:tabs>
          <w:tab w:leader="none" w:pos="67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The Company and its subsidiaries have good and marketable title in fee simple to, or have valid</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79" w:lineRule="exact"/>
        <w:rPr>
          <w:rFonts w:ascii="Arial" w:cs="Arial" w:eastAsia="Arial" w:hAnsi="Arial"/>
          <w:sz w:val="18"/>
          <w:szCs w:val="18"/>
          <w:color w:val="auto"/>
        </w:rPr>
      </w:pPr>
    </w:p>
    <w:p>
      <w:pPr>
        <w:ind w:firstLine="419"/>
        <w:spacing w:after="0" w:line="285" w:lineRule="auto"/>
        <w:tabs>
          <w:tab w:leader="none" w:pos="678"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(i) The Company and its subsidiaries own or possess or have the right to use all patents, patent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software developments, trademarks, service marks, trade names, trademark registrations, service mark registrations, domain names and other source indicators, copyrights, authors’ rights and copyrightable works, know-how, trade secrets, systems, procedures, inventions, licenses, technology, proprietary or confidential information and all other worldwide intellectual property, industrial property and proprietary rights (collectively, “Intellectual Property”) necessary to carry on the business now operated by them, or as proposed to be conducted; (ii) except as described in the Registration Statement, the Pricing Disclosure Package and the Prospectus, there is no pending or, to the knowledge of the Company, threatened action, suit, proceeding or claim by others challenging the Company’s rights in or to any such Intellectual Property, and the Company is unaware of any facts which would form a reasonable basis for any such action, suit, proceeding or claim; (iii) there is no pending or, to the knowledge of the Company, threatened action, suit, proceeding or claim by others challenging the validity or scope of any such Intellectual Property, and the Company is unaware of any facts which would form a reasonable basis for any such claim; (iv) the Intellectual Property has not been adjudged by a court of competent jurisdiction invalid or unenforceable, in whole or in part; (v) there is no prior art of which the Company is aware that may render any patent held by the Company invalid or any patent application held by the Company un-patentable which has not been disclosed to the U.S. Patent and Trademark Office; (vi) to the knowledge of the Company, the Company and its subsidiaries’ conduct of their respective businesses does not infringe, misappropriate or otherwise violate any Intellectual Property of any person and the Company is unaware of any facts which would form a reasonable basis for any such claim; (vii) the Company and its subsidiaries have not received any written notice of any claim of ownership or inventorship with respect to the Company’s owned Intellectual Property; (viii) the Company and its subsidiaries have taken reasonable steps in accordance with normal industry practice to maintain the confidentiality of all Intellectual Property of the Company and its subsidiaries where the value to the Company or any of</w:t>
      </w:r>
    </w:p>
    <w:p>
      <w:pPr>
        <w:sectPr>
          <w:pgSz w:w="11900" w:h="16838" w:orient="portrait"/>
          <w:cols w:equalWidth="0" w:num="1">
            <w:col w:w="10560"/>
          </w:cols>
          <w:pgMar w:left="880" w:top="274" w:right="459" w:bottom="1440" w:gutter="0" w:footer="0" w:header="0"/>
        </w:sectPr>
      </w:pPr>
    </w:p>
    <w:bookmarkStart w:id="324" w:name="page325"/>
    <w:bookmarkEnd w:id="32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subsidiaries is contingent upon maintaining the confidentiality thereof and no such Intellectual Property has been disclosed other than to employees, representatives and agents of the Company or any of its subsidiaries, all of whom are bound by written confidentiality agreements; and</w:t>
      </w:r>
    </w:p>
    <w:p>
      <w:pPr>
        <w:ind w:left="4" w:hanging="4"/>
        <w:spacing w:after="0" w:line="283" w:lineRule="auto"/>
        <w:tabs>
          <w:tab w:leader="none" w:pos="30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to the knowledge of the Company, the Intellectual Property of the Company and its subsidiaries is not being infringed, misappropriated or otherwise violated by any person. Each patent application owned, or purported to be owned by the Company or its subsidiaries is being diligently prosecuted and each issued patent owned or purported to be owned by the Company or its subsidiaries is being diligently maintained. Except as disclosed in the Registration Statement, the Pricing Disclosure Package and the Prospectus, all Intellectual Property Rights described in the Registration Statement as owned by the Company or its subsidiaries are owned solely by the Company or its subsidiaries. All Intellectual Property Rights owned or purported to be owned by the Company are owned free and clear of all material liens, encumbrances, defects or other restrictions. The Company is not aware of any specific facts that would form a reasonable basis for a finding that any of the issued or granted patents owned by the Company is invalid or unenforceable and, to the knowledge of the Company, all such issued or granted patents are valid and enforceable.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restricts or impairs their respective use of any Intellectual Property Rights, except as would not reasonably be expected, singly or in the aggregate, to have a material adverse effect on the Company and its subsidiaries, taken as a whole. All of the Company’s employment agreements and consulting agreements contain, to the extent permitted by applicable law, provisions requiring the disclosure of any inventions and effecting the automatic transfer to the Company of all rights, titles and interests in intellectual property, including intellectual property rights in and to any creation, made by such employees and consultants from the beginning of their employment. All payments in connection with such transfers have been duly made to the Company’s employees and consultants in accordance with applicable law, employment agreements and consulting agreements. To the knowledge of the Company, no current or former employee or consultant of the Company is in violation of the confidential information and invention disclosure and assignment provisions included in their respective employment agreement or consultant agreement. All employees and consultants have executed an employment agreement or consulting agreement, as applicable, with the Company. All of the Company’s sub-contractor agreements contain the provisions necessary to ensure, to the extent permitted by applicable law, the transfer to the Company of all material intellectual property rights with respect to the work performed on behalf of the Company, except with respect to background intellectual property belonging to such sub-contractors.</w:t>
      </w:r>
    </w:p>
    <w:p>
      <w:pPr>
        <w:spacing w:after="0" w:line="288" w:lineRule="exact"/>
        <w:rPr>
          <w:rFonts w:ascii="Arial" w:cs="Arial" w:eastAsia="Arial" w:hAnsi="Arial"/>
          <w:sz w:val="16"/>
          <w:szCs w:val="16"/>
          <w:color w:val="auto"/>
        </w:rPr>
      </w:pPr>
    </w:p>
    <w:p>
      <w:pPr>
        <w:ind w:left="4" w:right="60" w:firstLine="419"/>
        <w:spacing w:after="0" w:line="259" w:lineRule="auto"/>
        <w:tabs>
          <w:tab w:leader="none" w:pos="721"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ectPr>
          <w:pgSz w:w="11900" w:h="16838" w:orient="portrait"/>
          <w:cols w:equalWidth="0" w:num="1">
            <w:col w:w="10564"/>
          </w:cols>
          <w:pgMar w:left="876" w:top="274" w:right="459" w:bottom="1440" w:gutter="0" w:footer="0" w:header="0"/>
        </w:sectPr>
      </w:pPr>
    </w:p>
    <w:bookmarkStart w:id="325" w:name="page326"/>
    <w:bookmarkEnd w:id="325"/>
    <w:p>
      <w:pPr>
        <w:ind w:left="-419" w:right="100" w:firstLine="419"/>
        <w:spacing w:after="0" w:line="301" w:lineRule="auto"/>
        <w:tabs>
          <w:tab w:leader="none" w:pos="25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Arial" w:cs="Arial" w:eastAsia="Arial" w:hAnsi="Arial"/>
          <w:sz w:val="16"/>
          <w:szCs w:val="16"/>
          <w:color w:val="auto"/>
        </w:rPr>
        <w:t>. The Company is not and, after giving effect to the offering and sale of the Shares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49" w:lineRule="exact"/>
        <w:rPr>
          <w:rFonts w:ascii="Arial" w:cs="Arial" w:eastAsia="Arial" w:hAnsi="Arial"/>
          <w:sz w:val="16"/>
          <w:szCs w:val="16"/>
          <w:color w:val="auto"/>
        </w:rPr>
      </w:pPr>
    </w:p>
    <w:p>
      <w:pPr>
        <w:ind w:left="-419" w:firstLine="419"/>
        <w:spacing w:after="0" w:line="296" w:lineRule="auto"/>
        <w:tabs>
          <w:tab w:leader="none" w:pos="25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all federal, state, local and foreign taxes and filed all tax returns required to be paid or</w:t>
      </w:r>
      <w:r>
        <w:rPr>
          <w:rFonts w:ascii="Arial" w:cs="Arial" w:eastAsia="Arial" w:hAnsi="Arial"/>
          <w:sz w:val="16"/>
          <w:szCs w:val="16"/>
          <w:i w:val="1"/>
          <w:iCs w:val="1"/>
          <w:color w:val="auto"/>
        </w:rPr>
        <w:t xml:space="preserve"> </w:t>
      </w:r>
      <w:r>
        <w:rPr>
          <w:rFonts w:ascii="Arial" w:cs="Arial" w:eastAsia="Arial" w:hAnsi="Arial"/>
          <w:sz w:val="16"/>
          <w:szCs w:val="16"/>
          <w:color w:val="auto"/>
        </w:rPr>
        <w:t>filed by them through the date hereof (except where the failure to pay or file would not, individually or in the aggregate, have a Material Adverse Effect); and except as otherwise disclosed in each of the Registration Statement, the Pricing Disclosure Package and the Prospectus, there is no tax deficiency that has been, or could reasonably be expected to be, asserted in writing against the Company or any of its subsidiaries or any of their respective properties or assets and that could, individually or in the aggregate, have a Material Adverse Effect.</w:t>
      </w:r>
    </w:p>
    <w:p>
      <w:pPr>
        <w:spacing w:after="0" w:line="53" w:lineRule="exact"/>
        <w:rPr>
          <w:rFonts w:ascii="Arial" w:cs="Arial" w:eastAsia="Arial" w:hAnsi="Arial"/>
          <w:sz w:val="16"/>
          <w:szCs w:val="16"/>
          <w:color w:val="auto"/>
        </w:rPr>
      </w:pPr>
    </w:p>
    <w:p>
      <w:pPr>
        <w:ind w:left="-419" w:right="100" w:firstLine="419"/>
        <w:spacing w:after="0" w:line="290" w:lineRule="auto"/>
        <w:tabs>
          <w:tab w:leader="none" w:pos="24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Company and its subsidiaries possess all licenses, sub-licenses, certificates, permits and other authorizations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57" w:lineRule="exact"/>
        <w:rPr>
          <w:sz w:val="20"/>
          <w:szCs w:val="20"/>
          <w:color w:val="auto"/>
        </w:rPr>
      </w:pPr>
    </w:p>
    <w:p>
      <w:pPr>
        <w:ind w:left="-419" w:firstLine="419"/>
        <w:spacing w:after="0" w:line="257" w:lineRule="auto"/>
        <w:tabs>
          <w:tab w:leader="none" w:pos="328"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ectPr>
          <w:pgSz w:w="11900" w:h="16838" w:orient="portrait"/>
          <w:cols w:equalWidth="0" w:num="1">
            <w:col w:w="10141"/>
          </w:cols>
          <w:pgMar w:left="1299" w:top="274" w:right="459" w:bottom="1440" w:gutter="0" w:footer="0" w:header="0"/>
        </w:sectPr>
      </w:pPr>
    </w:p>
    <w:bookmarkStart w:id="326" w:name="page327"/>
    <w:bookmarkEnd w:id="326"/>
    <w:p>
      <w:pPr>
        <w:ind w:left="4" w:right="40" w:firstLine="419"/>
        <w:spacing w:after="0" w:line="267" w:lineRule="auto"/>
        <w:tabs>
          <w:tab w:leader="none" w:pos="771"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Environmental Matters</w:t>
      </w:r>
      <w:r>
        <w:rPr>
          <w:rFonts w:ascii="Arial" w:cs="Arial" w:eastAsia="Arial" w:hAnsi="Arial"/>
          <w:sz w:val="17"/>
          <w:szCs w:val="17"/>
          <w:color w:val="auto"/>
        </w:rPr>
        <w:t>. (i) The Company and its subsidiaries (x) are in compliance with all, and have not violated any,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81" w:lineRule="exact"/>
        <w:rPr>
          <w:rFonts w:ascii="Arial" w:cs="Arial" w:eastAsia="Arial" w:hAnsi="Arial"/>
          <w:sz w:val="17"/>
          <w:szCs w:val="17"/>
          <w:color w:val="auto"/>
        </w:rPr>
      </w:pPr>
    </w:p>
    <w:p>
      <w:pPr>
        <w:ind w:left="4" w:right="20" w:firstLine="419"/>
        <w:spacing w:after="0" w:line="284" w:lineRule="auto"/>
        <w:tabs>
          <w:tab w:leader="none" w:pos="751" w:val="left"/>
        </w:tabs>
        <w:numPr>
          <w:ilvl w:val="1"/>
          <w:numId w:val="190"/>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(i) Each employee benefit plan, within the meaning of Section 3(3) of the Employee Retirement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except for non-compliance that would not reasonably be expected to result in a material liability to the Company;</w:t>
      </w:r>
    </w:p>
    <w:p>
      <w:pPr>
        <w:spacing w:after="0" w:line="4" w:lineRule="exact"/>
        <w:rPr>
          <w:rFonts w:ascii="Arial" w:cs="Arial" w:eastAsia="Arial" w:hAnsi="Arial"/>
          <w:sz w:val="16"/>
          <w:szCs w:val="16"/>
          <w:color w:val="auto"/>
        </w:rPr>
      </w:pPr>
    </w:p>
    <w:p>
      <w:pPr>
        <w:ind w:left="4" w:hanging="4"/>
        <w:spacing w:after="0" w:line="269" w:lineRule="auto"/>
        <w:tabs>
          <w:tab w:leader="none" w:pos="26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w:t>
      </w:r>
    </w:p>
    <w:p>
      <w:pPr>
        <w:sectPr>
          <w:pgSz w:w="11900" w:h="16838" w:orient="portrait"/>
          <w:cols w:equalWidth="0" w:num="1">
            <w:col w:w="10564"/>
          </w:cols>
          <w:pgMar w:left="876" w:top="274" w:right="459" w:bottom="1440" w:gutter="0" w:footer="0" w:header="0"/>
        </w:sectPr>
      </w:pPr>
    </w:p>
    <w:bookmarkStart w:id="327" w:name="page328"/>
    <w:bookmarkEnd w:id="327"/>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76" w:lineRule="exact"/>
        <w:rPr>
          <w:sz w:val="20"/>
          <w:szCs w:val="20"/>
          <w:color w:val="auto"/>
        </w:rPr>
      </w:pPr>
    </w:p>
    <w:p>
      <w:pPr>
        <w:ind w:left="4" w:firstLine="419"/>
        <w:spacing w:after="0" w:line="291" w:lineRule="auto"/>
        <w:tabs>
          <w:tab w:leader="none" w:pos="771"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and its subsidiaries maintain an effective system of “disclosure controls and procedures”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To the extent applicable as of the date of this Agreement, the Company and its subsidiaries have carried out evaluations of the effectiveness of their disclosure controls and procedures as required by Rule 13a-15 of the Exchange Act.</w:t>
      </w:r>
    </w:p>
    <w:p>
      <w:pPr>
        <w:spacing w:after="0" w:line="58" w:lineRule="exact"/>
        <w:rPr>
          <w:rFonts w:ascii="Arial" w:cs="Arial" w:eastAsia="Arial" w:hAnsi="Arial"/>
          <w:sz w:val="16"/>
          <w:szCs w:val="16"/>
          <w:color w:val="auto"/>
        </w:rPr>
      </w:pPr>
    </w:p>
    <w:p>
      <w:pPr>
        <w:jc w:val="both"/>
        <w:ind w:left="4" w:right="240" w:firstLine="419"/>
        <w:spacing w:after="0" w:line="285" w:lineRule="auto"/>
        <w:tabs>
          <w:tab w:leader="none" w:pos="751"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w:t>
      </w:r>
    </w:p>
    <w:p>
      <w:pPr>
        <w:spacing w:after="0" w:line="1" w:lineRule="exact"/>
        <w:rPr>
          <w:rFonts w:ascii="Arial" w:cs="Arial" w:eastAsia="Arial" w:hAnsi="Arial"/>
          <w:sz w:val="16"/>
          <w:szCs w:val="16"/>
          <w:color w:val="auto"/>
        </w:rPr>
      </w:pPr>
    </w:p>
    <w:p>
      <w:pPr>
        <w:ind w:left="4" w:right="360" w:hanging="4"/>
        <w:spacing w:after="0" w:line="260" w:lineRule="auto"/>
        <w:tabs>
          <w:tab w:leader="none" w:pos="21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authorizations; (ii) transactions are recorded as necessary to permit preparation of financial statements in conformity with GAAP and to</w:t>
      </w:r>
    </w:p>
    <w:p>
      <w:pPr>
        <w:sectPr>
          <w:pgSz w:w="11900" w:h="16838" w:orient="portrait"/>
          <w:cols w:equalWidth="0" w:num="1">
            <w:col w:w="10584"/>
          </w:cols>
          <w:pgMar w:left="876" w:top="274" w:right="439" w:bottom="1440" w:gutter="0" w:footer="0" w:header="0"/>
        </w:sectPr>
      </w:pPr>
    </w:p>
    <w:bookmarkStart w:id="328" w:name="page329"/>
    <w:bookmarkEnd w:id="32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 asset accountability; (iii) access to assets is permitted only in accordance with management’s general or specific authorization; and</w:t>
      </w:r>
    </w:p>
    <w:p>
      <w:pPr>
        <w:spacing w:after="0" w:line="35" w:lineRule="exact"/>
        <w:rPr>
          <w:sz w:val="20"/>
          <w:szCs w:val="20"/>
          <w:color w:val="auto"/>
        </w:rPr>
      </w:pPr>
    </w:p>
    <w:p>
      <w:pPr>
        <w:ind w:left="4" w:hanging="4"/>
        <w:spacing w:after="0" w:line="269" w:lineRule="auto"/>
        <w:tabs>
          <w:tab w:leader="none" w:pos="30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known to the Company which have adversely affected or are reasonably likely to adversely affect the Company’s ability to record, process, summarize and report financial information; and (ii) any fraud known to the Company, whether or not material, that involves management or other employees who have a significant role in the Company’s internal controls over financial reporting.</w:t>
      </w:r>
    </w:p>
    <w:p>
      <w:pPr>
        <w:spacing w:after="0" w:line="72" w:lineRule="exact"/>
        <w:rPr>
          <w:rFonts w:ascii="Arial" w:cs="Arial" w:eastAsia="Arial" w:hAnsi="Arial"/>
          <w:sz w:val="17"/>
          <w:szCs w:val="17"/>
          <w:color w:val="auto"/>
        </w:rPr>
      </w:pPr>
    </w:p>
    <w:p>
      <w:pPr>
        <w:ind w:left="4" w:right="120" w:firstLine="419"/>
        <w:spacing w:after="0" w:line="293" w:lineRule="auto"/>
        <w:tabs>
          <w:tab w:leader="none" w:pos="708"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56" w:lineRule="exact"/>
        <w:rPr>
          <w:rFonts w:ascii="Arial" w:cs="Arial" w:eastAsia="Arial" w:hAnsi="Arial"/>
          <w:sz w:val="16"/>
          <w:szCs w:val="16"/>
          <w:color w:val="auto"/>
        </w:rPr>
      </w:pPr>
    </w:p>
    <w:p>
      <w:pPr>
        <w:ind w:left="4" w:right="80" w:firstLine="419"/>
        <w:spacing w:after="0" w:line="268" w:lineRule="auto"/>
        <w:tabs>
          <w:tab w:leader="none" w:pos="771" w:val="left"/>
        </w:tabs>
        <w:numPr>
          <w:ilvl w:val="1"/>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Data Protection. </w:t>
      </w:r>
      <w:r>
        <w:rPr>
          <w:rFonts w:ascii="Arial" w:cs="Arial" w:eastAsia="Arial" w:hAnsi="Arial"/>
          <w:sz w:val="17"/>
          <w:szCs w:val="17"/>
          <w:color w:val="auto"/>
        </w:rPr>
        <w:t>The Company and its subsidiaries’ information technology assets and equipment, computers,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hardware, software, websites, applications, and databases (including all data of their respective employees, suppliers, vendors and any third-party data under the control of and maintained by the Company or any of its subsidiaries) (collectively, “IT Systems”) are adequate for, and operate and perform in all material respects as required in connection with the operation of the business of the Company and its subsidiaries as currently conducted, in each case, to the knowledge of the Company, free and clear of all material bugs, errors, defects, Trojan horses, time bombs, malware and other corruptants. The Company and its subsidiaries implement and maintain commercially reasonable controls, policies, procedures, and safeguards designed to maintain and protect their material confidential information and the integrity, continuous operation, redundancy and security of all IT Systems and personal, personally identifiable, or regulated data comprising personal data (“Personal Data”) collected, used or otherwise processed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approved and released internal policies and contractual obligations relating to the privacy and security of IT Systems and Personal Data and to the protection of such IT Systems and Personal Data from unauthorized use, access, misappropriation or modification.</w:t>
      </w:r>
    </w:p>
    <w:p>
      <w:pPr>
        <w:sectPr>
          <w:pgSz w:w="11900" w:h="16838" w:orient="portrait"/>
          <w:cols w:equalWidth="0" w:num="1">
            <w:col w:w="10564"/>
          </w:cols>
          <w:pgMar w:left="876" w:top="274" w:right="459" w:bottom="1440" w:gutter="0" w:footer="0" w:header="0"/>
        </w:sectPr>
      </w:pPr>
    </w:p>
    <w:bookmarkStart w:id="329" w:name="page330"/>
    <w:bookmarkEnd w:id="329"/>
    <w:p>
      <w:pPr>
        <w:ind w:left="-419" w:firstLine="419"/>
        <w:spacing w:after="0" w:line="268" w:lineRule="auto"/>
        <w:tabs>
          <w:tab w:leader="none" w:pos="348"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Arial" w:cs="Arial" w:eastAsia="Arial" w:hAnsi="Arial"/>
          <w:sz w:val="17"/>
          <w:szCs w:val="17"/>
          <w:color w:val="auto"/>
        </w:rPr>
        <w:t>Neither the Company nor any of its subsidiaries nor any director, officer or employee of the Company 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78" w:lineRule="exact"/>
        <w:rPr>
          <w:rFonts w:ascii="Arial" w:cs="Arial" w:eastAsia="Arial" w:hAnsi="Arial"/>
          <w:sz w:val="17"/>
          <w:szCs w:val="17"/>
          <w:color w:val="auto"/>
        </w:rPr>
      </w:pPr>
    </w:p>
    <w:p>
      <w:pPr>
        <w:ind w:left="-419" w:right="20" w:firstLine="419"/>
        <w:spacing w:after="0" w:line="272" w:lineRule="auto"/>
        <w:tabs>
          <w:tab w:leader="none" w:pos="268"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9" w:lineRule="exact"/>
        <w:rPr>
          <w:rFonts w:ascii="Arial" w:cs="Arial" w:eastAsia="Arial" w:hAnsi="Arial"/>
          <w:sz w:val="17"/>
          <w:szCs w:val="17"/>
          <w:color w:val="auto"/>
        </w:rPr>
      </w:pPr>
    </w:p>
    <w:p>
      <w:pPr>
        <w:ind w:left="-419" w:right="140" w:firstLine="419"/>
        <w:spacing w:after="0" w:line="254" w:lineRule="auto"/>
        <w:tabs>
          <w:tab w:leader="none" w:pos="26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directors, officers, or employees, nor,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the Special Economic Measures Act (Canada) or other relevant sanctions authority (collectively, “Sanctions”), nor is the</w:t>
      </w:r>
    </w:p>
    <w:p>
      <w:pPr>
        <w:sectPr>
          <w:pgSz w:w="11900" w:h="16838" w:orient="portrait"/>
          <w:cols w:equalWidth="0" w:num="1">
            <w:col w:w="10141"/>
          </w:cols>
          <w:pgMar w:left="1299" w:top="274" w:right="459" w:bottom="1440" w:gutter="0" w:footer="0" w:header="0"/>
        </w:sectPr>
      </w:pPr>
    </w:p>
    <w:bookmarkStart w:id="330" w:name="page331"/>
    <w:bookmarkEnd w:id="3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any of its subsidiaries located, organized or resident in a country or territory that is the subject or target of Sanctions, including, without limitation, the Crimea Region and the non-government controlled areas of the Zaporizhzhia and Kherson Regions of Ukraine, the so-called Donetsk People’s Republic, the so-called Luhansk People’s Republic, Russia, Cuba, Iran, North Korea and Syria (each, a “Sanctioned Territory”);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Territory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Territory.</w:t>
      </w:r>
    </w:p>
    <w:p>
      <w:pPr>
        <w:spacing w:after="0" w:line="77" w:lineRule="exact"/>
        <w:rPr>
          <w:sz w:val="20"/>
          <w:szCs w:val="20"/>
          <w:color w:val="auto"/>
        </w:rPr>
      </w:pPr>
    </w:p>
    <w:p>
      <w:pPr>
        <w:ind w:right="200" w:firstLine="419"/>
        <w:spacing w:after="0" w:line="301" w:lineRule="auto"/>
        <w:tabs>
          <w:tab w:leader="none" w:pos="768"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t>No Restrictions on Subsidiaries</w:t>
      </w:r>
      <w:r>
        <w:rPr>
          <w:rFonts w:ascii="Arial" w:cs="Arial" w:eastAsia="Arial" w:hAnsi="Arial"/>
          <w:sz w:val="16"/>
          <w:szCs w:val="16"/>
          <w:color w:val="auto"/>
        </w:rPr>
        <w:t>. No subsidiary of the Company is currently prohibited, directly or indirectly, under any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49" w:lineRule="exact"/>
        <w:rPr>
          <w:rFonts w:ascii="Arial" w:cs="Arial" w:eastAsia="Arial" w:hAnsi="Arial"/>
          <w:sz w:val="16"/>
          <w:szCs w:val="16"/>
          <w:color w:val="auto"/>
        </w:rPr>
      </w:pPr>
    </w:p>
    <w:p>
      <w:pPr>
        <w:ind w:right="420" w:firstLine="419"/>
        <w:spacing w:after="0" w:line="263" w:lineRule="auto"/>
        <w:tabs>
          <w:tab w:leader="none" w:pos="688"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ind w:right="160" w:firstLine="419"/>
        <w:spacing w:after="0" w:line="263" w:lineRule="auto"/>
        <w:tabs>
          <w:tab w:leader="none" w:pos="868"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by reason of the filing of the Registration Statement with the Commission or the issuance and sale of the Shares, except for such rights that have been validly waived.</w:t>
      </w:r>
    </w:p>
    <w:p>
      <w:pPr>
        <w:spacing w:after="0" w:line="75" w:lineRule="exact"/>
        <w:rPr>
          <w:rFonts w:ascii="Arial" w:cs="Arial" w:eastAsia="Arial" w:hAnsi="Arial"/>
          <w:sz w:val="18"/>
          <w:szCs w:val="18"/>
          <w:color w:val="auto"/>
        </w:rPr>
      </w:pPr>
    </w:p>
    <w:p>
      <w:pPr>
        <w:ind w:right="40" w:firstLine="419"/>
        <w:spacing w:after="0" w:line="277" w:lineRule="auto"/>
        <w:tabs>
          <w:tab w:leader="none" w:pos="768"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any of its subsidiaries or affiliates has taken, directly or indirectly, any action designed to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reasonably be expected to cause or result in any stabilization or manipulation of the price of the Shares.</w:t>
      </w:r>
    </w:p>
    <w:p>
      <w:pPr>
        <w:spacing w:after="0" w:line="62" w:lineRule="exact"/>
        <w:rPr>
          <w:rFonts w:ascii="Arial" w:cs="Arial" w:eastAsia="Arial" w:hAnsi="Arial"/>
          <w:sz w:val="18"/>
          <w:szCs w:val="18"/>
          <w:color w:val="auto"/>
        </w:rPr>
      </w:pPr>
    </w:p>
    <w:p>
      <w:pPr>
        <w:ind w:right="40" w:firstLine="419"/>
        <w:spacing w:after="0" w:line="263" w:lineRule="auto"/>
        <w:tabs>
          <w:tab w:leader="none" w:pos="768"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ectPr>
          <w:pgSz w:w="11900" w:h="16838" w:orient="portrait"/>
          <w:cols w:equalWidth="0" w:num="1">
            <w:col w:w="10540"/>
          </w:cols>
          <w:pgMar w:left="880" w:top="274" w:right="479" w:bottom="1440" w:gutter="0" w:footer="0" w:header="0"/>
        </w:sectPr>
      </w:pPr>
    </w:p>
    <w:bookmarkStart w:id="331" w:name="page332"/>
    <w:bookmarkEnd w:id="331"/>
    <w:p>
      <w:pPr>
        <w:jc w:val="both"/>
        <w:ind w:left="-419" w:firstLine="419"/>
        <w:spacing w:after="0" w:line="263" w:lineRule="auto"/>
        <w:tabs>
          <w:tab w:leader="none" w:pos="348"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419" w:right="140" w:firstLine="419"/>
        <w:spacing w:after="0" w:line="263" w:lineRule="auto"/>
        <w:tabs>
          <w:tab w:leader="none" w:pos="348"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75" w:lineRule="exact"/>
        <w:rPr>
          <w:rFonts w:ascii="Arial" w:cs="Arial" w:eastAsia="Arial" w:hAnsi="Arial"/>
          <w:sz w:val="18"/>
          <w:szCs w:val="18"/>
          <w:color w:val="auto"/>
        </w:rPr>
      </w:pPr>
    </w:p>
    <w:p>
      <w:pPr>
        <w:ind w:left="-419" w:right="120" w:firstLine="419"/>
        <w:spacing w:after="0" w:line="311" w:lineRule="auto"/>
        <w:tabs>
          <w:tab w:leader="none" w:pos="288"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any of the Company’s directors or officers,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40" w:lineRule="exact"/>
        <w:rPr>
          <w:rFonts w:ascii="Arial" w:cs="Arial" w:eastAsia="Arial" w:hAnsi="Arial"/>
          <w:sz w:val="16"/>
          <w:szCs w:val="16"/>
          <w:color w:val="auto"/>
        </w:rPr>
      </w:pPr>
    </w:p>
    <w:p>
      <w:pPr>
        <w:ind w:left="-419" w:right="20" w:firstLine="419"/>
        <w:spacing w:after="0" w:line="311" w:lineRule="auto"/>
        <w:tabs>
          <w:tab w:leader="none" w:pos="308"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 earliest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40" w:lineRule="exact"/>
        <w:rPr>
          <w:rFonts w:ascii="Arial" w:cs="Arial" w:eastAsia="Arial" w:hAnsi="Arial"/>
          <w:sz w:val="16"/>
          <w:szCs w:val="16"/>
          <w:color w:val="auto"/>
        </w:rPr>
      </w:pPr>
    </w:p>
    <w:p>
      <w:pPr>
        <w:ind w:left="-419" w:right="40" w:firstLine="419"/>
        <w:spacing w:after="0" w:line="268" w:lineRule="auto"/>
        <w:tabs>
          <w:tab w:leader="none" w:pos="268"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Clinical Trials, Preclinical Studies and Tests and Regulatory Compliance</w:t>
      </w:r>
      <w:r>
        <w:rPr>
          <w:rFonts w:ascii="Arial" w:cs="Arial" w:eastAsia="Arial" w:hAnsi="Arial"/>
          <w:sz w:val="17"/>
          <w:szCs w:val="17"/>
          <w:color w:val="auto"/>
        </w:rPr>
        <w:t>. (i) Except as described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the clinical trials, preclinical studies and tests (collectively, “Studies”) conducted by or on behalf of or sponsored by the Company or its subsidiaries, or in which the Company or its subsidiaries have participated or in which Company product candidates have been studied,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the protocols, procedures and controls designed and approved for such studies, standard medical and scientific research procedures and all applicable statutes, rules and regulations, including good clinical practice and good laboratory practice requirements, of the applicable regulatory agencies to which they are subject, including the U.S. Food and Drug Administration (“FDA”), the Centers for Medicare and Medicaid Services, the European Medicines Agency, or any foreign, federal, state or local governmental body exercising comparable authority (collectively, the “Regulatory Authorities”); (ii) the descriptions in the Registration Statement, the Pricing Disclosure Package and the Prospectus of the results of such Studies are accurate and complete descriptions in all material respects and fairly present the data derived therefrom; (iii) neither the Company nor any of its subsidiaries has knowledge of any other Studies not described in the Registration Statement, the Pricing Disclosure Package and the Prospectus, the results of which are inconsistent with or call into question the results described or referred to in the</w:t>
      </w:r>
    </w:p>
    <w:p>
      <w:pPr>
        <w:sectPr>
          <w:pgSz w:w="11900" w:h="16838" w:orient="portrait"/>
          <w:cols w:equalWidth="0" w:num="1">
            <w:col w:w="10141"/>
          </w:cols>
          <w:pgMar w:left="1299" w:top="274" w:right="459" w:bottom="1440" w:gutter="0" w:footer="0" w:header="0"/>
        </w:sectPr>
      </w:pPr>
    </w:p>
    <w:bookmarkStart w:id="332" w:name="page333"/>
    <w:bookmarkEnd w:id="33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the Pricing Disclosure Package and the Prospectus; (iv) the Company and its subsidiaries have operated at all times and are currently in compliance in all material respects with all applicable statutes, rules and regulations of the Regulatory Authorities; (v) the Company and its subsidiaries has provided the Underwriters with all substantive written notices, correspondence and summaries of all communications from the Regulatory Authorities and reports of Studies; (vi) neither the Company nor any of its subsidiaries have received any notices, correspondence or other communications from the Regulatory Authorities, any other governmental authority or any Institutional Review Board or ethics committee or similar body requiring or threatening the termination, material modification, suspension or clinical hold of any Studies or that call into question the studies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conducted or proposed to be conducted by or on behalf of the Company, and, to the knowledge of the Company and its subsidiaries, there are no reasonable grounds for the same; (vii) neither the Company nor any of its subsidiaries is a party to any corporate integrity agreements, deferred prosecution agreements, monitoring agreements, consent decrees, plans of correction, settlement orders, or similar agreements with or imposed by any governmental or Regulatory Authority; (viii) none of the Studies described in the Registration Statement, the Pricing Disclosure Package and the Prospectus or the results of which are referred to in the Registration Statement, the Pricing Disclosure Package and the Prospectus involved any investigator who has been disqualified as a clinical investigator or has been found by the FDA or other Regulatory Authority to have engaged in scientific misconduct and no such proceedings are pending; and (ix) the manufacturing facilities and operations of the Company, its subsidiaries, and their suppliers, are and have been operated in compliance in all material respects with all applicable statutes, rules, regulations and policies of the Regulatory Authorities.</w:t>
      </w:r>
    </w:p>
    <w:p>
      <w:pPr>
        <w:spacing w:after="0" w:line="82" w:lineRule="exact"/>
        <w:rPr>
          <w:sz w:val="20"/>
          <w:szCs w:val="20"/>
          <w:color w:val="auto"/>
        </w:rPr>
      </w:pPr>
    </w:p>
    <w:p>
      <w:pPr>
        <w:ind w:right="160" w:firstLine="419"/>
        <w:spacing w:after="0" w:line="255" w:lineRule="auto"/>
        <w:tabs>
          <w:tab w:leader="none" w:pos="768"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Regulatory Filings</w:t>
      </w:r>
      <w:r>
        <w:rPr>
          <w:rFonts w:ascii="Arial" w:cs="Arial" w:eastAsia="Arial" w:hAnsi="Arial"/>
          <w:sz w:val="18"/>
          <w:szCs w:val="18"/>
          <w:color w:val="auto"/>
        </w:rPr>
        <w:t>. Neither the Company nor its subsidiaries has failed to file with the Regulatory Authorities any required filing,</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listing, registration, report or submission or failed to obtain any required approval or authorization with respect to the product candidates of the Company or its subsidiaries that are described or referred to in the Registration Statement, the Pricing Disclosure Package and the Prospectus; all such filings, declarations, listings, registrations, reports or submissions, as applicable, were in material compliance with applicable laws when filed; and no deficiencies have been asserted by any applicable Regulatory Authority with respect to any such filings, declarations, listings, registrations, reports or submissions.</w:t>
      </w:r>
    </w:p>
    <w:p>
      <w:pPr>
        <w:spacing w:after="0" w:line="84" w:lineRule="exact"/>
        <w:rPr>
          <w:rFonts w:ascii="Arial" w:cs="Arial" w:eastAsia="Arial" w:hAnsi="Arial"/>
          <w:sz w:val="18"/>
          <w:szCs w:val="18"/>
          <w:color w:val="auto"/>
        </w:rPr>
      </w:pPr>
    </w:p>
    <w:p>
      <w:pPr>
        <w:ind w:firstLine="419"/>
        <w:spacing w:after="0" w:line="296" w:lineRule="auto"/>
        <w:tabs>
          <w:tab w:leader="none" w:pos="768"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Health Care Laws. </w:t>
      </w:r>
      <w:r>
        <w:rPr>
          <w:rFonts w:ascii="Arial" w:cs="Arial" w:eastAsia="Arial" w:hAnsi="Arial"/>
          <w:sz w:val="16"/>
          <w:szCs w:val="16"/>
          <w:color w:val="auto"/>
        </w:rPr>
        <w:t>The Company and its subsidiaries are, and at all times have been, in compliance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all applicable Health Care Laws. For purposes of this Agreement, “Health Care Laws” in all material respects means: (i) the Federal Food, Drug, and Cosmetic Act (21 U.S.C. Section 301 et seq.), the Public Health Service Act (42 U.S.C. Section 201 et seq.), and the regulations promulgated thereunder; (ii) all applicable U.S. federal, state, local and non-U.S. health care fraud and abuse laws, including, without limitation, the Anti-Kickback Statute (42 U.S.C. Section 1320a-7b(b)), the Civil False Claims Act (31 U.S.C. Section 3729 et</w:t>
      </w:r>
    </w:p>
    <w:p>
      <w:pPr>
        <w:sectPr>
          <w:pgSz w:w="11900" w:h="16838" w:orient="portrait"/>
          <w:cols w:equalWidth="0" w:num="1">
            <w:col w:w="10500"/>
          </w:cols>
          <w:pgMar w:left="880" w:top="274" w:right="519" w:bottom="1440" w:gutter="0" w:footer="0" w:header="0"/>
        </w:sectPr>
      </w:pPr>
    </w:p>
    <w:bookmarkStart w:id="333" w:name="page334"/>
    <w:bookmarkEnd w:id="333"/>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seq.), the criminal false statements law (42 U.S.C. Section 1320a-7b(a)), 18 U.S.C. Sections 286 and 287, the health care fraud criminal provisions under HIPAA, the civil monetary penalties law (42 U.S.C. Section 1320a-7a), the exclusion law (42 U.S.C. Section 1320a-7), the Physician Payments Sunshine Act (42 U.S.C. Section 1320-7h), and applicable laws governing government funded or sponsored healthcare programs;</w:t>
      </w:r>
    </w:p>
    <w:p>
      <w:pPr>
        <w:spacing w:after="0" w:line="2" w:lineRule="exact"/>
        <w:rPr>
          <w:sz w:val="20"/>
          <w:szCs w:val="20"/>
          <w:color w:val="auto"/>
        </w:rPr>
      </w:pPr>
    </w:p>
    <w:p>
      <w:pPr>
        <w:ind w:left="4" w:hanging="4"/>
        <w:spacing w:after="0" w:line="284" w:lineRule="auto"/>
        <w:tabs>
          <w:tab w:leader="none" w:pos="31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U.S. federal, state, local or non-U.S. laws or regulatory bodies; (vi) all other local, state, U.S. federal, national, supranational and non-U.S. laws relating to the regulation of the Company and its subsidiaries, and (vii) the directives and regulations promulgated pursuant to such statutes, and any state or non-U.S. counterpart thereof. Neither the Company nor any of its subsidiaries has received any Form FDA 483, notice of adverse finding, warning letter, untitled letter or other adverse correspondence or notice from Regulatory Authorities, or notice of any deficiency, noncompliance, pending or threatened claim, action, suit, proceeding, hearing, enforcement, investigation, arbitration or other action from any court or arbitrator or governmental or Regulatory Authority or third party alleging that any product operation or activity is or potentially is in violation of any Health Care Laws nor, to the knowledge of the Company and its subsidiaries, is any such claim, action, suit, proceeding, hearing, enforcement, investigation, arbitration or other action threatened or pending.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Additionally, neither the Company nor its subsidiaries nor any of their respective employees, officers, directors, or their respective agents has been excluded, suspended, debarred or disqualified from participation in any U.S. federal health care program or human clinical research or is subject to a governmental inquiry, investigation, proceeding, or other similar action that could reasonably be expected to result in debarment, disqualification, suspension, or exclusion, has been convicted of any crime or engaged in any conduct that would reasonably be expected to result in debarment under 21 U.S.C. Section 335a or comparable foreign law or has been liable for a civil monetary penalty under 21 U.S.C. Section 335b or comparable foreign law.</w:t>
      </w:r>
    </w:p>
    <w:p>
      <w:pPr>
        <w:spacing w:after="0" w:line="61" w:lineRule="exact"/>
        <w:rPr>
          <w:rFonts w:ascii="Arial" w:cs="Arial" w:eastAsia="Arial" w:hAnsi="Arial"/>
          <w:sz w:val="16"/>
          <w:szCs w:val="16"/>
          <w:color w:val="auto"/>
        </w:rPr>
      </w:pPr>
    </w:p>
    <w:p>
      <w:pPr>
        <w:jc w:val="both"/>
        <w:ind w:left="4" w:right="360" w:firstLine="419"/>
        <w:spacing w:after="0" w:line="263" w:lineRule="auto"/>
        <w:tabs>
          <w:tab w:leader="none" w:pos="851"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will be) no debt securities, convertible securities or preferred stock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ectPr>
          <w:pgSz w:w="11900" w:h="16838" w:orient="portrait"/>
          <w:cols w:equalWidth="0" w:num="1">
            <w:col w:w="10564"/>
          </w:cols>
          <w:pgMar w:left="876" w:top="274" w:right="459" w:bottom="1440" w:gutter="0" w:footer="0" w:header="0"/>
        </w:sectPr>
      </w:pPr>
    </w:p>
    <w:bookmarkStart w:id="334" w:name="page335"/>
    <w:bookmarkEnd w:id="334"/>
    <w:p>
      <w:pPr>
        <w:ind w:left="4" w:right="80" w:firstLine="419"/>
        <w:spacing w:after="0" w:line="257" w:lineRule="auto"/>
        <w:tabs>
          <w:tab w:leader="none" w:pos="671"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Filings. </w:t>
      </w:r>
      <w:r>
        <w:rPr>
          <w:rFonts w:ascii="Arial" w:cs="Arial" w:eastAsia="Arial" w:hAnsi="Arial"/>
          <w:sz w:val="18"/>
          <w:szCs w:val="18"/>
          <w:color w:val="auto"/>
        </w:rPr>
        <w:t>The Company will file the final Prospectus with the Commission within the time periods specified by Rule 424(b)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79" w:lineRule="exact"/>
        <w:rPr>
          <w:rFonts w:ascii="Arial" w:cs="Arial" w:eastAsia="Arial" w:hAnsi="Arial"/>
          <w:sz w:val="18"/>
          <w:szCs w:val="18"/>
          <w:color w:val="auto"/>
        </w:rPr>
      </w:pPr>
    </w:p>
    <w:p>
      <w:pPr>
        <w:ind w:left="4" w:right="100" w:firstLine="419"/>
        <w:spacing w:after="0" w:line="287" w:lineRule="auto"/>
        <w:tabs>
          <w:tab w:leader="none" w:pos="681"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upon request, without charge, (i) to the Representatives, five signed copies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w:t>
      </w:r>
    </w:p>
    <w:p>
      <w:pPr>
        <w:spacing w:after="0" w:line="2" w:lineRule="exact"/>
        <w:rPr>
          <w:rFonts w:ascii="Arial" w:cs="Arial" w:eastAsia="Arial" w:hAnsi="Arial"/>
          <w:sz w:val="16"/>
          <w:szCs w:val="16"/>
          <w:color w:val="auto"/>
        </w:rPr>
      </w:pPr>
    </w:p>
    <w:p>
      <w:pPr>
        <w:ind w:left="4" w:right="260" w:hanging="4"/>
        <w:spacing w:after="0" w:line="253" w:lineRule="auto"/>
        <w:tabs>
          <w:tab w:leader="none" w:pos="2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2" w:lineRule="exact"/>
        <w:rPr>
          <w:rFonts w:ascii="Arial" w:cs="Arial" w:eastAsia="Arial" w:hAnsi="Arial"/>
          <w:sz w:val="18"/>
          <w:szCs w:val="18"/>
          <w:color w:val="auto"/>
        </w:rPr>
      </w:pPr>
    </w:p>
    <w:p>
      <w:pPr>
        <w:ind w:left="4" w:right="60" w:firstLine="419"/>
        <w:spacing w:after="0" w:line="296" w:lineRule="auto"/>
        <w:tabs>
          <w:tab w:leader="none" w:pos="671" w:val="left"/>
        </w:tabs>
        <w:numPr>
          <w:ilvl w:val="1"/>
          <w:numId w:val="201"/>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53" w:lineRule="exact"/>
        <w:rPr>
          <w:rFonts w:ascii="Arial" w:cs="Arial" w:eastAsia="Arial" w:hAnsi="Arial"/>
          <w:sz w:val="16"/>
          <w:szCs w:val="16"/>
          <w:color w:val="auto"/>
        </w:rPr>
      </w:pPr>
    </w:p>
    <w:p>
      <w:pPr>
        <w:ind w:left="4" w:firstLine="419"/>
        <w:spacing w:after="0" w:line="269" w:lineRule="auto"/>
        <w:tabs>
          <w:tab w:leader="none" w:pos="681" w:val="left"/>
        </w:tabs>
        <w:numPr>
          <w:ilvl w:val="1"/>
          <w:numId w:val="201"/>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The Company will advise the Representatives promptly, and confirm such advice in writing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be by electronic mail), (i) when the Registration Statement has become effective; (ii) when any amendment to the Registration Statement has been filed or becomes effective; (iii) when any supplement to the Pricing Disclosure Package, the Prospectus, any Issuer 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w:t>
      </w:r>
    </w:p>
    <w:p>
      <w:pPr>
        <w:sectPr>
          <w:pgSz w:w="11900" w:h="16838" w:orient="portrait"/>
          <w:cols w:equalWidth="0" w:num="1">
            <w:col w:w="10564"/>
          </w:cols>
          <w:pgMar w:left="876" w:top="274" w:right="459" w:bottom="1440" w:gutter="0" w:footer="0" w:header="0"/>
        </w:sectPr>
      </w:pPr>
    </w:p>
    <w:bookmarkStart w:id="335" w:name="page336"/>
    <w:bookmarkEnd w:id="335"/>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reasonable best efforts to obtain as soon as possible the withdrawal thereof.</w:t>
      </w:r>
    </w:p>
    <w:p>
      <w:pPr>
        <w:spacing w:after="0" w:line="64" w:lineRule="exact"/>
        <w:rPr>
          <w:sz w:val="20"/>
          <w:szCs w:val="20"/>
          <w:color w:val="auto"/>
        </w:rPr>
      </w:pPr>
    </w:p>
    <w:p>
      <w:pPr>
        <w:ind w:firstLine="419"/>
        <w:spacing w:after="0" w:line="285" w:lineRule="auto"/>
        <w:tabs>
          <w:tab w:leader="none" w:pos="667"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practicable,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ectPr>
          <w:pgSz w:w="11900" w:h="16838" w:orient="portrait"/>
          <w:cols w:equalWidth="0" w:num="1">
            <w:col w:w="10540"/>
          </w:cols>
          <w:pgMar w:left="880" w:top="274" w:right="479" w:bottom="1440" w:gutter="0" w:footer="0" w:header="0"/>
        </w:sectPr>
      </w:pPr>
    </w:p>
    <w:bookmarkStart w:id="336" w:name="page337"/>
    <w:bookmarkEnd w:id="336"/>
    <w:p>
      <w:pPr>
        <w:ind w:left="4" w:right="100" w:firstLine="419"/>
        <w:spacing w:after="0" w:line="286" w:lineRule="auto"/>
        <w:tabs>
          <w:tab w:leader="none" w:pos="651" w:val="left"/>
        </w:tabs>
        <w:numPr>
          <w:ilvl w:val="1"/>
          <w:numId w:val="20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Blue Sky Compliance. </w:t>
      </w:r>
      <w:r>
        <w:rPr>
          <w:rFonts w:ascii="Arial" w:cs="Arial" w:eastAsia="Arial" w:hAnsi="Arial"/>
          <w:sz w:val="16"/>
          <w:szCs w:val="16"/>
          <w:color w:val="auto"/>
        </w:rPr>
        <w:t>The Company will qualify the Shares for offer and sale under the securities or Blue Sky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shall reasonably request and will continue such qualifications in effect so long as required for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102" w:lineRule="exact"/>
        <w:rPr>
          <w:rFonts w:ascii="Arial" w:cs="Arial" w:eastAsia="Arial" w:hAnsi="Arial"/>
          <w:sz w:val="18"/>
          <w:szCs w:val="18"/>
          <w:color w:val="auto"/>
        </w:rPr>
      </w:pPr>
    </w:p>
    <w:p>
      <w:pPr>
        <w:ind w:left="4" w:right="100" w:firstLine="419"/>
        <w:spacing w:after="0" w:line="296" w:lineRule="auto"/>
        <w:tabs>
          <w:tab w:leader="none" w:pos="681" w:val="left"/>
        </w:tabs>
        <w:numPr>
          <w:ilvl w:val="1"/>
          <w:numId w:val="204"/>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satisfied such requirement to the extent such information is filed on the Commission’s Electronic Data Gathering Analysis and Retrieval System (“EDGAR”) or any successor thereto.</w:t>
      </w:r>
    </w:p>
    <w:p>
      <w:pPr>
        <w:spacing w:after="0" w:line="53" w:lineRule="exact"/>
        <w:rPr>
          <w:rFonts w:ascii="Arial" w:cs="Arial" w:eastAsia="Arial" w:hAnsi="Arial"/>
          <w:sz w:val="16"/>
          <w:szCs w:val="16"/>
          <w:color w:val="auto"/>
        </w:rPr>
      </w:pPr>
    </w:p>
    <w:p>
      <w:pPr>
        <w:ind w:left="4" w:right="40" w:firstLine="419"/>
        <w:spacing w:after="0" w:line="271" w:lineRule="auto"/>
        <w:tabs>
          <w:tab w:leader="none" w:pos="681" w:val="left"/>
        </w:tabs>
        <w:numPr>
          <w:ilvl w:val="1"/>
          <w:numId w:val="204"/>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180 days after the date of the Prospectus, the Company will not (i) offer, pledge, sell, contract to sell, sell</w:t>
      </w:r>
      <w:r>
        <w:rPr>
          <w:rFonts w:ascii="Arial" w:cs="Arial" w:eastAsia="Arial" w:hAnsi="Arial"/>
          <w:sz w:val="17"/>
          <w:szCs w:val="17"/>
          <w:i w:val="1"/>
          <w:iCs w:val="1"/>
          <w:color w:val="auto"/>
        </w:rPr>
        <w:t xml:space="preserve"> </w:t>
      </w:r>
      <w:r>
        <w:rPr>
          <w:rFonts w:ascii="Arial" w:cs="Arial" w:eastAsia="Arial" w:hAnsi="Arial"/>
          <w:sz w:val="17"/>
          <w:szCs w:val="17"/>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and Leerink Partners LLC, other than the Shares to be sold hereunder.</w:t>
      </w:r>
    </w:p>
    <w:p>
      <w:pPr>
        <w:spacing w:after="0" w:line="70" w:lineRule="exact"/>
        <w:rPr>
          <w:sz w:val="20"/>
          <w:szCs w:val="20"/>
          <w:color w:val="auto"/>
        </w:rPr>
      </w:pPr>
    </w:p>
    <w:p>
      <w:pPr>
        <w:ind w:left="4" w:firstLine="952"/>
        <w:spacing w:after="0" w:line="270" w:lineRule="auto"/>
        <w:rPr>
          <w:sz w:val="20"/>
          <w:szCs w:val="20"/>
          <w:color w:val="auto"/>
        </w:rPr>
      </w:pPr>
      <w:r>
        <w:rPr>
          <w:rFonts w:ascii="Arial" w:cs="Arial" w:eastAsia="Arial" w:hAnsi="Arial"/>
          <w:sz w:val="17"/>
          <w:szCs w:val="17"/>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(iii) the issuance of up to 5% of the outstanding shares of Stock, or securities convertible into, exercisable for, or which are otherwise exchangeable for, Stock, immediately following the Closing Date, in</w:t>
      </w:r>
    </w:p>
    <w:p>
      <w:pPr>
        <w:sectPr>
          <w:pgSz w:w="11900" w:h="16838" w:orient="portrait"/>
          <w:cols w:equalWidth="0" w:num="1">
            <w:col w:w="10564"/>
          </w:cols>
          <w:pgMar w:left="876" w:top="274" w:right="459" w:bottom="1440" w:gutter="0" w:footer="0" w:header="0"/>
        </w:sectPr>
      </w:pPr>
    </w:p>
    <w:bookmarkStart w:id="337" w:name="page338"/>
    <w:bookmarkEnd w:id="337"/>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41" w:lineRule="exact"/>
        <w:rPr>
          <w:sz w:val="20"/>
          <w:szCs w:val="20"/>
          <w:color w:val="auto"/>
        </w:rPr>
      </w:pPr>
    </w:p>
    <w:p>
      <w:pPr>
        <w:ind w:right="20" w:firstLine="952"/>
        <w:spacing w:after="0" w:line="275" w:lineRule="auto"/>
        <w:rPr>
          <w:sz w:val="20"/>
          <w:szCs w:val="20"/>
          <w:color w:val="auto"/>
        </w:rPr>
      </w:pPr>
      <w:r>
        <w:rPr>
          <w:rFonts w:ascii="Arial" w:cs="Arial" w:eastAsia="Arial" w:hAnsi="Arial"/>
          <w:sz w:val="17"/>
          <w:szCs w:val="17"/>
          <w:color w:val="auto"/>
        </w:rPr>
        <w:t>If J.P. Morgan Securities LLC and Leerink Partners LLC, in their sole discretion, agree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68" w:lineRule="exact"/>
        <w:rPr>
          <w:sz w:val="20"/>
          <w:szCs w:val="20"/>
          <w:color w:val="auto"/>
        </w:rPr>
      </w:pPr>
    </w:p>
    <w:p>
      <w:pPr>
        <w:ind w:firstLine="419"/>
        <w:spacing w:after="0" w:line="277" w:lineRule="auto"/>
        <w:tabs>
          <w:tab w:leader="none" w:pos="638"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under the heading “Use of proceeds”.</w:t>
      </w:r>
    </w:p>
    <w:p>
      <w:pPr>
        <w:spacing w:after="0" w:line="62" w:lineRule="exact"/>
        <w:rPr>
          <w:rFonts w:ascii="Arial" w:cs="Arial" w:eastAsia="Arial" w:hAnsi="Arial"/>
          <w:sz w:val="18"/>
          <w:szCs w:val="18"/>
          <w:color w:val="auto"/>
        </w:rPr>
      </w:pPr>
    </w:p>
    <w:p>
      <w:pPr>
        <w:ind w:right="420" w:firstLine="419"/>
        <w:spacing w:after="0" w:line="308" w:lineRule="auto"/>
        <w:tabs>
          <w:tab w:leader="none" w:pos="638"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its subsidiaries or affiliates will take, directly or indirectly, any action designed to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could reasonably be expected to cause or result in any stabilization or manipulation of the price of the Stock.</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reasonable best efforts to list, subject to notice of issuance, the Shares on the Nasdaq</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Market.</w:t>
      </w:r>
    </w:p>
    <w:p>
      <w:pPr>
        <w:spacing w:after="0" w:line="102" w:lineRule="exact"/>
        <w:rPr>
          <w:rFonts w:ascii="Arial" w:cs="Arial" w:eastAsia="Arial" w:hAnsi="Arial"/>
          <w:sz w:val="17"/>
          <w:szCs w:val="17"/>
          <w:color w:val="auto"/>
        </w:rPr>
      </w:pPr>
    </w:p>
    <w:p>
      <w:pPr>
        <w:ind w:right="60" w:firstLine="419"/>
        <w:spacing w:after="0" w:line="257" w:lineRule="auto"/>
        <w:tabs>
          <w:tab w:leader="none" w:pos="638"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three (3) years from the date of this Agreement, so long as the Shares are outstanding, the Company will furnish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79" w:lineRule="exact"/>
        <w:rPr>
          <w:rFonts w:ascii="Arial" w:cs="Arial" w:eastAsia="Arial" w:hAnsi="Arial"/>
          <w:sz w:val="18"/>
          <w:szCs w:val="18"/>
          <w:color w:val="auto"/>
        </w:rPr>
      </w:pPr>
    </w:p>
    <w:p>
      <w:pPr>
        <w:ind w:right="440" w:firstLine="419"/>
        <w:spacing w:after="0" w:line="308" w:lineRule="auto"/>
        <w:tabs>
          <w:tab w:leader="none" w:pos="728"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jc w:val="both"/>
        <w:ind w:right="120" w:firstLine="419"/>
        <w:spacing w:after="0" w:line="263" w:lineRule="auto"/>
        <w:tabs>
          <w:tab w:leader="none" w:pos="678"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180-day restricted period referred to in Section 4(h) hereof.</w:t>
      </w:r>
    </w:p>
    <w:p>
      <w:pPr>
        <w:sectPr>
          <w:pgSz w:w="11900" w:h="16838" w:orient="portrait"/>
          <w:cols w:equalWidth="0" w:num="1">
            <w:col w:w="10560"/>
          </w:cols>
          <w:pgMar w:left="880" w:top="274" w:right="459" w:bottom="1440" w:gutter="0" w:footer="0" w:header="0"/>
        </w:sectPr>
      </w:pPr>
    </w:p>
    <w:bookmarkStart w:id="338" w:name="page339"/>
    <w:bookmarkEnd w:id="338"/>
    <w:p>
      <w:pPr>
        <w:ind w:left="184" w:hanging="184"/>
        <w:spacing w:after="0"/>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4" w:right="100" w:firstLine="419"/>
        <w:spacing w:after="0" w:line="271" w:lineRule="auto"/>
        <w:tabs>
          <w:tab w:leader="none" w:pos="671"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70" w:lineRule="exact"/>
        <w:rPr>
          <w:rFonts w:ascii="Arial" w:cs="Arial" w:eastAsia="Arial" w:hAnsi="Arial"/>
          <w:sz w:val="17"/>
          <w:szCs w:val="17"/>
          <w:color w:val="auto"/>
        </w:rPr>
      </w:pPr>
    </w:p>
    <w:p>
      <w:pPr>
        <w:ind w:left="4" w:right="100" w:firstLine="419"/>
        <w:spacing w:after="0" w:line="277" w:lineRule="auto"/>
        <w:tabs>
          <w:tab w:leader="none" w:pos="68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62" w:lineRule="exact"/>
        <w:rPr>
          <w:rFonts w:ascii="Arial" w:cs="Arial" w:eastAsia="Arial" w:hAnsi="Arial"/>
          <w:sz w:val="18"/>
          <w:szCs w:val="18"/>
          <w:color w:val="auto"/>
        </w:rPr>
      </w:pPr>
    </w:p>
    <w:p>
      <w:pPr>
        <w:ind w:left="4" w:right="160" w:firstLine="419"/>
        <w:spacing w:after="0" w:line="277" w:lineRule="auto"/>
        <w:tabs>
          <w:tab w:leader="none" w:pos="67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left="-436" w:firstLine="436"/>
        <w:spacing w:after="0" w:line="263"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75" w:lineRule="exact"/>
        <w:rPr>
          <w:rFonts w:ascii="Arial" w:cs="Arial" w:eastAsia="Arial" w:hAnsi="Arial"/>
          <w:sz w:val="18"/>
          <w:szCs w:val="18"/>
          <w:color w:val="auto"/>
        </w:rPr>
      </w:pPr>
    </w:p>
    <w:p>
      <w:pPr>
        <w:ind w:left="4" w:firstLine="419"/>
        <w:spacing w:after="0" w:line="255" w:lineRule="auto"/>
        <w:tabs>
          <w:tab w:leader="none" w:pos="671"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 and no</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84" w:lineRule="exact"/>
        <w:rPr>
          <w:rFonts w:ascii="Arial" w:cs="Arial" w:eastAsia="Arial" w:hAnsi="Arial"/>
          <w:sz w:val="18"/>
          <w:szCs w:val="18"/>
          <w:color w:val="auto"/>
        </w:rPr>
      </w:pPr>
    </w:p>
    <w:p>
      <w:pPr>
        <w:ind w:left="4" w:right="280" w:firstLine="419"/>
        <w:spacing w:after="0" w:line="259" w:lineRule="auto"/>
        <w:tabs>
          <w:tab w:leader="none" w:pos="681"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ectPr>
          <w:pgSz w:w="11900" w:h="16838" w:orient="portrait"/>
          <w:cols w:equalWidth="0" w:num="1">
            <w:col w:w="10564"/>
          </w:cols>
          <w:pgMar w:left="876" w:top="274" w:right="459" w:bottom="1440" w:gutter="0" w:footer="0" w:header="0"/>
        </w:sectPr>
      </w:pPr>
    </w:p>
    <w:bookmarkStart w:id="339" w:name="page340"/>
    <w:bookmarkEnd w:id="339"/>
    <w:p>
      <w:pPr>
        <w:ind w:left="-419" w:right="20" w:firstLine="419"/>
        <w:spacing w:after="0" w:line="275" w:lineRule="auto"/>
        <w:tabs>
          <w:tab w:leader="none" w:pos="248"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Material Adverse Change. </w:t>
      </w:r>
      <w:r>
        <w:rPr>
          <w:rFonts w:ascii="Arial" w:cs="Arial" w:eastAsia="Arial" w:hAnsi="Arial"/>
          <w:sz w:val="17"/>
          <w:szCs w:val="17"/>
          <w:color w:val="auto"/>
        </w:rPr>
        <w:t>No event or condition of a type described in Section 3(h) hereof shall have occurred or shall exist,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419" w:right="60" w:firstLine="419"/>
        <w:spacing w:after="0" w:line="254" w:lineRule="auto"/>
        <w:tabs>
          <w:tab w:leader="none" w:pos="258"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Representatives shall have received on and as of the Closing Date or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 certificate of the chief executive officer,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 (d) above.</w:t>
      </w:r>
    </w:p>
    <w:p>
      <w:pPr>
        <w:spacing w:after="0" w:line="83" w:lineRule="exact"/>
        <w:rPr>
          <w:rFonts w:ascii="Arial" w:cs="Arial" w:eastAsia="Arial" w:hAnsi="Arial"/>
          <w:sz w:val="18"/>
          <w:szCs w:val="18"/>
          <w:color w:val="auto"/>
        </w:rPr>
      </w:pPr>
    </w:p>
    <w:p>
      <w:pPr>
        <w:ind w:left="-419" w:firstLine="419"/>
        <w:spacing w:after="0" w:line="272" w:lineRule="auto"/>
        <w:tabs>
          <w:tab w:leader="none" w:pos="248"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(i) On the date of this Agreement and on the Closing Date or the Additional Closing Date, as the case may be, KPMG</w:t>
      </w:r>
      <w:r>
        <w:rPr>
          <w:rFonts w:ascii="Arial" w:cs="Arial" w:eastAsia="Arial" w:hAnsi="Arial"/>
          <w:sz w:val="17"/>
          <w:szCs w:val="17"/>
          <w:i w:val="1"/>
          <w:iCs w:val="1"/>
          <w:color w:val="auto"/>
        </w:rPr>
        <w:t xml:space="preserve"> </w:t>
      </w:r>
      <w:r>
        <w:rPr>
          <w:rFonts w:ascii="Arial" w:cs="Arial" w:eastAsia="Arial" w:hAnsi="Arial"/>
          <w:sz w:val="17"/>
          <w:szCs w:val="17"/>
          <w:color w:val="auto"/>
        </w:rPr>
        <w:t>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69" w:lineRule="exact"/>
        <w:rPr>
          <w:sz w:val="20"/>
          <w:szCs w:val="20"/>
          <w:color w:val="auto"/>
        </w:rPr>
      </w:pPr>
    </w:p>
    <w:p>
      <w:pPr>
        <w:jc w:val="both"/>
        <w:ind w:left="-419" w:right="260" w:firstLine="419"/>
        <w:spacing w:after="0" w:line="279" w:lineRule="auto"/>
        <w:tabs>
          <w:tab w:leader="none" w:pos="26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principal financial officer with respect to certain financial data contained in the Pricing Disclosure Package and the Prospectus, providing “management comfort” with respect to such information, in form and substance reasonably satisfactory to the Representatives.</w:t>
      </w:r>
    </w:p>
    <w:p>
      <w:pPr>
        <w:sectPr>
          <w:pgSz w:w="11900" w:h="16838" w:orient="portrait"/>
          <w:cols w:equalWidth="0" w:num="1">
            <w:col w:w="10101"/>
          </w:cols>
          <w:pgMar w:left="1299" w:top="274" w:right="499" w:bottom="1440" w:gutter="0" w:footer="0" w:header="0"/>
        </w:sectPr>
      </w:pPr>
    </w:p>
    <w:bookmarkStart w:id="340" w:name="page341"/>
    <w:bookmarkEnd w:id="340"/>
    <w:p>
      <w:pPr>
        <w:ind w:left="-419" w:right="80" w:firstLine="419"/>
        <w:spacing w:after="0" w:line="286" w:lineRule="auto"/>
        <w:tabs>
          <w:tab w:leader="none" w:pos="228"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w:t>
      </w:r>
      <w:r>
        <w:rPr>
          <w:rFonts w:ascii="Arial" w:cs="Arial" w:eastAsia="Arial" w:hAnsi="Arial"/>
          <w:sz w:val="17"/>
          <w:szCs w:val="17"/>
          <w:color w:val="auto"/>
        </w:rPr>
        <w:t>Cooley LLP, counsel for the Company,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57" w:lineRule="exact"/>
        <w:rPr>
          <w:rFonts w:ascii="Arial" w:cs="Arial" w:eastAsia="Arial" w:hAnsi="Arial"/>
          <w:sz w:val="17"/>
          <w:szCs w:val="17"/>
          <w:color w:val="auto"/>
        </w:rPr>
      </w:pPr>
    </w:p>
    <w:p>
      <w:pPr>
        <w:ind w:left="-419" w:right="220" w:firstLine="419"/>
        <w:spacing w:after="0" w:line="286" w:lineRule="auto"/>
        <w:tabs>
          <w:tab w:leader="none" w:pos="258"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Opinion of Intellectual Property Counsel for the Company. </w:t>
      </w:r>
      <w:r>
        <w:rPr>
          <w:rFonts w:ascii="Arial" w:cs="Arial" w:eastAsia="Arial" w:hAnsi="Arial"/>
          <w:sz w:val="17"/>
          <w:szCs w:val="17"/>
          <w:color w:val="auto"/>
        </w:rPr>
        <w:t>Cooley LLP, intellectual property counsel for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57" w:lineRule="exact"/>
        <w:rPr>
          <w:rFonts w:ascii="Arial" w:cs="Arial" w:eastAsia="Arial" w:hAnsi="Arial"/>
          <w:sz w:val="17"/>
          <w:szCs w:val="17"/>
          <w:color w:val="auto"/>
        </w:rPr>
      </w:pPr>
    </w:p>
    <w:p>
      <w:pPr>
        <w:ind w:left="-419" w:firstLine="419"/>
        <w:spacing w:after="0" w:line="279" w:lineRule="auto"/>
        <w:tabs>
          <w:tab w:leader="none" w:pos="258"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Underwriters. </w:t>
      </w:r>
      <w:r>
        <w:rPr>
          <w:rFonts w:ascii="Arial" w:cs="Arial" w:eastAsia="Arial" w:hAnsi="Arial"/>
          <w:sz w:val="17"/>
          <w:szCs w:val="17"/>
          <w:color w:val="auto"/>
        </w:rPr>
        <w:t>The Representatives shall have received on and as of the Closing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Additional Closing Date, as the case may be, an opinion and 10b-5 statement, addressed to the Underwriters, of Paul Hastings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3" w:lineRule="exact"/>
        <w:rPr>
          <w:rFonts w:ascii="Arial" w:cs="Arial" w:eastAsia="Arial" w:hAnsi="Arial"/>
          <w:sz w:val="17"/>
          <w:szCs w:val="17"/>
          <w:color w:val="auto"/>
        </w:rPr>
      </w:pPr>
    </w:p>
    <w:p>
      <w:pPr>
        <w:ind w:left="-419" w:right="120" w:firstLine="419"/>
        <w:spacing w:after="0" w:line="257" w:lineRule="auto"/>
        <w:tabs>
          <w:tab w:leader="none" w:pos="218"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 Sale.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79" w:lineRule="exact"/>
        <w:rPr>
          <w:rFonts w:ascii="Arial" w:cs="Arial" w:eastAsia="Arial" w:hAnsi="Arial"/>
          <w:sz w:val="18"/>
          <w:szCs w:val="18"/>
          <w:color w:val="auto"/>
        </w:rPr>
      </w:pPr>
    </w:p>
    <w:p>
      <w:pPr>
        <w:jc w:val="both"/>
        <w:ind w:left="-419" w:right="180" w:firstLine="419"/>
        <w:spacing w:after="0" w:line="259" w:lineRule="auto"/>
        <w:tabs>
          <w:tab w:leader="none" w:pos="218"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419" w:right="280" w:firstLine="419"/>
        <w:spacing w:after="0" w:line="277" w:lineRule="auto"/>
        <w:tabs>
          <w:tab w:leader="none" w:pos="258"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62" w:lineRule="exact"/>
        <w:rPr>
          <w:rFonts w:ascii="Arial" w:cs="Arial" w:eastAsia="Arial" w:hAnsi="Arial"/>
          <w:sz w:val="18"/>
          <w:szCs w:val="18"/>
          <w:color w:val="auto"/>
        </w:rPr>
      </w:pPr>
    </w:p>
    <w:p>
      <w:pPr>
        <w:ind w:left="-419" w:right="120" w:firstLine="419"/>
        <w:spacing w:after="0" w:line="259" w:lineRule="auto"/>
        <w:tabs>
          <w:tab w:leader="none" w:pos="218"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D hereto, between you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officers and directors of the Company relating to sales and certain other dispositions of shares of Stock or certain other securities, delivered to you on or before the date hereof, shall be in full force and effect on the Closing Date or the Additional Closing Date, as the case may be.</w:t>
      </w:r>
    </w:p>
    <w:p>
      <w:pPr>
        <w:spacing w:after="0" w:line="78" w:lineRule="exact"/>
        <w:rPr>
          <w:rFonts w:ascii="Arial" w:cs="Arial" w:eastAsia="Arial" w:hAnsi="Arial"/>
          <w:sz w:val="18"/>
          <w:szCs w:val="18"/>
          <w:color w:val="auto"/>
        </w:rPr>
      </w:pPr>
    </w:p>
    <w:p>
      <w:pPr>
        <w:ind w:left="-419" w:right="380" w:firstLine="419"/>
        <w:spacing w:after="0" w:line="308" w:lineRule="auto"/>
        <w:tabs>
          <w:tab w:leader="none" w:pos="308"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Additional Documents. </w:t>
      </w:r>
      <w:r>
        <w:rPr>
          <w:rFonts w:ascii="Arial" w:cs="Arial" w:eastAsia="Arial" w:hAnsi="Arial"/>
          <w:sz w:val="17"/>
          <w:szCs w:val="17"/>
          <w:color w:val="auto"/>
        </w:rPr>
        <w:t>On or prior to the Closing Date or the Additional Closing Date, as the case may be,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such further certificates and documents as the Representatives may reasonably request.</w:t>
      </w:r>
    </w:p>
    <w:p>
      <w:pPr>
        <w:sectPr>
          <w:pgSz w:w="11900" w:h="16838" w:orient="portrait"/>
          <w:cols w:equalWidth="0" w:num="1">
            <w:col w:w="10161"/>
          </w:cols>
          <w:pgMar w:left="1299" w:top="274" w:right="439" w:bottom="1440" w:gutter="0" w:footer="0" w:header="0"/>
        </w:sectPr>
      </w:pPr>
    </w:p>
    <w:bookmarkStart w:id="341" w:name="page342"/>
    <w:bookmarkEnd w:id="341"/>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84"/>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67" w:lineRule="exact"/>
        <w:rPr>
          <w:rFonts w:ascii="Arial" w:cs="Arial" w:eastAsia="Arial" w:hAnsi="Arial"/>
          <w:sz w:val="16"/>
          <w:szCs w:val="16"/>
          <w:color w:val="auto"/>
        </w:rPr>
      </w:pPr>
    </w:p>
    <w:p>
      <w:pPr>
        <w:ind w:right="80" w:firstLine="436"/>
        <w:spacing w:after="0" w:line="269" w:lineRule="auto"/>
        <w:tabs>
          <w:tab w:leader="none" w:pos="695"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fifteenth and sixteenth paragraphs under the caption “Underwriting.”</w:t>
      </w:r>
    </w:p>
    <w:p>
      <w:pPr>
        <w:sectPr>
          <w:pgSz w:w="11900" w:h="16838" w:orient="portrait"/>
          <w:cols w:equalWidth="0" w:num="1">
            <w:col w:w="11020"/>
          </w:cols>
          <w:pgMar w:left="440" w:top="274" w:right="439" w:bottom="1440" w:gutter="0" w:footer="0" w:header="0"/>
        </w:sectPr>
      </w:pPr>
    </w:p>
    <w:bookmarkStart w:id="342" w:name="page343"/>
    <w:bookmarkEnd w:id="342"/>
    <w:p>
      <w:pPr>
        <w:ind w:left="4" w:right="20" w:firstLine="436"/>
        <w:spacing w:after="0" w:line="283" w:lineRule="auto"/>
        <w:tabs>
          <w:tab w:leader="none" w:pos="689" w:val="left"/>
        </w:tabs>
        <w:numPr>
          <w:ilvl w:val="1"/>
          <w:numId w:val="2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w:t>
      </w:r>
    </w:p>
    <w:p>
      <w:pPr>
        <w:spacing w:after="0" w:line="1" w:lineRule="exact"/>
        <w:rPr>
          <w:rFonts w:ascii="Arial" w:cs="Arial" w:eastAsia="Arial" w:hAnsi="Arial"/>
          <w:sz w:val="16"/>
          <w:szCs w:val="16"/>
          <w:color w:val="auto"/>
        </w:rPr>
      </w:pPr>
    </w:p>
    <w:p>
      <w:pPr>
        <w:ind w:left="4" w:hanging="4"/>
        <w:spacing w:after="0" w:line="267" w:lineRule="auto"/>
        <w:tabs>
          <w:tab w:leader="none" w:pos="31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w:t>
      </w:r>
    </w:p>
    <w:p>
      <w:pPr>
        <w:sectPr>
          <w:pgSz w:w="11900" w:h="16838" w:orient="portrait"/>
          <w:cols w:equalWidth="0" w:num="1">
            <w:col w:w="11004"/>
          </w:cols>
          <w:pgMar w:left="436" w:top="274" w:right="459" w:bottom="1440" w:gutter="0" w:footer="0" w:header="0"/>
        </w:sectPr>
      </w:pPr>
    </w:p>
    <w:bookmarkStart w:id="343" w:name="page344"/>
    <w:bookmarkEnd w:id="343"/>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8" w:lineRule="exact"/>
        <w:rPr>
          <w:sz w:val="20"/>
          <w:szCs w:val="20"/>
          <w:color w:val="auto"/>
        </w:rPr>
      </w:pPr>
    </w:p>
    <w:p>
      <w:pPr>
        <w:ind w:left="4" w:right="80" w:firstLine="436"/>
        <w:spacing w:after="0" w:line="286" w:lineRule="auto"/>
        <w:tabs>
          <w:tab w:leader="none" w:pos="699"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or (b)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0" w:lineRule="exact"/>
        <w:rPr>
          <w:rFonts w:ascii="Arial" w:cs="Arial" w:eastAsia="Arial" w:hAnsi="Arial"/>
          <w:sz w:val="16"/>
          <w:szCs w:val="16"/>
          <w:color w:val="auto"/>
        </w:rPr>
      </w:pPr>
    </w:p>
    <w:p>
      <w:pPr>
        <w:ind w:left="684" w:hanging="244"/>
        <w:spacing w:after="0"/>
        <w:tabs>
          <w:tab w:leader="none" w:pos="684"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left="4" w:hanging="4"/>
        <w:spacing w:after="0" w:line="287" w:lineRule="auto"/>
        <w:tabs>
          <w:tab w:leader="none" w:pos="25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reasonable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w:t>
      </w:r>
    </w:p>
    <w:p>
      <w:pPr>
        <w:sectPr>
          <w:pgSz w:w="11900" w:h="16838" w:orient="portrait"/>
          <w:cols w:equalWidth="0" w:num="1">
            <w:col w:w="11004"/>
          </w:cols>
          <w:pgMar w:left="436" w:top="274" w:right="459" w:bottom="1440" w:gutter="0" w:footer="0" w:header="0"/>
        </w:sectPr>
      </w:pPr>
    </w:p>
    <w:bookmarkStart w:id="344" w:name="page345"/>
    <w:bookmarkEnd w:id="344"/>
    <w:p>
      <w:pPr>
        <w:ind w:left="4"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24" w:lineRule="exact"/>
        <w:rPr>
          <w:sz w:val="20"/>
          <w:szCs w:val="20"/>
          <w:color w:val="auto"/>
        </w:rPr>
      </w:pPr>
    </w:p>
    <w:p>
      <w:pPr>
        <w:ind w:left="4" w:right="180" w:firstLine="436"/>
        <w:spacing w:after="0" w:line="277" w:lineRule="auto"/>
        <w:tabs>
          <w:tab w:leader="none" w:pos="669"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paragraphs (a) through (e) are not exclusive and shall not limit any rights or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otherwise be available to any Indemnified Person at law or in equity.</w:t>
      </w:r>
    </w:p>
    <w:p>
      <w:pPr>
        <w:spacing w:after="0" w:line="170" w:lineRule="exact"/>
        <w:rPr>
          <w:sz w:val="20"/>
          <w:szCs w:val="20"/>
          <w:color w:val="auto"/>
        </w:rPr>
      </w:pPr>
    </w:p>
    <w:p>
      <w:pPr>
        <w:ind w:left="624" w:hanging="184"/>
        <w:spacing w:after="0"/>
        <w:tabs>
          <w:tab w:leader="none" w:pos="624"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left="4" w:right="200" w:firstLine="436"/>
        <w:spacing w:after="0" w:line="291" w:lineRule="auto"/>
        <w:tabs>
          <w:tab w:leader="none" w:pos="624"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trading generally shall have been suspended or materially limited on or by any of the New York Stock Exchange or the Nasdaq Stock Market;</w:t>
      </w:r>
    </w:p>
    <w:p>
      <w:pPr>
        <w:spacing w:after="0" w:line="20" w:lineRule="exact"/>
        <w:rPr>
          <w:rFonts w:ascii="Arial" w:cs="Arial" w:eastAsia="Arial" w:hAnsi="Arial"/>
          <w:sz w:val="17"/>
          <w:szCs w:val="17"/>
          <w:color w:val="auto"/>
        </w:rPr>
      </w:pPr>
    </w:p>
    <w:p>
      <w:pPr>
        <w:ind w:left="4" w:right="80" w:hanging="4"/>
        <w:spacing w:after="0" w:line="270" w:lineRule="auto"/>
        <w:tabs>
          <w:tab w:leader="none" w:pos="26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7" w:lineRule="auto"/>
        <w:tabs>
          <w:tab w:leader="none" w:pos="68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ectPr>
          <w:pgSz w:w="11900" w:h="16838" w:orient="portrait"/>
          <w:cols w:equalWidth="0" w:num="1">
            <w:col w:w="11004"/>
          </w:cols>
          <w:pgMar w:left="436" w:top="274" w:right="459" w:bottom="1440" w:gutter="0" w:footer="0" w:header="0"/>
        </w:sectPr>
      </w:pPr>
    </w:p>
    <w:bookmarkStart w:id="345" w:name="page346"/>
    <w:bookmarkEnd w:id="345"/>
    <w:p>
      <w:pPr>
        <w:ind w:left="-436" w:firstLine="436"/>
        <w:spacing w:after="0" w:line="293" w:lineRule="auto"/>
        <w:tabs>
          <w:tab w:leader="none" w:pos="259"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436" w:right="60" w:firstLine="436"/>
        <w:spacing w:after="0" w:line="271" w:lineRule="auto"/>
        <w:tabs>
          <w:tab w:leader="none" w:pos="24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78" w:lineRule="exact"/>
        <w:rPr>
          <w:rFonts w:ascii="Arial" w:cs="Arial" w:eastAsia="Arial" w:hAnsi="Arial"/>
          <w:sz w:val="17"/>
          <w:szCs w:val="17"/>
          <w:color w:val="auto"/>
        </w:rPr>
      </w:pPr>
    </w:p>
    <w:p>
      <w:pPr>
        <w:ind w:left="-436" w:firstLine="436"/>
        <w:spacing w:after="0" w:line="277" w:lineRule="auto"/>
        <w:tabs>
          <w:tab w:leader="none" w:pos="25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264" w:hanging="264"/>
        <w:spacing w:after="0"/>
        <w:tabs>
          <w:tab w:leader="none" w:pos="264"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left="-436" w:right="40" w:firstLine="436"/>
        <w:spacing w:after="0" w:line="268" w:lineRule="auto"/>
        <w:tabs>
          <w:tab w:leader="none" w:pos="24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(provided, however, that the Underwriters and the Company shall each pay 50% of the cost of chartering any aircraft to be used in connection with the road show by the Company and the Underwriters); and (ix) all expenses and application fees related to the listing of the Shares on the Nasdaq Market.</w:t>
      </w:r>
    </w:p>
    <w:p>
      <w:pPr>
        <w:sectPr>
          <w:pgSz w:w="11900" w:h="16838" w:orient="portrait"/>
          <w:cols w:equalWidth="0" w:num="1">
            <w:col w:w="10544"/>
          </w:cols>
          <w:pgMar w:left="876" w:top="274" w:right="479" w:bottom="1440" w:gutter="0" w:footer="0" w:header="0"/>
        </w:sectPr>
      </w:pPr>
    </w:p>
    <w:bookmarkStart w:id="346" w:name="page347"/>
    <w:bookmarkEnd w:id="346"/>
    <w:p>
      <w:pPr>
        <w:ind w:left="-436" w:right="140" w:firstLine="436"/>
        <w:spacing w:after="0" w:line="296" w:lineRule="auto"/>
        <w:tabs>
          <w:tab w:leader="none" w:pos="259"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For the avoidance of doubt, it is understood that the Company shall not pay or reimburse any costs, fees or expenses incurred by an Underwriter pursuant to this paragraph (b) that defaults on its obligations to purchase the Shares.</w:t>
      </w:r>
    </w:p>
    <w:p>
      <w:pPr>
        <w:spacing w:after="0" w:line="161" w:lineRule="exact"/>
        <w:rPr>
          <w:sz w:val="20"/>
          <w:szCs w:val="20"/>
          <w:color w:val="auto"/>
        </w:rPr>
      </w:pPr>
    </w:p>
    <w:p>
      <w:pPr>
        <w:ind w:left="-436" w:firstLine="436"/>
        <w:spacing w:after="0" w:line="257" w:lineRule="auto"/>
        <w:tabs>
          <w:tab w:leader="none" w:pos="27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left="-436" w:right="80" w:firstLine="436"/>
        <w:spacing w:after="0" w:line="257" w:lineRule="auto"/>
        <w:tabs>
          <w:tab w:leader="none" w:pos="27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jc w:val="both"/>
        <w:ind w:left="-436" w:right="180" w:firstLine="436"/>
        <w:spacing w:after="0" w:line="311" w:lineRule="auto"/>
        <w:tabs>
          <w:tab w:leader="none" w:pos="274"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48" w:lineRule="exact"/>
        <w:rPr>
          <w:rFonts w:ascii="Arial" w:cs="Arial" w:eastAsia="Arial" w:hAnsi="Arial"/>
          <w:sz w:val="16"/>
          <w:szCs w:val="16"/>
          <w:color w:val="auto"/>
        </w:rPr>
      </w:pPr>
    </w:p>
    <w:p>
      <w:pPr>
        <w:ind w:left="-436" w:firstLine="436"/>
        <w:spacing w:after="0" w:line="259" w:lineRule="auto"/>
        <w:tabs>
          <w:tab w:leader="none" w:pos="27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36" w:right="600" w:firstLine="436"/>
        <w:spacing w:after="0" w:line="263" w:lineRule="auto"/>
        <w:tabs>
          <w:tab w:leader="none" w:pos="249"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transmitted and confirmed by any standard form of telecommunication. Notices to the Underwriters shall be given to the Representatives c/o J.P. Morgan Securities LLC, 383 Madison Avenue, New York, New York 10179</w:t>
      </w:r>
    </w:p>
    <w:p>
      <w:pPr>
        <w:sectPr>
          <w:pgSz w:w="11900" w:h="16838" w:orient="portrait"/>
          <w:cols w:equalWidth="0" w:num="1">
            <w:col w:w="10564"/>
          </w:cols>
          <w:pgMar w:left="876" w:top="274" w:right="459" w:bottom="1440" w:gutter="0" w:footer="0" w:header="0"/>
        </w:sectPr>
      </w:pPr>
    </w:p>
    <w:bookmarkStart w:id="347" w:name="page348"/>
    <w:bookmarkEnd w:id="34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(fax: [***]), Attention Equity Syndicate Desk; c/o Leerink Partners LLC, 1301 Avenue of the Americas, 12th Floor, New York, New York 10019, Attention Stuart R. Nayman; c/o Stifel, Nicolaus &amp; Company, Incorporated, 787 7th Ave, 11th Floor, New York, New York 10019, Attention Equity Capital Markets; c/o RBC Capital Markets, LLC, Three World Financial Center, 200 Vesey Street, New York, New York 10281, Attention Equity Syndicate. Notices to the Company shall be given to it at Lexeo Therapeutics, Inc., 345 Park Avenue South, 6th Floor, New York, NY 10010, Attention: R. Nolan Townsend, with copies to Cooley LLP, 55 Hudson Yards, New York, New York 10001, Attention: Eric Blanchard and Divakar Gupta.</w:t>
      </w:r>
    </w:p>
    <w:p>
      <w:pPr>
        <w:spacing w:after="0" w:line="161" w:lineRule="exact"/>
        <w:rPr>
          <w:sz w:val="20"/>
          <w:szCs w:val="20"/>
          <w:color w:val="auto"/>
        </w:rPr>
      </w:pPr>
    </w:p>
    <w:p>
      <w:pPr>
        <w:ind w:right="300" w:firstLine="436"/>
        <w:spacing w:after="0" w:line="277"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70" w:lineRule="exact"/>
        <w:rPr>
          <w:rFonts w:ascii="Arial" w:cs="Arial" w:eastAsia="Arial" w:hAnsi="Arial"/>
          <w:sz w:val="18"/>
          <w:szCs w:val="18"/>
          <w:color w:val="auto"/>
        </w:rPr>
      </w:pPr>
    </w:p>
    <w:p>
      <w:pPr>
        <w:ind w:firstLine="436"/>
        <w:spacing w:after="0" w:line="296" w:lineRule="auto"/>
        <w:tabs>
          <w:tab w:leader="none" w:pos="685"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The Company hereby submits to the 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61"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07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right="60" w:firstLine="419"/>
        <w:spacing w:after="0" w:line="259" w:lineRule="auto"/>
        <w:tabs>
          <w:tab w:leader="none" w:pos="112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in this Section 16(g):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ectPr>
          <w:pgSz w:w="11900" w:h="16838" w:orient="portrait"/>
          <w:cols w:equalWidth="0" w:num="1">
            <w:col w:w="11000"/>
          </w:cols>
          <w:pgMar w:left="440" w:top="274" w:right="459" w:bottom="1440" w:gutter="0" w:footer="0" w:header="0"/>
        </w:sectPr>
      </w:pPr>
    </w:p>
    <w:bookmarkStart w:id="348" w:name="page349"/>
    <w:bookmarkEnd w:id="348"/>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Entity” means any of the following:</w:t>
      </w:r>
    </w:p>
    <w:p>
      <w:pPr>
        <w:spacing w:after="0" w:line="117" w:lineRule="exact"/>
        <w:rPr>
          <w:sz w:val="20"/>
          <w:szCs w:val="20"/>
          <w:color w:val="auto"/>
        </w:rPr>
      </w:pPr>
    </w:p>
    <w:p>
      <w:pPr>
        <w:ind w:left="1164" w:hanging="212"/>
        <w:spacing w:after="0"/>
        <w:tabs>
          <w:tab w:leader="none" w:pos="11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24" w:hanging="272"/>
        <w:spacing w:after="0"/>
        <w:tabs>
          <w:tab w:leader="none" w:pos="12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264" w:hanging="312"/>
        <w:spacing w:after="0"/>
        <w:tabs>
          <w:tab w:leader="none" w:pos="12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824" w:hanging="273"/>
        <w:spacing w:after="0"/>
        <w:tabs>
          <w:tab w:leader="none" w:pos="82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436" w:right="900" w:firstLine="436"/>
        <w:spacing w:after="0" w:line="342" w:lineRule="auto"/>
        <w:tabs>
          <w:tab w:leader="none" w:pos="229"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23" w:lineRule="exact"/>
        <w:rPr>
          <w:rFonts w:ascii="Arial" w:cs="Arial" w:eastAsia="Arial" w:hAnsi="Arial"/>
          <w:sz w:val="16"/>
          <w:szCs w:val="16"/>
          <w:color w:val="auto"/>
        </w:rPr>
      </w:pPr>
    </w:p>
    <w:p>
      <w:pPr>
        <w:ind w:left="-436" w:right="640" w:firstLine="436"/>
        <w:spacing w:after="0" w:line="277" w:lineRule="auto"/>
        <w:tabs>
          <w:tab w:leader="none" w:pos="259"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436" w:right="120" w:firstLine="436"/>
        <w:spacing w:after="0" w:line="277" w:lineRule="auto"/>
        <w:tabs>
          <w:tab w:leader="none" w:pos="259"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ectPr>
          <w:pgSz w:w="11900" w:h="16838" w:orient="portrait"/>
          <w:cols w:equalWidth="0" w:num="1">
            <w:col w:w="10444"/>
          </w:cols>
          <w:pgMar w:left="876" w:top="274" w:right="579" w:bottom="1440" w:gutter="0" w:footer="0" w:header="0"/>
        </w:sectPr>
      </w:pPr>
    </w:p>
    <w:bookmarkStart w:id="349" w:name="page350"/>
    <w:bookmarkEnd w:id="3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LEXEO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60"/>
          </w:cols>
          <w:pgMar w:left="440" w:top="274" w:right="79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RBC CAPITAL MARKETS,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120" w:type="dxa"/>
            <w:vAlign w:val="bottom"/>
            <w:gridSpan w:val="3"/>
          </w:tcPr>
          <w:p>
            <w:pPr>
              <w:ind w:left="320"/>
              <w:spacing w:after="0"/>
              <w:rPr>
                <w:sz w:val="20"/>
                <w:szCs w:val="20"/>
                <w:color w:val="auto"/>
              </w:rPr>
            </w:pPr>
            <w:r>
              <w:rPr>
                <w:rFonts w:ascii="Arial" w:cs="Arial" w:eastAsia="Arial" w:hAnsi="Arial"/>
                <w:sz w:val="18"/>
                <w:szCs w:val="18"/>
                <w:color w:val="auto"/>
                <w:w w:val="86"/>
              </w:rPr>
              <w:t>Schedule 1</w:t>
            </w:r>
          </w:p>
        </w:tc>
      </w:tr>
      <w:tr>
        <w:trPr>
          <w:trHeight w:val="41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Underwriter</w:t>
            </w:r>
          </w:p>
        </w:tc>
        <w:tc>
          <w:tcPr>
            <w:tcW w:w="918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Number of Shares</w:t>
            </w: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2" w:name="page353"/>
    <w:bookmarkEnd w:id="3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27" w:lineRule="exact"/>
        <w:rPr>
          <w:sz w:val="20"/>
          <w:szCs w:val="20"/>
          <w:color w:val="auto"/>
        </w:rPr>
      </w:pPr>
    </w:p>
    <w:p>
      <w:pPr>
        <w:ind w:left="444" w:right="8500" w:hanging="444"/>
        <w:spacing w:after="0" w:line="383" w:lineRule="auto"/>
        <w:tabs>
          <w:tab w:leader="none" w:pos="436"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Pricing Disclosure Package </w:t>
      </w:r>
      <w:r>
        <w:rPr>
          <w:rFonts w:ascii="Arial" w:cs="Arial" w:eastAsia="Arial" w:hAnsi="Arial"/>
          <w:sz w:val="18"/>
          <w:szCs w:val="18"/>
          <w:color w:val="auto"/>
        </w:rPr>
        <w:t>[•]</w:t>
      </w:r>
    </w:p>
    <w:p>
      <w:pPr>
        <w:ind w:left="444" w:right="6440" w:hanging="444"/>
        <w:spacing w:after="0" w:line="377" w:lineRule="auto"/>
        <w:tabs>
          <w:tab w:leader="none" w:pos="436"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Pricing Information Provided Orally by Underwriters </w:t>
      </w:r>
      <w:r>
        <w:rPr>
          <w:rFonts w:ascii="Arial" w:cs="Arial" w:eastAsia="Arial" w:hAnsi="Arial"/>
          <w:sz w:val="18"/>
          <w:szCs w:val="18"/>
          <w:color w:val="auto"/>
        </w:rPr>
        <w:t>Underwritten Shares: [•] shares</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Option Shares: [•] shares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Public Offering Price Per Share: $[•]</w:t>
      </w:r>
    </w:p>
    <w:p>
      <w:pPr>
        <w:sectPr>
          <w:pgSz w:w="11900" w:h="16838" w:orient="portrait"/>
          <w:cols w:equalWidth="0" w:num="1">
            <w:col w:w="11024"/>
          </w:cols>
          <w:pgMar w:left="436" w:top="274" w:right="4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Testing the Waters Authorization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 the waters authorization (to be delivered by the issuer to the Representatives in email or letter form)</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reliance on Section 5(d) of the Securities Act of 1933, as amended (the “Act”), Lexeo Therapeutics, Inc. (the “Issuer”) hereby authorizes J.P. Morgan Securities LLC and Leerink Partners LLC (the “Representatives”) and their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Issuer represents that it is an “emerging growth company” as defined in Section 2(a)(19) of the Act (“Emerging Growth Company”) and agrees to promptly notify the Representatives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Representatives and will promptly amend or supplement, at its own expense, such Written Testing-the-Waters Communication to eliminate or correct such untrue statement or omission.</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Nothing in this authorization is intended to limit or otherwise affect the ability of the Representatives and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the Representatives a written notice revoking this authorization. All notices as described herein shall be sent by email to the attention of: David Ke at david.ke@jpmorgan.com and Jack Bannister at jack.bannister@leerinkpartners.com, with copies to Stuart Nayman at Stuart.Nayman@leerinkpartners.com and Seo Salimi at seosalimi@paulhastings.com.</w:t>
      </w:r>
    </w:p>
    <w:p>
      <w:pPr>
        <w:sectPr>
          <w:pgSz w:w="11900" w:h="16838" w:orient="portrait"/>
          <w:cols w:equalWidth="0" w:num="1">
            <w:col w:w="11020"/>
          </w:cols>
          <w:pgMar w:left="440" w:top="274" w:right="4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LEERINK PARTNERS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Lexeo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This letter is being delivered to you in connection with the offering by Lexeo Therapeutics, Inc. (the “Company”) of [•] shares of common stock, $0.0001 par value (the “Common Stock”), of the Company and the lock-up letter dated [•], 2023 (the “Lock-up Letter”), executed by you in connection with such offering, and your request for a [waiver] [release] dated [•], 2023, with respect to [•] shares of Common Stock (the “Shares”).</w:t>
      </w:r>
    </w:p>
    <w:p>
      <w:pPr>
        <w:spacing w:after="0" w:line="1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J.P. Morgan Securities LLC and Leerink Partners LLC hereby agree to [waive] [release] the transfer restrictions set forth in the Lock-up Letter, but only with respect to the Shares, effective [•], 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[Signature of J.P. Morgan Securities LLC Representative]</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of J.P. Morgan Securities LLC Representative]</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[Signature of Leerink Partners LLC Representative]</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of Leerink Partners LLC Representative]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 Company</w:t>
      </w:r>
    </w:p>
    <w:p>
      <w:pPr>
        <w:sectPr>
          <w:pgSz w:w="11900" w:h="16838" w:orient="portrait"/>
          <w:cols w:equalWidth="0" w:num="1">
            <w:col w:w="11020"/>
          </w:cols>
          <w:pgMar w:left="440" w:top="274" w:right="4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Lexeo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2023</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Lexeo Therapeutics, Inc. (“Company”) announced today that J.P. Morgan Securities LLC and Leerink Partners LLC, the lead book-running managers in the Company’s recent public sale of [•] shares of common stock, are [waiving] [releasing] a lock-up restriction with respect to [•] shares of the Company’s common stock held by [certain officers or directors] [an officer or director] of the Company. The [waiver] [release] will take effect on [•], 2023, and the shares may be sold on or after such date.</w:t>
      </w:r>
    </w:p>
    <w:p>
      <w:pPr>
        <w:spacing w:after="0" w:line="183"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74" w:right="4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6136005</wp:posOffset>
            </wp:positionH>
            <wp:positionV relativeFrom="paragraph">
              <wp:posOffset>-10160</wp:posOffset>
            </wp:positionV>
            <wp:extent cx="5715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3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LEXEO Therapeutics, Inc.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undersigned understands that you, as representatives (the “Representatives”) of the several Underwriters (as defined below), propose to enter into an underwriting agreement (the “Underwriting Agreement”) with LEXEO Therapeutics, Inc., a Delaware corporation (the “Company”), providing for the public offering (the “Public Offering”) by the several Underwriters named in Schedule 1 to the Underwriting Agreement (the “Underwriters”), of shares of the Company’s common stock (the “Securities”). Capitalized terms used herein and not otherwise defined shall have the meanings set forth in the Underwriting Agreement.</w:t>
      </w:r>
    </w:p>
    <w:p>
      <w:pPr>
        <w:sectPr>
          <w:pgSz w:w="11900" w:h="16838" w:orient="portrait"/>
          <w:cols w:equalWidth="0" w:num="1">
            <w:col w:w="11020"/>
          </w:cols>
          <w:pgMar w:left="440" w:top="274" w:right="439" w:bottom="1440" w:gutter="0" w:footer="0" w:header="0"/>
        </w:sectPr>
      </w:pPr>
    </w:p>
    <w:bookmarkStart w:id="358" w:name="page359"/>
    <w:bookmarkEnd w:id="358"/>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and Leerink Partners LLC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J.P. Morgan Securities LLC and Leerink Partners LLC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transfer the undersigned’s Lock-Up Securities:</w:t>
      </w:r>
    </w:p>
    <w:p>
      <w:pPr>
        <w:spacing w:after="0" w:line="117" w:lineRule="exact"/>
        <w:rPr>
          <w:sz w:val="20"/>
          <w:szCs w:val="20"/>
          <w:color w:val="auto"/>
        </w:rPr>
      </w:pPr>
    </w:p>
    <w:p>
      <w:pPr>
        <w:ind w:left="660" w:hanging="224"/>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225" w:lineRule="exact"/>
        <w:rPr>
          <w:rFonts w:ascii="Arial" w:cs="Arial" w:eastAsia="Arial" w:hAnsi="Arial"/>
          <w:sz w:val="18"/>
          <w:szCs w:val="18"/>
          <w:color w:val="auto"/>
        </w:rPr>
      </w:pPr>
    </w:p>
    <w:p>
      <w:pPr>
        <w:ind w:firstLine="436"/>
        <w:spacing w:after="0" w:line="311" w:lineRule="auto"/>
        <w:tabs>
          <w:tab w:leader="none" w:pos="75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 or if the undersigned is a trust, to a trustor, trustee (or co-trustee)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ectPr>
          <w:pgSz w:w="11900" w:h="16838" w:orient="portrait"/>
          <w:cols w:equalWidth="0" w:num="1">
            <w:col w:w="11000"/>
          </w:cols>
          <w:pgMar w:left="440" w:top="274" w:right="459" w:bottom="1440" w:gutter="0" w:footer="0" w:header="0"/>
        </w:sectPr>
      </w:pPr>
    </w:p>
    <w:bookmarkStart w:id="359" w:name="page360"/>
    <w:bookmarkEnd w:id="359"/>
    <w:p>
      <w:pPr>
        <w:ind w:left="-436" w:right="100" w:firstLine="436"/>
        <w:spacing w:after="0" w:line="277" w:lineRule="auto"/>
        <w:tabs>
          <w:tab w:leader="none" w:pos="3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partnership, limited liability company or other entity of which the undersigned and the immediate family of the undersigned are the legal and beneficial owner of all of the outstanding equity securities or similar interests,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(iv) above,</w:t>
      </w:r>
    </w:p>
    <w:p>
      <w:pPr>
        <w:spacing w:after="0" w:line="248" w:lineRule="exact"/>
        <w:rPr>
          <w:rFonts w:ascii="Arial" w:cs="Arial" w:eastAsia="Arial" w:hAnsi="Arial"/>
          <w:sz w:val="16"/>
          <w:szCs w:val="16"/>
          <w:color w:val="auto"/>
        </w:rPr>
      </w:pPr>
    </w:p>
    <w:p>
      <w:pPr>
        <w:ind w:left="-436" w:right="40" w:firstLine="436"/>
        <w:spacing w:after="0" w:line="293" w:lineRule="auto"/>
        <w:tabs>
          <w:tab w:leader="none" w:pos="30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without consideration to shareholders, partners, members, beneficiaries or other equity holders of the undersigned,</w:t>
      </w:r>
    </w:p>
    <w:p>
      <w:pPr>
        <w:spacing w:after="0" w:line="164" w:lineRule="exact"/>
        <w:rPr>
          <w:rFonts w:ascii="Arial" w:cs="Arial" w:eastAsia="Arial" w:hAnsi="Arial"/>
          <w:sz w:val="16"/>
          <w:szCs w:val="16"/>
          <w:color w:val="auto"/>
        </w:rPr>
      </w:pPr>
    </w:p>
    <w:p>
      <w:pPr>
        <w:ind w:left="364" w:hanging="364"/>
        <w:spacing w:after="0"/>
        <w:tabs>
          <w:tab w:leader="none" w:pos="36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 the Company from an employee of the Company upon death, disability or termination of employment, in each case, of such employee,</w:t>
      </w:r>
    </w:p>
    <w:p>
      <w:pPr>
        <w:spacing w:after="0" w:line="248" w:lineRule="exact"/>
        <w:rPr>
          <w:rFonts w:ascii="Arial" w:cs="Arial" w:eastAsia="Arial" w:hAnsi="Arial"/>
          <w:sz w:val="16"/>
          <w:szCs w:val="16"/>
          <w:color w:val="auto"/>
        </w:rPr>
      </w:pPr>
    </w:p>
    <w:p>
      <w:pPr>
        <w:ind w:left="-436" w:right="140" w:firstLine="436"/>
        <w:spacing w:after="0" w:line="277" w:lineRule="auto"/>
        <w:tabs>
          <w:tab w:leader="none" w:pos="3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part of a sale of the undersigned’s Lock-Up Securities acquired in the Public Offering or in open market transactions after the closing date for the Public Offering,</w:t>
      </w:r>
    </w:p>
    <w:p>
      <w:pPr>
        <w:spacing w:after="0" w:line="170" w:lineRule="exact"/>
        <w:rPr>
          <w:rFonts w:ascii="Arial" w:cs="Arial" w:eastAsia="Arial" w:hAnsi="Arial"/>
          <w:sz w:val="18"/>
          <w:szCs w:val="18"/>
          <w:color w:val="auto"/>
        </w:rPr>
      </w:pPr>
    </w:p>
    <w:p>
      <w:pPr>
        <w:ind w:left="-436" w:right="240" w:firstLine="436"/>
        <w:spacing w:after="0" w:line="272" w:lineRule="auto"/>
        <w:tabs>
          <w:tab w:leader="none" w:pos="25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w:t>
      </w:r>
    </w:p>
    <w:p>
      <w:pPr>
        <w:spacing w:after="0" w:line="177" w:lineRule="exact"/>
        <w:rPr>
          <w:rFonts w:ascii="Arial" w:cs="Arial" w:eastAsia="Arial" w:hAnsi="Arial"/>
          <w:sz w:val="17"/>
          <w:szCs w:val="17"/>
          <w:color w:val="auto"/>
        </w:rPr>
      </w:pPr>
    </w:p>
    <w:p>
      <w:pPr>
        <w:ind w:left="-436" w:firstLine="436"/>
        <w:spacing w:after="0" w:line="254" w:lineRule="auto"/>
        <w:tabs>
          <w:tab w:leader="none" w:pos="3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 or</w:t>
      </w:r>
    </w:p>
    <w:p>
      <w:pPr>
        <w:sectPr>
          <w:pgSz w:w="11900" w:h="16838" w:orient="portrait"/>
          <w:cols w:equalWidth="0" w:num="1">
            <w:col w:w="10564"/>
          </w:cols>
          <w:pgMar w:left="876" w:top="274" w:right="459" w:bottom="1440" w:gutter="0" w:footer="0" w:header="0"/>
        </w:sectPr>
      </w:pPr>
    </w:p>
    <w:bookmarkStart w:id="360" w:name="page361"/>
    <w:bookmarkEnd w:id="36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(xii) to an immediate family member of the undersigned;</w:t>
      </w:r>
    </w:p>
    <w:p>
      <w:pPr>
        <w:spacing w:after="0" w:line="225"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transfer or distribution pursuant to clause (a)(i), (ii), (iii), (iv), (v), (vi) and (xii), such transfer shall not involve a disposition for value and each donee, devisee, transferee or distributee shall execute and deliver to the Representative a lock-up letter in the form of this Letter Agreement, (B) in the case of any transfer or distribution pursuant to clause (a)(iii), (iv), (v), (vi), (ix) and (xii),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(a)(i), (ii), (vii),</w:t>
      </w:r>
    </w:p>
    <w:p>
      <w:pPr>
        <w:spacing w:after="0" w:line="4" w:lineRule="exact"/>
        <w:rPr>
          <w:sz w:val="20"/>
          <w:szCs w:val="20"/>
          <w:color w:val="auto"/>
        </w:rPr>
      </w:pPr>
    </w:p>
    <w:p>
      <w:pPr>
        <w:ind w:left="4" w:right="240" w:hanging="4"/>
        <w:spacing w:after="0" w:line="253" w:lineRule="auto"/>
        <w:tabs>
          <w:tab w:leader="none" w:pos="40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92"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83" w:lineRule="exact"/>
        <w:rPr>
          <w:rFonts w:ascii="Arial" w:cs="Arial" w:eastAsia="Arial" w:hAnsi="Arial"/>
          <w:sz w:val="18"/>
          <w:szCs w:val="18"/>
          <w:color w:val="auto"/>
        </w:rPr>
      </w:pPr>
    </w:p>
    <w:p>
      <w:pPr>
        <w:ind w:left="4" w:right="160" w:firstLine="436"/>
        <w:spacing w:after="0" w:line="263" w:lineRule="auto"/>
        <w:tabs>
          <w:tab w:leader="none" w:pos="68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convert outstanding preferred stock, warrants to acquire preferred stock or convertible securities into shares of Common Stock or warrants to acquire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shares of Common Stock or warrants received upon such conversion shall be subject to the terms of this Letter Agreement; and</w:t>
      </w:r>
    </w:p>
    <w:p>
      <w:pPr>
        <w:spacing w:after="0" w:line="183" w:lineRule="exact"/>
        <w:rPr>
          <w:rFonts w:ascii="Arial" w:cs="Arial" w:eastAsia="Arial" w:hAnsi="Arial"/>
          <w:sz w:val="18"/>
          <w:szCs w:val="18"/>
          <w:color w:val="auto"/>
        </w:rPr>
      </w:pPr>
    </w:p>
    <w:p>
      <w:pPr>
        <w:jc w:val="both"/>
        <w:ind w:left="4" w:firstLine="436"/>
        <w:spacing w:after="0" w:line="263" w:lineRule="auto"/>
        <w:tabs>
          <w:tab w:leader="none" w:pos="69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establish trading plans pursuant to Rule 10b5-1 under the Exchange Act for the transfer of shares of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plans do not provide for the transfer of Lock-Up Securities during the Restricted Period and (2) and any required public disclosure of such plan includes the restrictions set forth in this letter agreement.</w:t>
      </w:r>
    </w:p>
    <w:p>
      <w:pPr>
        <w:spacing w:after="0" w:line="184" w:lineRule="exact"/>
        <w:rPr>
          <w:sz w:val="20"/>
          <w:szCs w:val="20"/>
          <w:color w:val="auto"/>
        </w:rPr>
      </w:pPr>
    </w:p>
    <w:p>
      <w:pPr>
        <w:jc w:val="both"/>
        <w:ind w:left="4" w:right="400" w:firstLine="440"/>
        <w:spacing w:after="0" w:line="263"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Company-directed Securities the undersigned may purchase in the Public Offering.</w:t>
      </w:r>
    </w:p>
    <w:p>
      <w:pPr>
        <w:sectPr>
          <w:pgSz w:w="11900" w:h="16838" w:orient="portrait"/>
          <w:cols w:equalWidth="0" w:num="1">
            <w:col w:w="11004"/>
          </w:cols>
          <w:pgMar w:left="436" w:top="274" w:right="459" w:bottom="1440" w:gutter="0" w:footer="0" w:header="0"/>
        </w:sectPr>
      </w:pPr>
    </w:p>
    <w:bookmarkStart w:id="361" w:name="page362"/>
    <w:bookmarkEnd w:id="361"/>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undersigned is an officer or director of the Company, (i) J.P. Morgan Securities LLC and Leerink Partners LLC, on behalf of the Underwriters, agree that, at least three business days before the effective date of any release or waiver of the foregoing restrictions in connection with a transfer of shares of Lock-Up Securities, J.P. Morgan Securities LLC and Leerink Partners LLC,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J.P. Morgan Securities LLC and Leerink Partners LLC,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194"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 may be required or choose to provide certain Regulation Best Interest and Form CRS disclosures to you in connection with the Public Offering, the Representative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64"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The undersigned understands that, if the Underwriting Agreement does not become effective by March 31, 2024,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ectPr>
          <w:pgSz w:w="11900" w:h="16838" w:orient="portrait"/>
          <w:cols w:equalWidth="0" w:num="1">
            <w:col w:w="11020"/>
          </w:cols>
          <w:pgMar w:left="440" w:top="274" w:right="439" w:bottom="1440" w:gutter="0" w:footer="0" w:header="0"/>
        </w:sectPr>
      </w:pPr>
    </w:p>
    <w:bookmarkStart w:id="362" w:name="page363"/>
    <w:bookmarkEnd w:id="36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STOCKHOLDER</w:t>
      </w:r>
      <w:r>
        <w:rPr>
          <w:rFonts w:ascii="Arial" w:cs="Arial" w:eastAsia="Arial" w:hAnsi="Arial"/>
          <w:sz w:val="16"/>
          <w:szCs w:val="16"/>
          <w:color w:val="auto"/>
        </w:rPr>
        <w: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LEXEO THERAPEUTICS,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Lexeo Therapeutics, Inc., a corporation organized and existing under and by virtue of the provisions of the General Corporation Law of the State of Delaware (the “</w:t>
      </w:r>
      <w:r>
        <w:rPr>
          <w:rFonts w:ascii="Arial" w:cs="Arial" w:eastAsia="Arial" w:hAnsi="Arial"/>
          <w:sz w:val="16"/>
          <w:szCs w:val="16"/>
          <w:b w:val="1"/>
          <w:bCs w:val="1"/>
          <w:color w:val="auto"/>
        </w:rPr>
        <w:t>General Corporation Law</w:t>
      </w:r>
      <w:r>
        <w:rPr>
          <w:rFonts w:ascii="Arial" w:cs="Arial" w:eastAsia="Arial" w:hAnsi="Arial"/>
          <w:sz w:val="16"/>
          <w:szCs w:val="16"/>
          <w:color w:val="auto"/>
        </w:rPr>
        <w:t>”), was originally incorporated pursuant to the General Corporation Law on November 20, 2020.</w:t>
      </w:r>
    </w:p>
    <w:p>
      <w:pPr>
        <w:spacing w:after="0" w:line="12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DOES HEREBY CERTIFY: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Lexeo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251 Little Falls Drive,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19808. The name of its registered agent at such address is Corporation Service Company.</w:t>
      </w:r>
    </w:p>
    <w:p>
      <w:pPr>
        <w:spacing w:after="0" w:line="162"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jc w:val="both"/>
        <w:ind w:left="4" w:right="580" w:firstLine="44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the Corporation shall have authority to issue is 332,285,926, of which (i) 188,632,380 are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143,653,546 are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78" w:lineRule="exact"/>
        <w:rPr>
          <w:sz w:val="20"/>
          <w:szCs w:val="20"/>
          <w:color w:val="auto"/>
        </w:rPr>
      </w:pPr>
    </w:p>
    <w:p>
      <w:pPr>
        <w:ind w:left="444" w:hanging="444"/>
        <w:spacing w:after="0"/>
        <w:tabs>
          <w:tab w:leader="none" w:pos="4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4" w:right="320" w:firstLine="987"/>
        <w:spacing w:after="0" w:line="277" w:lineRule="auto"/>
        <w:tabs>
          <w:tab w:leader="none" w:pos="1310"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left="4" w:right="20" w:firstLine="987"/>
        <w:spacing w:after="0" w:line="283" w:lineRule="auto"/>
        <w:tabs>
          <w:tab w:leader="none" w:pos="1310"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(1)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Amended and Restated Certificate of Incorporation that relates solely to the terms of one (1) or more outstanding series of Preferred Stock if the holders of such affected series are entitled, either separately or together with the holders of one (1)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(1)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242(b)(2) of the General Corporation Law.</w:t>
      </w:r>
    </w:p>
    <w:p>
      <w:pPr>
        <w:sectPr>
          <w:pgSz w:w="11900" w:h="16838" w:orient="portrait"/>
          <w:cols w:equalWidth="0" w:num="1">
            <w:col w:w="11024"/>
          </w:cols>
          <w:pgMar w:left="436" w:top="121" w:right="439" w:bottom="1440" w:gutter="0" w:footer="0" w:header="0"/>
        </w:sectPr>
      </w:pPr>
    </w:p>
    <w:bookmarkStart w:id="364" w:name="page365"/>
    <w:bookmarkEnd w:id="364"/>
    <w:p>
      <w:pPr>
        <w:ind w:left="444" w:hanging="444"/>
        <w:spacing w:after="0"/>
        <w:tabs>
          <w:tab w:leader="none" w:pos="444"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w:t>
      </w:r>
    </w:p>
    <w:p>
      <w:pPr>
        <w:spacing w:after="0" w:line="113" w:lineRule="exact"/>
        <w:rPr>
          <w:sz w:val="20"/>
          <w:szCs w:val="20"/>
          <w:color w:val="auto"/>
        </w:rPr>
      </w:pPr>
    </w:p>
    <w:p>
      <w:pPr>
        <w:ind w:left="4" w:right="80" w:firstLine="440"/>
        <w:spacing w:after="0" w:line="303" w:lineRule="auto"/>
        <w:rPr>
          <w:sz w:val="20"/>
          <w:szCs w:val="20"/>
          <w:color w:val="auto"/>
        </w:rPr>
      </w:pPr>
      <w:r>
        <w:rPr>
          <w:rFonts w:ascii="Arial" w:cs="Arial" w:eastAsia="Arial" w:hAnsi="Arial"/>
          <w:sz w:val="16"/>
          <w:szCs w:val="16"/>
          <w:color w:val="auto"/>
        </w:rPr>
        <w:t>85,495,722 shares of the authorized Preferred Stock of the Corporation are hereby designated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and 58,157,824 shares of the authorized Preferred Stock are hereby designated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with the following rights, preferences, powers, privileges and restrictions, qualifications and limitations. Unless otherwise indicated, references to “Sections” in this Part B of this Article Fourth refer to sections of Part B of this Article Fourth. References to “Preferred Stock” mean the Series A Preferred Stock and the Series B Preferred Stock.</w:t>
      </w:r>
    </w:p>
    <w:p>
      <w:pPr>
        <w:spacing w:after="0" w:line="155" w:lineRule="exact"/>
        <w:rPr>
          <w:sz w:val="20"/>
          <w:szCs w:val="20"/>
          <w:color w:val="auto"/>
        </w:rPr>
      </w:pPr>
    </w:p>
    <w:p>
      <w:pPr>
        <w:ind w:left="1304" w:hanging="313"/>
        <w:spacing w:after="0"/>
        <w:tabs>
          <w:tab w:leader="none" w:pos="130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The holders of then outstanding shares of Series B Preferred Stock shall be entitled to receive, only when, as and if declared by the Board of Directors, out of any funds and assets legally available therefor, dividends at the rate of 8% of the applicable Original Issue Price (as defined below), per annum, for each share of Series B Preferred Stock, prior and in preference to any declaration or payment of any other dividend (other than dividends on shares of Common Stock payable in shares of Common Stock) on the Series A Preferred Stock or the Common Stock. After payment in full of all accrued and unpaid dividends on the Series B Preferred Stock, the holders of then outstanding shares of Series A Preferred Stock shall be entitled to receive, only when, as and if declared by the Board of Directors, out of any funds and assets legally available therefor, dividends at the rate of 8% of the applicable Original Issue Price (as defined below) for each share of Series A Preferred Stock, prior and in preference to any declaration or payment of any other dividend (other than dividends on shares of Common Stock payable in shares of Common Stock) on the Common Stock. The right to receive dividends on shares of Preferred Stock pursuant to the preceding two sentences of this Section 1 shall not be cumulative, and no right to dividends shall accrue to holders of a series of Preferred Stock by reason of the fact that dividends on said shares are not declared.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 the holders of the Preferred Stock then outstanding shall first receive, or simultaneously receive, in addition to the dividends payable pursuant to the first two sentences of this Section 1, a dividend on each outstanding share of Preferred Stock in an amount at least equal to (i) in the case of a dividend on Common Stock or any class or series that is convertible into Common Stock, that dividend per share of Preferred Stock as would equal the product of</w:t>
      </w:r>
    </w:p>
    <w:p>
      <w:pPr>
        <w:ind w:left="4" w:right="80" w:hanging="4"/>
        <w:spacing w:after="0" w:line="281" w:lineRule="auto"/>
        <w:tabs>
          <w:tab w:leader="none" w:pos="29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dividend payable on each share of such class or series determined, if applicable, as if all shares of such class or series had been converted into Common Stock and (B) the number of shares of Common Stock issuable upon conversion of a share of such series of Preferred Stock, in each case calculated on the record date for determination of holders entitled to receive such dividend or (ii) in the case of a dividend on any class or series that is not convertible into Common Stock, at a rate per share of such series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w:t>
      </w:r>
    </w:p>
    <w:p>
      <w:pPr>
        <w:spacing w:after="0" w:line="3" w:lineRule="exact"/>
        <w:rPr>
          <w:rFonts w:ascii="Arial" w:cs="Arial" w:eastAsia="Arial" w:hAnsi="Arial"/>
          <w:sz w:val="16"/>
          <w:szCs w:val="16"/>
          <w:color w:val="auto"/>
        </w:rPr>
      </w:pPr>
    </w:p>
    <w:p>
      <w:pPr>
        <w:ind w:left="4" w:right="40" w:hanging="4"/>
        <w:spacing w:after="0" w:line="252" w:lineRule="auto"/>
        <w:tabs>
          <w:tab w:leader="none" w:pos="28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multiplying such fraction by an amount equal to the applicable Original Issue Price (as defined below) for such series of Preferred Stock; provided that, if the Corporation declares, pays or sets aside, on the same date, a dividend on shares of more than one (1) class or series of capital stock of the Corporation, the dividend payable to the holders of Preferred Stock pursuant to this Section 1 shall be calculated based upon the dividend on the class or series of capital stock that would result in the highest Preferred Stock dividend. The applicable “</w:t>
      </w:r>
      <w:r>
        <w:rPr>
          <w:rFonts w:ascii="Arial" w:cs="Arial" w:eastAsia="Arial" w:hAnsi="Arial"/>
          <w:sz w:val="18"/>
          <w:szCs w:val="18"/>
          <w:b w:val="1"/>
          <w:bCs w:val="1"/>
          <w:color w:val="auto"/>
        </w:rPr>
        <w:t>Original Issue Price</w:t>
      </w:r>
      <w:r>
        <w:rPr>
          <w:rFonts w:ascii="Arial" w:cs="Arial" w:eastAsia="Arial" w:hAnsi="Arial"/>
          <w:sz w:val="18"/>
          <w:szCs w:val="18"/>
          <w:color w:val="auto"/>
        </w:rPr>
        <w:t>” shall mean, with respect to the Series A Preferred Stock, $1.00 per share, and with respect to the Series B Preferred Stock, $1.72049 per share (in each case, subject to appropriate adjustment in the event of any stock dividend, stock split, combination or other similar recapitalization with respect to the applicable series of Preferred Stock).</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65" w:name="page366"/>
    <w:bookmarkEnd w:id="365"/>
    <w:p>
      <w:pPr>
        <w:ind w:left="1400" w:hanging="413"/>
        <w:spacing w:after="0"/>
        <w:tabs>
          <w:tab w:leader="none" w:pos="140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Preferential Payments to Holders of Series B Preferred Stock</w:t>
      </w:r>
      <w:r>
        <w:rPr>
          <w:rFonts w:ascii="Arial" w:cs="Arial" w:eastAsia="Arial" w:hAnsi="Arial"/>
          <w:sz w:val="17"/>
          <w:szCs w:val="17"/>
          <w:color w:val="auto"/>
        </w:rPr>
        <w:t>. In the event of any voluntary or involuntary liquidation, dissolution or winding up of the Corporation, the holders of shares of Series B Preferred Stock then outstanding shall be entitled to be paid out of the assets of the Corporation available for distribution to its stockholders or, in the case of a Deemed Liquidation Event (as defined below), out of the consideration payable to stockholder in such Deemed Liquidation Event or the Available Proceeds (as defined below), before any payment shall be made to the holder of the Series A Preferred Stock or Common Stock by reason of their ownership thereof, an amount per share equal to one times (1x) the Series B Original Issue Price (subject to appropriate adjustment in the event of any stock dividend, stock split, combination or other similar recapitalization with respect to such series of Preferred Stock), plus any dividends declared but unpaid thereon (the “</w:t>
      </w:r>
      <w:r>
        <w:rPr>
          <w:rFonts w:ascii="Arial" w:cs="Arial" w:eastAsia="Arial" w:hAnsi="Arial"/>
          <w:sz w:val="17"/>
          <w:szCs w:val="17"/>
          <w:b w:val="1"/>
          <w:bCs w:val="1"/>
          <w:color w:val="auto"/>
        </w:rPr>
        <w:t>Series B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Preference</w:t>
      </w:r>
      <w:r>
        <w:rPr>
          <w:rFonts w:ascii="Arial" w:cs="Arial" w:eastAsia="Arial" w:hAnsi="Arial"/>
          <w:sz w:val="17"/>
          <w:szCs w:val="17"/>
          <w:color w:val="auto"/>
        </w:rPr>
        <w:t>”). If upon any such liquidation, dissolution or winding up of the Corporation or Deemed Liquidation Event, the assets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available for distribution to its stockholders shall be insufficient to pay the holders of shares of Series B Preferred Stock the full amount to which they shall be entitled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9" w:lineRule="exact"/>
        <w:rPr>
          <w:sz w:val="20"/>
          <w:szCs w:val="20"/>
          <w:color w:val="auto"/>
        </w:rPr>
      </w:pPr>
    </w:p>
    <w:p>
      <w:pPr>
        <w:ind w:right="40" w:firstLine="1432"/>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Preferential Payments to Holders of Series A Preferred Stock</w:t>
      </w:r>
      <w:r>
        <w:rPr>
          <w:rFonts w:ascii="Arial" w:cs="Arial" w:eastAsia="Arial" w:hAnsi="Arial"/>
          <w:sz w:val="17"/>
          <w:szCs w:val="17"/>
          <w:color w:val="auto"/>
        </w:rPr>
        <w:t xml:space="preserve">. In the event of any voluntary or involuntary liquidation, dissolution or winding up of the Corporation, after payment of the Series B Liquidation Preference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the holders of shares of Series A Preferred Stock then outstanding shall be entitled to be paid out of the assets of the Corporation available for distribution to its stockholders or, in the case of a Deemed Liquidation Event, out of the consideration payable to stockholder in such Deemed Liquidation Event or the Available Proceeds, before any payment shall be made to the holder of Common Stock by reason of their ownership thereof, an amount per share equal to one times (lx) the Series A Original Issue Price (subject to appropriate adjustment in the event of any stock dividend, stock split, combination or other similar recapitalization with respect to such series of Preferred Stock), plus any dividends declared but unpaid thereon (the “</w:t>
      </w:r>
      <w:r>
        <w:rPr>
          <w:rFonts w:ascii="Arial" w:cs="Arial" w:eastAsia="Arial" w:hAnsi="Arial"/>
          <w:sz w:val="17"/>
          <w:szCs w:val="17"/>
          <w:b w:val="1"/>
          <w:bCs w:val="1"/>
          <w:color w:val="auto"/>
        </w:rPr>
        <w:t>Series A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Preference</w:t>
      </w:r>
      <w:r>
        <w:rPr>
          <w:rFonts w:ascii="Arial" w:cs="Arial" w:eastAsia="Arial" w:hAnsi="Arial"/>
          <w:sz w:val="17"/>
          <w:szCs w:val="17"/>
          <w:color w:val="auto"/>
        </w:rPr>
        <w:t>”, and together with the Series B Liquidation Preference, the “</w:t>
      </w:r>
      <w:r>
        <w:rPr>
          <w:rFonts w:ascii="Arial" w:cs="Arial" w:eastAsia="Arial" w:hAnsi="Arial"/>
          <w:sz w:val="17"/>
          <w:szCs w:val="17"/>
          <w:b w:val="1"/>
          <w:bCs w:val="1"/>
          <w:color w:val="auto"/>
        </w:rPr>
        <w:t>Liquidation Preferences</w:t>
      </w:r>
      <w:r>
        <w:rPr>
          <w:rFonts w:ascii="Arial" w:cs="Arial" w:eastAsia="Arial" w:hAnsi="Arial"/>
          <w:sz w:val="17"/>
          <w:szCs w:val="17"/>
          <w:color w:val="auto"/>
        </w:rPr>
        <w:t>”). If upon any such liquidation, dissolution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winding up of the Corporation or Deemed Liquidation Event, the assets of the Corporation available for distribution to its stockholder shall be insufficient to pay the holder of shares of Series A Preferred Stock the full amount to which they shall be entitled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the holder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6" w:lineRule="exact"/>
        <w:rPr>
          <w:sz w:val="20"/>
          <w:szCs w:val="20"/>
          <w:color w:val="auto"/>
        </w:rPr>
      </w:pPr>
    </w:p>
    <w:p>
      <w:pPr>
        <w:ind w:firstLine="1432"/>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xml:space="preserve">. In the event of any voluntary or involuntary liquidation, dissolution or winding up of the Corporation, (a) after the payment in full of all Liquidation Preferences required to be paid to the holders of shares of Preferred Stock the remaining assets of the Corporation available for distribution to its stockholder or, in the case of a Deemed Liquidation Event, the consideration not payable to the holder of shares of Preferred Stock pursuant to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or the remaining Available Proceeds, as the case may be, shall be distributed among the holder of the shares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liquidation, dissolution or winding up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aggregate amount which the holder of a series of Preferred Stock are entitled to receive under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applicable, and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6" w:name="page367"/>
    <w:bookmarkEnd w:id="366"/>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otherwise payable under clause (a)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exceeds $5.16147 per share of Series B Preferred Stock or $3.00 per share of Series A Preferred Stock (each subject to appropriate adjustment in the event of a stock split, stock dividend, combination, reclassification, or similar event affecting such series of Preferred Stock) (the applicable “</w:t>
      </w:r>
      <w:r>
        <w:rPr>
          <w:rFonts w:ascii="Arial" w:cs="Arial" w:eastAsia="Arial" w:hAnsi="Arial"/>
          <w:sz w:val="18"/>
          <w:szCs w:val="18"/>
          <w:b w:val="1"/>
          <w:bCs w:val="1"/>
          <w:color w:val="auto"/>
        </w:rPr>
        <w:t>Maximum Participation Amount</w:t>
      </w:r>
      <w:r>
        <w:rPr>
          <w:rFonts w:ascii="Arial" w:cs="Arial" w:eastAsia="Arial" w:hAnsi="Arial"/>
          <w:sz w:val="18"/>
          <w:szCs w:val="18"/>
          <w:color w:val="auto"/>
        </w:rPr>
        <w:t xml:space="preserve">”), each holder of such series of Preferred Stock shall be entitled to receive upon such liquidation, dissolution or winding up of the Corporation or Deemed Liquidation Event, (b) the greater of (i) the applicable Maximum Participation Amount and (ii) the amount such holder would have received if all shares of such series of Preferred Stock had been converted into Common Stock immediately prior to such liquidation, dissolution or winding up of the Corporation or Deemed Liquidation Event. The aggregate amount which a holder of a share of Preferred Stock is entitled to receive under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is hereinafter referred to as the applicable “</w:t>
      </w:r>
      <w:r>
        <w:rPr>
          <w:rFonts w:ascii="Arial" w:cs="Arial" w:eastAsia="Arial" w:hAnsi="Arial"/>
          <w:sz w:val="18"/>
          <w:szCs w:val="18"/>
          <w:b w:val="1"/>
          <w:bCs w:val="1"/>
          <w:color w:val="auto"/>
        </w:rPr>
        <w:t>Liquidation Amount</w:t>
      </w:r>
      <w:r>
        <w:rPr>
          <w:rFonts w:ascii="Arial" w:cs="Arial" w:eastAsia="Arial" w:hAnsi="Arial"/>
          <w:sz w:val="18"/>
          <w:szCs w:val="18"/>
          <w:color w:val="auto"/>
        </w:rPr>
        <w:t>.”</w:t>
      </w:r>
    </w:p>
    <w:p>
      <w:pPr>
        <w:spacing w:after="0" w:line="192" w:lineRule="exact"/>
        <w:rPr>
          <w:sz w:val="20"/>
          <w:szCs w:val="20"/>
          <w:color w:val="auto"/>
        </w:rPr>
      </w:pPr>
    </w:p>
    <w:p>
      <w:pPr>
        <w:ind w:left="1424"/>
        <w:spacing w:after="0"/>
        <w:tabs>
          <w:tab w:leader="none" w:pos="19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1" w:lineRule="exact"/>
        <w:rPr>
          <w:sz w:val="20"/>
          <w:szCs w:val="20"/>
          <w:color w:val="auto"/>
        </w:rPr>
      </w:pPr>
    </w:p>
    <w:p>
      <w:pPr>
        <w:ind w:left="1984"/>
        <w:spacing w:after="0"/>
        <w:tabs>
          <w:tab w:leader="none" w:pos="250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w:t>
      </w:r>
    </w:p>
    <w:p>
      <w:pPr>
        <w:spacing w:after="0" w:line="27" w:lineRule="exact"/>
        <w:rPr>
          <w:sz w:val="20"/>
          <w:szCs w:val="20"/>
          <w:color w:val="auto"/>
        </w:rPr>
      </w:pPr>
    </w:p>
    <w:p>
      <w:pPr>
        <w:ind w:left="4" w:hanging="4"/>
        <w:spacing w:after="0" w:line="277" w:lineRule="auto"/>
        <w:tabs>
          <w:tab w:leader="none" w:pos="25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 majority of the outstanding shares of Preferred Stock (the “</w:t>
      </w:r>
      <w:r>
        <w:rPr>
          <w:rFonts w:ascii="Arial" w:cs="Arial" w:eastAsia="Arial" w:hAnsi="Arial"/>
          <w:sz w:val="17"/>
          <w:szCs w:val="17"/>
          <w:b w:val="1"/>
          <w:bCs w:val="1"/>
          <w:color w:val="auto"/>
        </w:rPr>
        <w:t>Preferred Majority</w:t>
      </w:r>
      <w:r>
        <w:rPr>
          <w:rFonts w:ascii="Arial" w:cs="Arial" w:eastAsia="Arial" w:hAnsi="Arial"/>
          <w:sz w:val="17"/>
          <w:szCs w:val="17"/>
          <w:color w:val="auto"/>
        </w:rPr>
        <w:t>”) and (y) the holders of at least 64% of the outstanding shares of Series B Preferred Stock, (the “</w:t>
      </w:r>
      <w:r>
        <w:rPr>
          <w:rFonts w:ascii="Arial" w:cs="Arial" w:eastAsia="Arial" w:hAnsi="Arial"/>
          <w:sz w:val="17"/>
          <w:szCs w:val="17"/>
          <w:b w:val="1"/>
          <w:bCs w:val="1"/>
          <w:color w:val="auto"/>
        </w:rPr>
        <w:t>Series B Majority</w:t>
      </w:r>
      <w:r>
        <w:rPr>
          <w:rFonts w:ascii="Arial" w:cs="Arial" w:eastAsia="Arial" w:hAnsi="Arial"/>
          <w:sz w:val="17"/>
          <w:szCs w:val="17"/>
          <w:color w:val="auto"/>
        </w:rPr>
        <w:t>” and together with the Preferred Majority, the “</w:t>
      </w:r>
      <w:r>
        <w:rPr>
          <w:rFonts w:ascii="Arial" w:cs="Arial" w:eastAsia="Arial" w:hAnsi="Arial"/>
          <w:sz w:val="17"/>
          <w:szCs w:val="17"/>
          <w:b w:val="1"/>
          <w:bCs w:val="1"/>
          <w:color w:val="auto"/>
        </w:rPr>
        <w:t>Requisite Holders</w:t>
      </w:r>
      <w:r>
        <w:rPr>
          <w:rFonts w:ascii="Arial" w:cs="Arial" w:eastAsia="Arial" w:hAnsi="Arial"/>
          <w:sz w:val="17"/>
          <w:szCs w:val="17"/>
          <w:color w:val="auto"/>
        </w:rPr>
        <w:t>”) elect otherwise by written notice sent to the Corporation at least five (5) business days prior to the effective date of any such event:</w:t>
      </w:r>
    </w:p>
    <w:p>
      <w:pPr>
        <w:spacing w:after="0" w:line="172" w:lineRule="exact"/>
        <w:rPr>
          <w:rFonts w:ascii="Arial" w:cs="Arial" w:eastAsia="Arial" w:hAnsi="Arial"/>
          <w:sz w:val="17"/>
          <w:szCs w:val="17"/>
          <w:color w:val="auto"/>
        </w:rPr>
      </w:pPr>
    </w:p>
    <w:p>
      <w:pPr>
        <w:ind w:left="2364" w:hanging="381"/>
        <w:spacing w:after="0"/>
        <w:tabs>
          <w:tab w:leader="none" w:pos="236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merger, reorganization or consolidation in which</w:t>
      </w:r>
    </w:p>
    <w:p>
      <w:pPr>
        <w:spacing w:after="0" w:line="130" w:lineRule="exact"/>
        <w:rPr>
          <w:rFonts w:ascii="Arial" w:cs="Arial" w:eastAsia="Arial" w:hAnsi="Arial"/>
          <w:sz w:val="18"/>
          <w:szCs w:val="18"/>
          <w:color w:val="auto"/>
        </w:rPr>
      </w:pPr>
    </w:p>
    <w:p>
      <w:pPr>
        <w:ind w:left="3404" w:hanging="542"/>
        <w:spacing w:after="0"/>
        <w:tabs>
          <w:tab w:leader="none" w:pos="3404"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4" w:right="20" w:hanging="542"/>
        <w:spacing w:after="0" w:line="277" w:lineRule="auto"/>
        <w:tabs>
          <w:tab w:leader="none" w:pos="3404"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reorganization or consolidation,</w:t>
      </w:r>
    </w:p>
    <w:p>
      <w:pPr>
        <w:spacing w:after="0" w:line="170"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except any such merger, reorganization or consolidation involving the Corporation or a subsidiary in which the shares of capital stock of the Corporation outstanding immediately prior to such merger, reorganization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a merger, reorganization or consolidation, the parent corporation of such surviving or resulting corporation;</w:t>
      </w:r>
    </w:p>
    <w:p>
      <w:pPr>
        <w:spacing w:after="0" w:line="176" w:lineRule="exact"/>
        <w:rPr>
          <w:sz w:val="20"/>
          <w:szCs w:val="20"/>
          <w:color w:val="auto"/>
        </w:rPr>
      </w:pPr>
    </w:p>
    <w:p>
      <w:pPr>
        <w:ind w:left="4" w:right="40" w:firstLine="1979"/>
        <w:spacing w:after="0" w:line="255" w:lineRule="auto"/>
        <w:tabs>
          <w:tab w:leader="none" w:pos="237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(1) the sale, exclusive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(1)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92" w:lineRule="exact"/>
        <w:rPr>
          <w:rFonts w:ascii="Arial" w:cs="Arial" w:eastAsia="Arial" w:hAnsi="Arial"/>
          <w:sz w:val="18"/>
          <w:szCs w:val="18"/>
          <w:color w:val="auto"/>
        </w:rPr>
      </w:pPr>
    </w:p>
    <w:p>
      <w:pPr>
        <w:jc w:val="both"/>
        <w:ind w:left="4" w:right="60" w:firstLine="1979"/>
        <w:spacing w:after="0" w:line="311" w:lineRule="auto"/>
        <w:tabs>
          <w:tab w:leader="none" w:pos="236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Corporation’s completion of (1) a reverse merger into a public shell, or (2) a merger or consolidation with a special purpose acquisition company or its subsidiary in which the common stock (or similar securities) of the surviving or parent entity are publicly traded in a public offering pursuant to an effective registration statement under the 1933 Securities Act, as amended (a “</w:t>
      </w:r>
      <w:r>
        <w:rPr>
          <w:rFonts w:ascii="Arial" w:cs="Arial" w:eastAsia="Arial" w:hAnsi="Arial"/>
          <w:sz w:val="16"/>
          <w:szCs w:val="16"/>
          <w:b w:val="1"/>
          <w:bCs w:val="1"/>
          <w:color w:val="auto"/>
        </w:rPr>
        <w:t>SPAC Transaction</w:t>
      </w:r>
      <w:r>
        <w:rPr>
          <w:rFonts w:ascii="Arial" w:cs="Arial" w:eastAsia="Arial" w:hAnsi="Arial"/>
          <w:sz w:val="16"/>
          <w:szCs w:val="16"/>
          <w:color w:val="auto"/>
        </w:rPr>
        <w: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7" w:name="page368"/>
    <w:bookmarkEnd w:id="367"/>
    <w:p>
      <w:pPr>
        <w:ind w:left="1980"/>
        <w:spacing w:after="0"/>
        <w:tabs>
          <w:tab w:leader="none" w:pos="2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225" w:lineRule="exact"/>
        <w:rPr>
          <w:sz w:val="20"/>
          <w:szCs w:val="20"/>
          <w:color w:val="auto"/>
        </w:rPr>
      </w:pPr>
    </w:p>
    <w:p>
      <w:pPr>
        <w:ind w:right="40" w:firstLine="1979"/>
        <w:spacing w:after="0" w:line="259" w:lineRule="auto"/>
        <w:tabs>
          <w:tab w:leader="none" w:pos="236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Section 2.4.1(a)(i)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allocated to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1979"/>
        <w:spacing w:after="0" w:line="267" w:lineRule="auto"/>
        <w:tabs>
          <w:tab w:leader="none" w:pos="237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In the event of a Deemed Liquidation Event referred to in </w:t>
      </w:r>
      <w:r>
        <w:rPr>
          <w:rFonts w:ascii="Arial" w:cs="Arial" w:eastAsia="Arial" w:hAnsi="Arial"/>
          <w:sz w:val="17"/>
          <w:szCs w:val="17"/>
          <w:u w:val="single" w:color="auto"/>
          <w:color w:val="auto"/>
        </w:rPr>
        <w:t>Section 2.4.1(a)(ii)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2.4.1(b)</w:t>
      </w:r>
      <w:r>
        <w:rPr>
          <w:rFonts w:ascii="Arial" w:cs="Arial" w:eastAsia="Arial" w:hAnsi="Arial"/>
          <w:sz w:val="17"/>
          <w:szCs w:val="17"/>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 all to the extent permitted by Delaware law governing distributions to stockholders (the “</w:t>
      </w:r>
      <w:r>
        <w:rPr>
          <w:rFonts w:ascii="Arial" w:cs="Arial" w:eastAsia="Arial" w:hAnsi="Arial"/>
          <w:sz w:val="17"/>
          <w:szCs w:val="17"/>
          <w:b w:val="1"/>
          <w:bCs w:val="1"/>
          <w:color w:val="auto"/>
        </w:rPr>
        <w:t>Available Proceeds</w:t>
      </w:r>
      <w:r>
        <w:rPr>
          <w:rFonts w:ascii="Arial" w:cs="Arial" w:eastAsia="Arial" w:hAnsi="Arial"/>
          <w:sz w:val="17"/>
          <w:szCs w:val="17"/>
          <w:color w:val="auto"/>
        </w:rPr>
        <w:t xml:space="preserve">”), on the one hundred fiftieth (150th)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 Prior to the distribution or redemption provided for in this </w:t>
      </w:r>
      <w:r>
        <w:rPr>
          <w:rFonts w:ascii="Arial" w:cs="Arial" w:eastAsia="Arial" w:hAnsi="Arial"/>
          <w:sz w:val="17"/>
          <w:szCs w:val="17"/>
          <w:u w:val="single" w:color="auto"/>
          <w:color w:val="auto"/>
        </w:rPr>
        <w:t>Section 2.4.2(b)</w:t>
      </w:r>
      <w:r>
        <w:rPr>
          <w:rFonts w:ascii="Arial" w:cs="Arial" w:eastAsia="Arial" w:hAnsi="Arial"/>
          <w:sz w:val="17"/>
          <w:szCs w:val="17"/>
          <w:color w:val="auto"/>
        </w:rPr>
        <w:t>. the Corporation shall not expend or dissipate the consideration received for such Deemed Liquidation Event, except to discharge expenses incurred in connection with such Deemed Liquidation Event.</w:t>
      </w:r>
    </w:p>
    <w:p>
      <w:pPr>
        <w:spacing w:after="0" w:line="191" w:lineRule="exact"/>
        <w:rPr>
          <w:sz w:val="20"/>
          <w:szCs w:val="20"/>
          <w:color w:val="auto"/>
        </w:rPr>
      </w:pPr>
    </w:p>
    <w:p>
      <w:pPr>
        <w:jc w:val="both"/>
        <w:ind w:right="140" w:firstLine="1983"/>
        <w:spacing w:after="0" w:line="301"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of the Corporation, including the approval of at least two (2) Preferred Director.</w:t>
      </w:r>
    </w:p>
    <w:p>
      <w:pPr>
        <w:spacing w:after="0" w:line="157" w:lineRule="exact"/>
        <w:rPr>
          <w:sz w:val="20"/>
          <w:szCs w:val="20"/>
          <w:color w:val="auto"/>
        </w:rPr>
      </w:pPr>
    </w:p>
    <w:p>
      <w:pPr>
        <w:ind w:right="20" w:firstLine="1983"/>
        <w:spacing w:after="0" w:line="273" w:lineRule="auto"/>
        <w:rPr>
          <w:sz w:val="20"/>
          <w:szCs w:val="20"/>
          <w:color w:val="auto"/>
        </w:rPr>
      </w:pPr>
      <w:r>
        <w:rPr>
          <w:rFonts w:ascii="Arial" w:cs="Arial" w:eastAsia="Arial" w:hAnsi="Arial"/>
          <w:sz w:val="17"/>
          <w:szCs w:val="17"/>
          <w:color w:val="auto"/>
        </w:rPr>
        <w:t xml:space="preserve">2.4.4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Section 2.4.1(a)(i)</w:t>
      </w:r>
      <w:r>
        <w:rPr>
          <w:rFonts w:ascii="Arial" w:cs="Arial" w:eastAsia="Arial" w:hAnsi="Arial"/>
          <w:sz w:val="17"/>
          <w:szCs w:val="17"/>
          <w:color w:val="auto"/>
        </w:rPr>
        <w:t>. if any portion of the consideration payable to the stockholders of the Corporation is payable only upon satisfaction of contingencies (the “</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(a) the portion of such consideration that is not Additional Consideration (such portion, the “</w:t>
      </w:r>
      <w:r>
        <w:rPr>
          <w:rFonts w:ascii="Arial" w:cs="Arial" w:eastAsia="Arial" w:hAnsi="Arial"/>
          <w:sz w:val="17"/>
          <w:szCs w:val="17"/>
          <w:b w:val="1"/>
          <w:bCs w:val="1"/>
          <w:color w:val="auto"/>
        </w:rPr>
        <w:t>Initial Consideration</w:t>
      </w:r>
      <w:r>
        <w:rPr>
          <w:rFonts w:ascii="Arial" w:cs="Arial" w:eastAsia="Arial" w:hAnsi="Arial"/>
          <w:sz w:val="17"/>
          <w:szCs w:val="17"/>
          <w:color w:val="auto"/>
        </w:rPr>
        <w:t xml:space="preserve">”) shall be allocated among the holders of capital stock of the Corporation in accordance with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as if the Initial Consideration were the only consideration payable in connection with such Deemed Liquidation Event; and (b) any Additional Consideration which becomes payable to the stockholders of the Corporation upon satisfaction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68" w:name="page369"/>
    <w:bookmarkEnd w:id="36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contingencies shall be allocated among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after taking into account the previous payment of the Initial Consideration as part of the same transaction. For the purposes of this </w:t>
      </w:r>
      <w:r>
        <w:rPr>
          <w:rFonts w:ascii="Arial" w:cs="Arial" w:eastAsia="Arial" w:hAnsi="Arial"/>
          <w:sz w:val="18"/>
          <w:szCs w:val="18"/>
          <w:u w:val="single" w:color="auto"/>
          <w:color w:val="auto"/>
        </w:rPr>
        <w:t>Section 2.4.4</w:t>
      </w:r>
      <w:r>
        <w:rPr>
          <w:rFonts w:ascii="Arial" w:cs="Arial" w:eastAsia="Arial" w:hAnsi="Arial"/>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87" w:lineRule="exact"/>
        <w:rPr>
          <w:sz w:val="20"/>
          <w:szCs w:val="20"/>
          <w:color w:val="auto"/>
        </w:rPr>
      </w:pPr>
    </w:p>
    <w:p>
      <w:pPr>
        <w:ind w:left="1400" w:hanging="413"/>
        <w:spacing w:after="0"/>
        <w:tabs>
          <w:tab w:leader="none" w:pos="14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 entitled to vote on such matter. Except as provided by law or by the other provisions of this Certificate of Incorporation, holder of Preferred Stock shall vote together with the holders of Common Stock as a single class and on an as-converted to Common Stock basis.</w:t>
      </w:r>
    </w:p>
    <w:p>
      <w:pPr>
        <w:spacing w:after="0" w:line="192"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w:t>
      </w:r>
      <w:r>
        <w:rPr>
          <w:rFonts w:ascii="Arial" w:cs="Arial" w:eastAsia="Arial" w:hAnsi="Arial"/>
          <w:sz w:val="16"/>
          <w:szCs w:val="16"/>
          <w:color w:val="auto"/>
        </w:rPr>
        <w:t>. The holders of record of the shares of Series A Preferred Stock, exclusively and as a separate class, shall be entitled to elect three (3) director of the Corporation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the holder of record of the shares of Common Stock, exclusively and as a separate class, shall be entitled to elect one (1) director of the Corporation; and the holder of record of the shares of Preferred Stock Mid Common Stock, voting together as a single class, shall be entitled to elect two (2) director of the Corporation. Any director elected as provided in the preceding sentence may be removed without cause by, and only by, the affirmative vote of the holders of the shares of the class or series of capital stock entitled to elect such director or director, given either at a special meeting of such stockholder duly called for that purpose or pursuant to a written consent of stockholders. If the holder of shares of Preferred Stock or Common Stock, as the case may be, fail to elect a sufficient number of director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 of the Corporation other than by the stockholder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 vacancy in any directorship filled by the holder of any class or classes or series shall be filled only by vote or written consent in lieu of a meeting of the holders of such class or classes or series or by any remaining director or director elected by the holders of such class or classes or series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 rights of the holders of the Preferred Stock and the rights of the holder of the Common Stock under the first sentence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terminate on the first date following the date the first share of Series B Preferred Stock was issued (the “</w:t>
      </w:r>
      <w:r>
        <w:rPr>
          <w:rFonts w:ascii="Arial" w:cs="Arial" w:eastAsia="Arial" w:hAnsi="Arial"/>
          <w:sz w:val="16"/>
          <w:szCs w:val="16"/>
          <w:b w:val="1"/>
          <w:bCs w:val="1"/>
          <w:color w:val="auto"/>
        </w:rPr>
        <w:t>Series B Original Issue Date</w:t>
      </w:r>
      <w:r>
        <w:rPr>
          <w:rFonts w:ascii="Arial" w:cs="Arial" w:eastAsia="Arial" w:hAnsi="Arial"/>
          <w:sz w:val="16"/>
          <w:szCs w:val="16"/>
          <w:color w:val="auto"/>
        </w:rPr>
        <w:t>”) on which there are no issued and outstanding shares of Preferred Stock.</w:t>
      </w:r>
    </w:p>
    <w:p>
      <w:pPr>
        <w:spacing w:after="0" w:line="385" w:lineRule="exact"/>
        <w:rPr>
          <w:sz w:val="20"/>
          <w:szCs w:val="20"/>
          <w:color w:val="auto"/>
        </w:rPr>
      </w:pPr>
    </w:p>
    <w:p>
      <w:pPr>
        <w:ind w:right="100" w:firstLine="1432"/>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For so long as any shares of Preferred Stock are outstanding, the Corporation shall not, either directly or indirectly by amendment, merger, consolidation, recapitalization, reclassification,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69" w:name="page370"/>
    <w:bookmarkEnd w:id="369"/>
    <w:p>
      <w:pPr>
        <w:ind w:right="34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3.3.1 liquidate, dissolve or wind-up the business and affairs of the Corporation, effect any merger, change of control or consolidation or any other Deemed Liquidation Event, or consent to any of the foregoing;</w:t>
      </w:r>
    </w:p>
    <w:p>
      <w:pPr>
        <w:spacing w:after="0" w:line="170" w:lineRule="exact"/>
        <w:rPr>
          <w:sz w:val="20"/>
          <w:szCs w:val="20"/>
          <w:color w:val="auto"/>
        </w:rPr>
      </w:pPr>
    </w:p>
    <w:p>
      <w:pPr>
        <w:ind w:right="400" w:firstLine="1983"/>
        <w:spacing w:after="0" w:line="277" w:lineRule="auto"/>
        <w:rPr>
          <w:sz w:val="20"/>
          <w:szCs w:val="20"/>
          <w:color w:val="auto"/>
        </w:rPr>
      </w:pPr>
      <w:r>
        <w:rPr>
          <w:rFonts w:ascii="Arial" w:cs="Arial" w:eastAsia="Arial" w:hAnsi="Arial"/>
          <w:sz w:val="18"/>
          <w:szCs w:val="18"/>
          <w:color w:val="auto"/>
        </w:rPr>
        <w:t>3.3.2 amend, alter or repeal any provision of this Amended and Restated Certificate of Incorporation or Bylaws of the Corporation relative to the Preferred Stock;</w:t>
      </w:r>
    </w:p>
    <w:p>
      <w:pPr>
        <w:spacing w:after="0" w:line="170" w:lineRule="exact"/>
        <w:rPr>
          <w:sz w:val="20"/>
          <w:szCs w:val="20"/>
          <w:color w:val="auto"/>
        </w:rPr>
      </w:pPr>
    </w:p>
    <w:p>
      <w:pPr>
        <w:jc w:val="both"/>
        <w:ind w:right="660" w:firstLine="1983"/>
        <w:spacing w:after="0" w:line="311" w:lineRule="auto"/>
        <w:rPr>
          <w:sz w:val="20"/>
          <w:szCs w:val="20"/>
          <w:color w:val="auto"/>
        </w:rPr>
      </w:pPr>
      <w:r>
        <w:rPr>
          <w:rFonts w:ascii="Arial" w:cs="Arial" w:eastAsia="Arial" w:hAnsi="Arial"/>
          <w:sz w:val="16"/>
          <w:szCs w:val="16"/>
          <w:color w:val="auto"/>
        </w:rPr>
        <w:t>3.3.3 create, or authorize the creation of, or issue or obligate itself to issue shares of, any series of Preferred Stock, Common Stock or any additional class or series of capital stock, or increase the authorized number of shares of any series of Preferred Stock or Common Stock or increase the authorized number of shares of any additional class or series of capital stock of the Corporation;</w:t>
      </w:r>
    </w:p>
    <w:p>
      <w:pPr>
        <w:spacing w:after="0" w:line="149"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color w:val="auto"/>
        </w:rPr>
        <w:t xml:space="preserve">3.3.4 (i) reclassify, alter or amend any existing security of the Corporation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class or series of Preferred Stock in respect of the distribution of assets on the liquidation, dissolution or winding up of the Corporation, the payment of dividends or rights of redemption, if such reclassification, alteration or amendment would render such other security senior to any class or series of Preferred Stock in respect of any such right, preference, or privilege or (ii) reclassify, alter or amend any existing security of the Corporation that is junior to any class or series of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class or series of Preferred Stock in respect of any such right, preference or privilege;</w:t>
      </w:r>
    </w:p>
    <w:p>
      <w:pPr>
        <w:spacing w:after="0" w:line="177" w:lineRule="exact"/>
        <w:rPr>
          <w:sz w:val="20"/>
          <w:szCs w:val="20"/>
          <w:color w:val="auto"/>
        </w:rPr>
      </w:pPr>
    </w:p>
    <w:p>
      <w:pPr>
        <w:ind w:right="20" w:firstLine="1983"/>
        <w:spacing w:after="0" w:line="254"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 consultants or other persons who performed services for the Corporation or any subsidiary in connection with the cessation of such employment or service at no greater than the lower of the original purchase price or the then-current fair market value thereof or (iv) as approved by the Board of Director, including the approval of at least two (2) Preferred Directors (a “Requisite Board Vote”).</w:t>
      </w:r>
    </w:p>
    <w:p>
      <w:pPr>
        <w:spacing w:after="0" w:line="195"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3.3.6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$250,000;</w:t>
      </w:r>
    </w:p>
    <w:p>
      <w:pPr>
        <w:spacing w:after="0" w:line="192" w:lineRule="exact"/>
        <w:rPr>
          <w:sz w:val="20"/>
          <w:szCs w:val="20"/>
          <w:color w:val="auto"/>
        </w:rPr>
      </w:pPr>
    </w:p>
    <w:p>
      <w:pPr>
        <w:ind w:right="60" w:firstLine="1983"/>
        <w:spacing w:after="0" w:line="257" w:lineRule="auto"/>
        <w:rPr>
          <w:sz w:val="20"/>
          <w:szCs w:val="20"/>
          <w:color w:val="auto"/>
        </w:rPr>
      </w:pPr>
      <w:r>
        <w:rPr>
          <w:rFonts w:ascii="Arial" w:cs="Arial" w:eastAsia="Arial" w:hAnsi="Arial"/>
          <w:sz w:val="18"/>
          <w:szCs w:val="18"/>
          <w:color w:val="auto"/>
        </w:rPr>
        <w:t>3.3.7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70" w:name="page371"/>
    <w:bookmarkEnd w:id="370"/>
    <w:p>
      <w:pPr>
        <w:ind w:left="1980"/>
        <w:spacing w:after="0"/>
        <w:tabs>
          <w:tab w:leader="none" w:pos="2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3.3.8</w:t>
      </w:r>
      <w:r>
        <w:rPr>
          <w:sz w:val="20"/>
          <w:szCs w:val="20"/>
          <w:color w:val="auto"/>
        </w:rPr>
        <w:tab/>
      </w:r>
      <w:r>
        <w:rPr>
          <w:rFonts w:ascii="Arial" w:cs="Arial" w:eastAsia="Arial" w:hAnsi="Arial"/>
          <w:sz w:val="16"/>
          <w:szCs w:val="16"/>
          <w:color w:val="auto"/>
        </w:rPr>
        <w:t>unless otherwise approved by a Requisite Board Vote, make any changes to the senior management or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team of the Corporation;</w:t>
      </w:r>
    </w:p>
    <w:p>
      <w:pPr>
        <w:spacing w:after="0" w:line="21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6"/>
          <w:szCs w:val="16"/>
          <w:color w:val="auto"/>
        </w:rPr>
        <w:t>increase or decrease the authorized number of, or method of selecting, director constituting the Board of Director;</w:t>
      </w:r>
    </w:p>
    <w:p>
      <w:pPr>
        <w:spacing w:after="0" w:line="225" w:lineRule="exact"/>
        <w:rPr>
          <w:sz w:val="20"/>
          <w:szCs w:val="20"/>
          <w:color w:val="auto"/>
        </w:rPr>
      </w:pPr>
    </w:p>
    <w:p>
      <w:pPr>
        <w:ind w:right="240" w:firstLine="1983"/>
        <w:spacing w:after="0" w:line="263" w:lineRule="auto"/>
        <w:rPr>
          <w:sz w:val="20"/>
          <w:szCs w:val="20"/>
          <w:color w:val="auto"/>
        </w:rPr>
      </w:pPr>
      <w:r>
        <w:rPr>
          <w:rFonts w:ascii="Arial" w:cs="Arial" w:eastAsia="Arial" w:hAnsi="Arial"/>
          <w:sz w:val="18"/>
          <w:szCs w:val="18"/>
          <w:color w:val="auto"/>
        </w:rPr>
        <w:t>3.3.10 create, adopt, amend, restate, terminate or repeal any equity (or equity-linked) incentive plan or, unless otherwise approved by a Requisite Board Vote, amend or waive any of the terms of any option or other grant pursuant to any such equity (or equity-linked) incentive plan;</w:t>
      </w:r>
    </w:p>
    <w:p>
      <w:pPr>
        <w:spacing w:after="0" w:line="184"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3.3.11 consummate any financing, fundraise or corporate partnership (inclusive of equity, bridge notes, warrants and other financing vehicles or structures, including corporate partnerships for the purpose of researching, developing or commercializing any of the Corporation’s products);</w:t>
      </w:r>
    </w:p>
    <w:p>
      <w:pPr>
        <w:spacing w:after="0" w:line="184"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6"/>
          <w:szCs w:val="16"/>
          <w:color w:val="auto"/>
        </w:rPr>
        <w:t>unless otherwise approved by a Requisite Board Vote, approve any operating budget or any amendment and/or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alteration to the same;</w:t>
      </w:r>
    </w:p>
    <w:p>
      <w:pPr>
        <w:spacing w:after="0" w:line="211" w:lineRule="exact"/>
        <w:rPr>
          <w:sz w:val="20"/>
          <w:szCs w:val="20"/>
          <w:color w:val="auto"/>
        </w:rPr>
      </w:pPr>
    </w:p>
    <w:p>
      <w:pPr>
        <w:ind w:right="540" w:firstLine="1983"/>
        <w:spacing w:after="0" w:line="342" w:lineRule="auto"/>
        <w:rPr>
          <w:sz w:val="20"/>
          <w:szCs w:val="20"/>
          <w:color w:val="auto"/>
        </w:rPr>
      </w:pPr>
      <w:r>
        <w:rPr>
          <w:rFonts w:ascii="Arial" w:cs="Arial" w:eastAsia="Arial" w:hAnsi="Arial"/>
          <w:sz w:val="16"/>
          <w:szCs w:val="16"/>
          <w:color w:val="auto"/>
        </w:rPr>
        <w:t>3.3.13 unless otherwise approved by a Requisite Board Vote, consummate any transaction related to the acquisition, transfer, or disposition of the Corporation’s assets or intellectual property outside of the Corporation’s ordinary course of business;</w:t>
      </w:r>
    </w:p>
    <w:p>
      <w:pPr>
        <w:spacing w:after="0" w:line="124"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3.3.14</w:t>
      </w:r>
      <w:r>
        <w:rPr>
          <w:sz w:val="20"/>
          <w:szCs w:val="20"/>
          <w:color w:val="auto"/>
        </w:rPr>
        <w:tab/>
      </w:r>
      <w:r>
        <w:rPr>
          <w:rFonts w:ascii="Arial" w:cs="Arial" w:eastAsia="Arial" w:hAnsi="Arial"/>
          <w:sz w:val="16"/>
          <w:szCs w:val="16"/>
          <w:color w:val="auto"/>
        </w:rPr>
        <w:t>enter into any interested party transaction, unless approved by the Board of Director (including a majority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disinterested directors);</w:t>
      </w:r>
    </w:p>
    <w:p>
      <w:pPr>
        <w:spacing w:after="0" w:line="211" w:lineRule="exact"/>
        <w:rPr>
          <w:sz w:val="20"/>
          <w:szCs w:val="20"/>
          <w:color w:val="auto"/>
        </w:rPr>
      </w:pPr>
    </w:p>
    <w:p>
      <w:pPr>
        <w:ind w:right="20" w:firstLine="1983"/>
        <w:spacing w:after="0" w:line="263" w:lineRule="auto"/>
        <w:rPr>
          <w:sz w:val="20"/>
          <w:szCs w:val="20"/>
          <w:color w:val="auto"/>
        </w:rPr>
      </w:pPr>
      <w:r>
        <w:rPr>
          <w:rFonts w:ascii="Arial" w:cs="Arial" w:eastAsia="Arial" w:hAnsi="Arial"/>
          <w:sz w:val="18"/>
          <w:szCs w:val="18"/>
          <w:color w:val="auto"/>
        </w:rPr>
        <w:t>3.3.15 loan or advance, or enter into any agreement contemplating any loan or advance, to any person or entity, including but not limited to the Corporation’s employees, consultants or directors, except advances (a) in the ordinary course of the business or (b) under the terms of an equity incentive plan, duly authorized and approved by a Requisite Board Vote;</w:t>
      </w:r>
    </w:p>
    <w:p>
      <w:pPr>
        <w:spacing w:after="0" w:line="184"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3.3.16</w:t>
      </w:r>
      <w:r>
        <w:rPr>
          <w:sz w:val="20"/>
          <w:szCs w:val="20"/>
          <w:color w:val="auto"/>
        </w:rPr>
        <w:tab/>
      </w:r>
      <w:r>
        <w:rPr>
          <w:rFonts w:ascii="Arial" w:cs="Arial" w:eastAsia="Arial" w:hAnsi="Arial"/>
          <w:sz w:val="16"/>
          <w:szCs w:val="16"/>
          <w:color w:val="auto"/>
        </w:rPr>
        <w:t>change the type of legal entity or tax status of the Corporation; or</w:t>
      </w:r>
    </w:p>
    <w:p>
      <w:pPr>
        <w:spacing w:after="0" w:line="225"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3.3.17</w:t>
      </w:r>
      <w:r>
        <w:rPr>
          <w:sz w:val="20"/>
          <w:szCs w:val="20"/>
          <w:color w:val="auto"/>
        </w:rPr>
        <w:tab/>
      </w:r>
      <w:r>
        <w:rPr>
          <w:rFonts w:ascii="Arial" w:cs="Arial" w:eastAsia="Arial" w:hAnsi="Arial"/>
          <w:sz w:val="16"/>
          <w:szCs w:val="16"/>
          <w:color w:val="auto"/>
        </w:rPr>
        <w:t>cause any subsidiary of the Corporation to do or take any of the actions listed above.</w:t>
      </w:r>
    </w:p>
    <w:p>
      <w:pPr>
        <w:spacing w:after="0" w:line="225" w:lineRule="exact"/>
        <w:rPr>
          <w:sz w:val="20"/>
          <w:szCs w:val="20"/>
          <w:color w:val="auto"/>
        </w:rPr>
      </w:pPr>
    </w:p>
    <w:p>
      <w:pPr>
        <w:ind w:right="20" w:firstLine="1432"/>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Series B Preferred Stock Protective Provisions</w:t>
      </w:r>
      <w:r>
        <w:rPr>
          <w:rFonts w:ascii="Arial" w:cs="Arial" w:eastAsia="Arial" w:hAnsi="Arial"/>
          <w:sz w:val="17"/>
          <w:szCs w:val="17"/>
          <w:color w:val="auto"/>
        </w:rPr>
        <w:t>. At any time when any shares of Series B Preferred Stock are outstanding, the Corporation shall not, either directly or indirectly by amendment, merger, consolidation or otherwise, do any of the following without (in addition to any other vote required by law or the Amended and Restated Certificate of Incorporation) the written consent or affirmative vote of the Series B Majority given in writing or by vote at a meeting, consenting or voting (as the case may be) separately as a class, and any such act or transaction entered into without such consent or vote shall be null and void ab initio, and of no force or effect.</w:t>
      </w:r>
    </w:p>
    <w:p>
      <w:pPr>
        <w:spacing w:after="0" w:line="176" w:lineRule="exact"/>
        <w:rPr>
          <w:sz w:val="20"/>
          <w:szCs w:val="20"/>
          <w:color w:val="auto"/>
        </w:rPr>
      </w:pPr>
    </w:p>
    <w:p>
      <w:pPr>
        <w:ind w:right="140" w:firstLine="1983"/>
        <w:spacing w:after="0" w:line="277" w:lineRule="auto"/>
        <w:rPr>
          <w:sz w:val="20"/>
          <w:szCs w:val="20"/>
          <w:color w:val="auto"/>
        </w:rPr>
      </w:pPr>
      <w:r>
        <w:rPr>
          <w:rFonts w:ascii="Arial" w:cs="Arial" w:eastAsia="Arial" w:hAnsi="Arial"/>
          <w:sz w:val="18"/>
          <w:szCs w:val="18"/>
          <w:color w:val="auto"/>
        </w:rPr>
        <w:t>3.4.1 amend, alter or repeal this Amended and Restated Certificate of Incorporation or the Bylaws of the Corporation in a manner that adversely affects the rights, privileges or preferences of the Series B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71" w:name="page372"/>
    <w:bookmarkEnd w:id="371"/>
    <w:p>
      <w:pPr>
        <w:ind w:left="1980"/>
        <w:spacing w:after="0"/>
        <w:tabs>
          <w:tab w:leader="none" w:pos="2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3.4.2</w:t>
      </w:r>
      <w:r>
        <w:rPr>
          <w:sz w:val="20"/>
          <w:szCs w:val="20"/>
          <w:color w:val="auto"/>
        </w:rPr>
        <w:tab/>
      </w:r>
      <w:r>
        <w:rPr>
          <w:rFonts w:ascii="Arial" w:cs="Arial" w:eastAsia="Arial" w:hAnsi="Arial"/>
          <w:sz w:val="15"/>
          <w:szCs w:val="15"/>
          <w:color w:val="auto"/>
        </w:rPr>
        <w:t>increase or decrease the number of authorized shares of Series B Preferred Stock;</w:t>
      </w:r>
    </w:p>
    <w:p>
      <w:pPr>
        <w:spacing w:after="0" w:line="225" w:lineRule="exact"/>
        <w:rPr>
          <w:sz w:val="20"/>
          <w:szCs w:val="20"/>
          <w:color w:val="auto"/>
        </w:rPr>
      </w:pPr>
    </w:p>
    <w:p>
      <w:pPr>
        <w:ind w:right="40" w:firstLine="1983"/>
        <w:spacing w:after="0" w:line="263" w:lineRule="auto"/>
        <w:rPr>
          <w:sz w:val="20"/>
          <w:szCs w:val="20"/>
          <w:color w:val="auto"/>
        </w:rPr>
      </w:pPr>
      <w:r>
        <w:rPr>
          <w:rFonts w:ascii="Arial" w:cs="Arial" w:eastAsia="Arial" w:hAnsi="Arial"/>
          <w:sz w:val="18"/>
          <w:szCs w:val="18"/>
          <w:color w:val="auto"/>
        </w:rPr>
        <w:t>3.4.3 create, or authorize the creation of, or issue or obligate itself to issue shares of any additional class or series of capital stock if the same is senior to the Series B Preferred Stock in respect of the distribution of assets on the liquidation, dissolution or winding up of the Corporation, the payment of dividends or rights of redemption, the rights on conversion or voting;</w:t>
      </w:r>
    </w:p>
    <w:p>
      <w:pPr>
        <w:spacing w:after="0" w:line="184" w:lineRule="exact"/>
        <w:rPr>
          <w:sz w:val="20"/>
          <w:szCs w:val="20"/>
          <w:color w:val="auto"/>
        </w:rPr>
      </w:pPr>
    </w:p>
    <w:p>
      <w:pPr>
        <w:ind w:right="120" w:firstLine="1983"/>
        <w:spacing w:after="0" w:line="277" w:lineRule="auto"/>
        <w:rPr>
          <w:sz w:val="20"/>
          <w:szCs w:val="20"/>
          <w:color w:val="auto"/>
        </w:rPr>
      </w:pPr>
      <w:r>
        <w:rPr>
          <w:rFonts w:ascii="Arial" w:cs="Arial" w:eastAsia="Arial" w:hAnsi="Arial"/>
          <w:sz w:val="18"/>
          <w:szCs w:val="18"/>
          <w:color w:val="auto"/>
        </w:rPr>
        <w:t>3.4.4 consummate any Deemed Liquidation Event unless the Initial Consideration paid for the Series B Preferred Stock at the initial closing of such transaction is at least $3.44098 per share; or</w:t>
      </w:r>
    </w:p>
    <w:p>
      <w:pPr>
        <w:spacing w:after="0" w:line="170"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color w:val="auto"/>
        </w:rPr>
        <w:t>cause any subsidiary of the Corporation to do or take any of the actions listed above.</w:t>
      </w:r>
    </w:p>
    <w:p>
      <w:pPr>
        <w:spacing w:after="0" w:line="221" w:lineRule="exact"/>
        <w:rPr>
          <w:sz w:val="20"/>
          <w:szCs w:val="20"/>
          <w:color w:val="auto"/>
        </w:rPr>
      </w:pPr>
    </w:p>
    <w:p>
      <w:pPr>
        <w:ind w:left="1420" w:right="620" w:hanging="433"/>
        <w:spacing w:after="0" w:line="503" w:lineRule="auto"/>
        <w:tabs>
          <w:tab w:leader="none" w:pos="1384"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 xml:space="preserve">”): 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ind w:firstLine="1983"/>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applicable “</w:t>
      </w:r>
      <w:r>
        <w:rPr>
          <w:rFonts w:ascii="Arial" w:cs="Arial" w:eastAsia="Arial" w:hAnsi="Arial"/>
          <w:sz w:val="17"/>
          <w:szCs w:val="17"/>
          <w:b w:val="1"/>
          <w:bCs w:val="1"/>
          <w:color w:val="auto"/>
        </w:rPr>
        <w:t>Conversion Price</w:t>
      </w:r>
      <w:r>
        <w:rPr>
          <w:rFonts w:ascii="Arial" w:cs="Arial" w:eastAsia="Arial" w:hAnsi="Arial"/>
          <w:sz w:val="17"/>
          <w:szCs w:val="17"/>
          <w:color w:val="auto"/>
        </w:rPr>
        <w:t>” shall initially be equal to (i) $1.00 for the Series A Preferred Stock and (ii) $1.72049 for the Series B Preferred Stock. Such initial applicable Conversion Price, and the rate at which shares of a series of Preferred Stock may be converted into shares of Common Stock, shall be subject to adjustment as provided below.</w:t>
      </w:r>
    </w:p>
    <w:p>
      <w:pPr>
        <w:spacing w:after="0" w:line="178"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termination of Conversion Rights shall not affect the amount(s) otherwise paid or payable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to holders of Preferred Stock pursuant to such liquidation, dissolution or winding up of the Corporation or a Deemed Liquidation Event.</w:t>
      </w:r>
    </w:p>
    <w:p>
      <w:pPr>
        <w:spacing w:after="0" w:line="188" w:lineRule="exact"/>
        <w:rPr>
          <w:sz w:val="20"/>
          <w:szCs w:val="20"/>
          <w:color w:val="auto"/>
        </w:rPr>
      </w:pPr>
    </w:p>
    <w:p>
      <w:pPr>
        <w:jc w:val="both"/>
        <w:ind w:right="180" w:firstLine="1432"/>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 otherwise be entitled, the number of shares of Common Stock to be issued upon conversion of a series of Preferred Stock shall be rounded to the nearest whole share.</w:t>
      </w:r>
    </w:p>
    <w:p>
      <w:pPr>
        <w:spacing w:after="0" w:line="184"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5" w:lineRule="exact"/>
        <w:rPr>
          <w:sz w:val="20"/>
          <w:szCs w:val="20"/>
          <w:color w:val="auto"/>
        </w:rPr>
      </w:pPr>
    </w:p>
    <w:p>
      <w:pPr>
        <w:ind w:right="140" w:firstLine="1983"/>
        <w:spacing w:after="0" w:line="257"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72" w:name="page373"/>
    <w:bookmarkEnd w:id="372"/>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and (ii) pay all declared but unpaid dividends on the shares of Preferred Stock converted.</w:t>
      </w:r>
    </w:p>
    <w:p>
      <w:pPr>
        <w:spacing w:after="0" w:line="184" w:lineRule="exact"/>
        <w:rPr>
          <w:sz w:val="20"/>
          <w:szCs w:val="20"/>
          <w:color w:val="auto"/>
        </w:rPr>
      </w:pPr>
    </w:p>
    <w:p>
      <w:pPr>
        <w:ind w:firstLine="1983"/>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any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8" w:lineRule="exact"/>
        <w:rPr>
          <w:sz w:val="20"/>
          <w:szCs w:val="20"/>
          <w:color w:val="auto"/>
        </w:rPr>
      </w:pPr>
    </w:p>
    <w:p>
      <w:pPr>
        <w:ind w:right="80" w:firstLine="198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2" w:lineRule="exact"/>
        <w:rPr>
          <w:sz w:val="20"/>
          <w:szCs w:val="20"/>
          <w:color w:val="auto"/>
        </w:rPr>
      </w:pPr>
    </w:p>
    <w:p>
      <w:pPr>
        <w:ind w:right="140" w:firstLine="1983"/>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24" w:lineRule="exact"/>
        <w:rPr>
          <w:sz w:val="20"/>
          <w:szCs w:val="20"/>
          <w:color w:val="auto"/>
        </w:rPr>
      </w:pPr>
    </w:p>
    <w:p>
      <w:pPr>
        <w:jc w:val="both"/>
        <w:ind w:right="360" w:firstLine="1983"/>
        <w:spacing w:after="0" w:line="263"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3" w:name="page374"/>
    <w:bookmarkEnd w:id="373"/>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7" w:lineRule="exact"/>
        <w:rPr>
          <w:sz w:val="20"/>
          <w:szCs w:val="20"/>
          <w:color w:val="auto"/>
        </w:rPr>
      </w:pPr>
    </w:p>
    <w:p>
      <w:pPr>
        <w:ind w:left="1424"/>
        <w:spacing w:after="0"/>
        <w:tabs>
          <w:tab w:leader="none" w:pos="190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left="1984"/>
        <w:spacing w:after="0"/>
        <w:tabs>
          <w:tab w:leader="none" w:pos="2504"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4" w:right="60" w:firstLine="1979"/>
        <w:spacing w:after="0" w:line="293" w:lineRule="auto"/>
        <w:tabs>
          <w:tab w:leader="none" w:pos="2456"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below, deemed to be issued) by the Corporation after the Series B Original Issue Date, other than (1) the following shares of Common Stock and</w:t>
      </w:r>
    </w:p>
    <w:p>
      <w:pPr>
        <w:spacing w:after="0" w:line="1" w:lineRule="exact"/>
        <w:rPr>
          <w:rFonts w:ascii="Arial" w:cs="Arial" w:eastAsia="Arial" w:hAnsi="Arial"/>
          <w:sz w:val="16"/>
          <w:szCs w:val="16"/>
          <w:color w:val="auto"/>
        </w:rPr>
      </w:pPr>
    </w:p>
    <w:p>
      <w:pPr>
        <w:ind w:left="4" w:right="100" w:hanging="4"/>
        <w:spacing w:after="0" w:line="260" w:lineRule="auto"/>
        <w:tabs>
          <w:tab w:leader="none" w:pos="2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404" w:right="100" w:hanging="542"/>
        <w:spacing w:after="0" w:line="277" w:lineRule="auto"/>
        <w:tabs>
          <w:tab w:leader="none" w:pos="3404"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as to any series of Preferred Stock shares of Common Stock, Options or Convertible Securities issued as a dividend or distribution on such series of Preferred Stock;</w:t>
      </w:r>
    </w:p>
    <w:p>
      <w:pPr>
        <w:spacing w:after="0" w:line="75" w:lineRule="exact"/>
        <w:rPr>
          <w:rFonts w:ascii="Arial" w:cs="Arial" w:eastAsia="Arial" w:hAnsi="Arial"/>
          <w:sz w:val="18"/>
          <w:szCs w:val="18"/>
          <w:color w:val="auto"/>
        </w:rPr>
      </w:pPr>
    </w:p>
    <w:p>
      <w:pPr>
        <w:jc w:val="both"/>
        <w:ind w:left="3404" w:right="160" w:hanging="542"/>
        <w:spacing w:after="0" w:line="342" w:lineRule="auto"/>
        <w:tabs>
          <w:tab w:leader="none" w:pos="3404" w:val="left"/>
        </w:tabs>
        <w:numPr>
          <w:ilvl w:val="2"/>
          <w:numId w:val="245"/>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3404" w:hanging="542"/>
        <w:spacing w:after="0" w:line="263" w:lineRule="auto"/>
        <w:tabs>
          <w:tab w:leader="none" w:pos="3404" w:val="left"/>
        </w:tabs>
        <w:numPr>
          <w:ilvl w:val="2"/>
          <w:numId w:val="245"/>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a Requisite Board Vote;</w:t>
      </w:r>
    </w:p>
    <w:p>
      <w:pPr>
        <w:spacing w:after="0" w:line="89" w:lineRule="exact"/>
        <w:rPr>
          <w:rFonts w:ascii="Arial" w:cs="Arial" w:eastAsia="Arial" w:hAnsi="Arial"/>
          <w:sz w:val="18"/>
          <w:szCs w:val="18"/>
          <w:color w:val="auto"/>
        </w:rPr>
      </w:pPr>
    </w:p>
    <w:p>
      <w:pPr>
        <w:ind w:left="3404" w:right="40" w:hanging="542"/>
        <w:spacing w:after="0" w:line="311" w:lineRule="auto"/>
        <w:tabs>
          <w:tab w:leader="none" w:pos="3404" w:val="left"/>
        </w:tabs>
        <w:numPr>
          <w:ilvl w:val="2"/>
          <w:numId w:val="245"/>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54" w:lineRule="exact"/>
        <w:rPr>
          <w:rFonts w:ascii="Arial" w:cs="Arial" w:eastAsia="Arial" w:hAnsi="Arial"/>
          <w:sz w:val="16"/>
          <w:szCs w:val="16"/>
          <w:color w:val="auto"/>
        </w:rPr>
      </w:pPr>
    </w:p>
    <w:p>
      <w:pPr>
        <w:jc w:val="both"/>
        <w:ind w:left="3404" w:right="140" w:hanging="542"/>
        <w:spacing w:after="0" w:line="263" w:lineRule="auto"/>
        <w:tabs>
          <w:tab w:leader="none" w:pos="3404" w:val="left"/>
        </w:tabs>
        <w:numPr>
          <w:ilvl w:val="2"/>
          <w:numId w:val="245"/>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a Requisite Board Vote;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74" w:name="page375"/>
    <w:bookmarkEnd w:id="374"/>
    <w:p>
      <w:pPr>
        <w:ind w:left="3400" w:right="200" w:hanging="542"/>
        <w:spacing w:after="0" w:line="263" w:lineRule="auto"/>
        <w:tabs>
          <w:tab w:leader="none" w:pos="34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Options or Convertible Securities issued to suppliers or third party service providers in connection with the provision of goods or services pursuant to transactions approved by a Requisite Board Vote;</w:t>
      </w:r>
    </w:p>
    <w:p>
      <w:pPr>
        <w:spacing w:after="0" w:line="89" w:lineRule="exact"/>
        <w:rPr>
          <w:rFonts w:ascii="Arial" w:cs="Arial" w:eastAsia="Arial" w:hAnsi="Arial"/>
          <w:sz w:val="18"/>
          <w:szCs w:val="18"/>
          <w:color w:val="auto"/>
        </w:rPr>
      </w:pPr>
    </w:p>
    <w:p>
      <w:pPr>
        <w:ind w:left="3400" w:right="40" w:hanging="542"/>
        <w:spacing w:after="0" w:line="259" w:lineRule="auto"/>
        <w:tabs>
          <w:tab w:leader="none" w:pos="34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issuances are approved by a Requisite Board Vote; or</w:t>
      </w:r>
    </w:p>
    <w:p>
      <w:pPr>
        <w:spacing w:after="0" w:line="92" w:lineRule="exact"/>
        <w:rPr>
          <w:rFonts w:ascii="Arial" w:cs="Arial" w:eastAsia="Arial" w:hAnsi="Arial"/>
          <w:sz w:val="18"/>
          <w:szCs w:val="18"/>
          <w:color w:val="auto"/>
        </w:rPr>
      </w:pPr>
    </w:p>
    <w:p>
      <w:pPr>
        <w:ind w:left="3400" w:right="140" w:hanging="542"/>
        <w:spacing w:after="0" w:line="263" w:lineRule="auto"/>
        <w:tabs>
          <w:tab w:leader="none" w:pos="34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a Requisite Board Vote.</w:t>
      </w:r>
    </w:p>
    <w:p>
      <w:pPr>
        <w:spacing w:after="0" w:line="179" w:lineRule="exact"/>
        <w:rPr>
          <w:rFonts w:ascii="Arial" w:cs="Arial" w:eastAsia="Arial" w:hAnsi="Arial"/>
          <w:sz w:val="18"/>
          <w:szCs w:val="18"/>
          <w:color w:val="auto"/>
        </w:rPr>
      </w:pPr>
    </w:p>
    <w:p>
      <w:pPr>
        <w:ind w:right="140" w:firstLine="1979"/>
        <w:spacing w:after="0" w:line="282" w:lineRule="auto"/>
        <w:tabs>
          <w:tab w:leader="none" w:pos="250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left="2500" w:hanging="521"/>
        <w:spacing w:after="0"/>
        <w:tabs>
          <w:tab w:leader="none" w:pos="25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Convertible Securities.</w:t>
      </w:r>
    </w:p>
    <w:p>
      <w:pPr>
        <w:spacing w:after="0" w:line="211"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w:t>
      </w:r>
    </w:p>
    <w:p>
      <w:pPr>
        <w:spacing w:after="0" w:line="225" w:lineRule="exact"/>
        <w:rPr>
          <w:sz w:val="20"/>
          <w:szCs w:val="20"/>
          <w:color w:val="auto"/>
        </w:rPr>
      </w:pPr>
    </w:p>
    <w:p>
      <w:pPr>
        <w:ind w:right="140" w:firstLine="1979"/>
        <w:spacing w:after="0" w:line="259" w:lineRule="auto"/>
        <w:tabs>
          <w:tab w:leader="none" w:pos="24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adjustment in the applicable Conversion Price for the Series A Preferred Stock shall be made as the result of the issuance or deemed issuance of Additional Shares of Common Stock if the Corporation receives written notice from the holders of a majority of the Series A Preferred Stock agreeing that no such adjustment shall be made as the result of the issuance or deemed issuance of such Additional Shares of Common Stock.</w:t>
      </w:r>
    </w:p>
    <w:p>
      <w:pPr>
        <w:spacing w:after="0" w:line="186" w:lineRule="exact"/>
        <w:rPr>
          <w:rFonts w:ascii="Arial" w:cs="Arial" w:eastAsia="Arial" w:hAnsi="Arial"/>
          <w:sz w:val="18"/>
          <w:szCs w:val="18"/>
          <w:color w:val="auto"/>
        </w:rPr>
      </w:pPr>
    </w:p>
    <w:p>
      <w:pPr>
        <w:ind w:right="40" w:firstLine="1979"/>
        <w:spacing w:after="0" w:line="286" w:lineRule="auto"/>
        <w:tabs>
          <w:tab w:leader="none" w:pos="250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 adjustment in the applicable Conversion Price for the Series B Preferred Stock shall be made as the result of the issuance or deemed issuance of Additional Shares of Common Stock if the Corporation receives written notice from the Series B Majority agreeing that no such adjustment shall be made as the result of the issuance or deemed issuance of such Additional Shares of Common Stock.</w:t>
      </w:r>
    </w:p>
    <w:p>
      <w:pPr>
        <w:spacing w:after="0" w:line="165"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225" w:lineRule="exact"/>
        <w:rPr>
          <w:sz w:val="20"/>
          <w:szCs w:val="20"/>
          <w:color w:val="auto"/>
        </w:rPr>
      </w:pPr>
    </w:p>
    <w:p>
      <w:pPr>
        <w:ind w:firstLine="1979"/>
        <w:spacing w:after="0" w:line="273" w:lineRule="auto"/>
        <w:tabs>
          <w:tab w:leader="none" w:pos="249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375" w:name="page376"/>
    <w:bookmarkEnd w:id="37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Convertible Securities, shall be deemed to be Additional Shares of Common Stock issued as of the time of such issue or, in case such a record date shall have been fixed, as of the close of business on such record date.</w:t>
      </w:r>
    </w:p>
    <w:p>
      <w:pPr>
        <w:spacing w:after="0" w:line="170" w:lineRule="exact"/>
        <w:rPr>
          <w:sz w:val="20"/>
          <w:szCs w:val="20"/>
          <w:color w:val="auto"/>
        </w:rPr>
      </w:pPr>
    </w:p>
    <w:p>
      <w:pPr>
        <w:ind w:firstLine="1979"/>
        <w:spacing w:after="0" w:line="268" w:lineRule="auto"/>
        <w:tabs>
          <w:tab w:leader="none" w:pos="237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the issuance of which resulted in an adjustment to the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fb)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86" w:lineRule="exact"/>
        <w:rPr>
          <w:rFonts w:ascii="Arial" w:cs="Arial" w:eastAsia="Arial" w:hAnsi="Arial"/>
          <w:sz w:val="17"/>
          <w:szCs w:val="17"/>
          <w:color w:val="auto"/>
        </w:rPr>
      </w:pPr>
    </w:p>
    <w:p>
      <w:pPr>
        <w:ind w:right="20" w:firstLine="1979"/>
        <w:spacing w:after="0" w:line="269" w:lineRule="auto"/>
        <w:tabs>
          <w:tab w:leader="none" w:pos="236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for a series of Preferred Stock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Section 4.4.5</w:t>
      </w:r>
      <w:r>
        <w:rPr>
          <w:rFonts w:ascii="Arial" w:cs="Arial" w:eastAsia="Arial" w:hAnsi="Arial"/>
          <w:sz w:val="17"/>
          <w:szCs w:val="17"/>
          <w:color w:val="auto"/>
        </w:rPr>
        <w:t xml:space="preserve">) of the Additional Shares of Common Stock subject thereto was equal to or greater than the applicable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60" w:firstLine="1979"/>
        <w:spacing w:after="0" w:line="259" w:lineRule="auto"/>
        <w:tabs>
          <w:tab w:leader="none" w:pos="237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the applicable Conversion Price shall be readjusted to such Conversion Price as would have obtained had such Option or Convertible Security (or portion thereof) never been issued.</w:t>
      </w:r>
    </w:p>
    <w:p>
      <w:pPr>
        <w:spacing w:after="0" w:line="186" w:lineRule="exact"/>
        <w:rPr>
          <w:rFonts w:ascii="Arial" w:cs="Arial" w:eastAsia="Arial" w:hAnsi="Arial"/>
          <w:sz w:val="18"/>
          <w:szCs w:val="18"/>
          <w:color w:val="auto"/>
        </w:rPr>
      </w:pPr>
    </w:p>
    <w:p>
      <w:pPr>
        <w:jc w:val="both"/>
        <w:ind w:right="340" w:firstLine="1979"/>
        <w:spacing w:after="0" w:line="259" w:lineRule="auto"/>
        <w:tabs>
          <w:tab w:leader="none" w:pos="236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8"/>
          <w:szCs w:val="18"/>
          <w:u w:val="single" w:color="auto"/>
          <w:color w:val="auto"/>
        </w:rPr>
        <w:t>Section 4.4.3</w:t>
      </w:r>
      <w:r>
        <w:rPr>
          <w:rFonts w:ascii="Arial" w:cs="Arial" w:eastAsia="Arial" w:hAnsi="Arial"/>
          <w:sz w:val="18"/>
          <w:szCs w:val="18"/>
          <w:color w:val="auto"/>
        </w:rPr>
        <w:t xml:space="preserve"> shall be effected at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76" w:name="page377"/>
    <w:bookmarkEnd w:id="376"/>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of such issuance or amendment based on such number of shares or amount of consideration without regard to any provisions for subsequent adjustments (and any subsequent adjustments shall be treated as provided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8" w:lineRule="exact"/>
        <w:rPr>
          <w:sz w:val="20"/>
          <w:szCs w:val="20"/>
          <w:color w:val="auto"/>
        </w:rPr>
      </w:pPr>
    </w:p>
    <w:p>
      <w:pPr>
        <w:ind w:right="20" w:firstLine="1983"/>
        <w:spacing w:after="0" w:line="27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480" w:firstLine="1979"/>
        <w:spacing w:after="0" w:line="277" w:lineRule="auto"/>
        <w:tabs>
          <w:tab w:leader="none" w:pos="23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for a series of Preferred Stock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260" w:firstLine="1979"/>
        <w:spacing w:after="0" w:line="277" w:lineRule="auto"/>
        <w:tabs>
          <w:tab w:leader="none" w:pos="237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for a series of Preferred Stock immediately prior to such issuance or deemed issuance of Additional Shares of Common Stock;</w:t>
      </w:r>
    </w:p>
    <w:p>
      <w:pPr>
        <w:spacing w:after="0" w:line="170" w:lineRule="exact"/>
        <w:rPr>
          <w:rFonts w:ascii="Arial" w:cs="Arial" w:eastAsia="Arial" w:hAnsi="Arial"/>
          <w:sz w:val="18"/>
          <w:szCs w:val="18"/>
          <w:color w:val="auto"/>
        </w:rPr>
      </w:pPr>
    </w:p>
    <w:p>
      <w:pPr>
        <w:ind w:firstLine="1979"/>
        <w:spacing w:after="0" w:line="279" w:lineRule="auto"/>
        <w:tabs>
          <w:tab w:leader="none" w:pos="236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60" w:firstLine="1979"/>
        <w:spacing w:after="0" w:line="275" w:lineRule="auto"/>
        <w:tabs>
          <w:tab w:leader="none" w:pos="237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360" w:hanging="381"/>
        <w:spacing w:after="0"/>
        <w:tabs>
          <w:tab w:leader="none" w:pos="23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77" w:name="page378"/>
    <w:bookmarkEnd w:id="377"/>
    <w:p>
      <w:pPr>
        <w:ind w:left="2360" w:hanging="381"/>
        <w:spacing w:after="0"/>
        <w:tabs>
          <w:tab w:leader="none" w:pos="23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2840" w:right="700" w:hanging="428"/>
        <w:spacing w:after="0" w:line="277" w:lineRule="auto"/>
        <w:tabs>
          <w:tab w:leader="none" w:pos="28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2840" w:right="60" w:hanging="428"/>
        <w:spacing w:after="0" w:line="277" w:lineRule="auto"/>
        <w:tabs>
          <w:tab w:leader="none" w:pos="28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75" w:lineRule="exact"/>
        <w:rPr>
          <w:rFonts w:ascii="Arial" w:cs="Arial" w:eastAsia="Arial" w:hAnsi="Arial"/>
          <w:sz w:val="18"/>
          <w:szCs w:val="18"/>
          <w:color w:val="auto"/>
        </w:rPr>
      </w:pPr>
    </w:p>
    <w:p>
      <w:pPr>
        <w:ind w:left="2840" w:right="420" w:hanging="428"/>
        <w:spacing w:after="0" w:line="259" w:lineRule="auto"/>
        <w:tabs>
          <w:tab w:leader="none" w:pos="28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 of Directors of the Corporation.</w:t>
      </w:r>
    </w:p>
    <w:p>
      <w:pPr>
        <w:spacing w:after="0" w:line="186" w:lineRule="exact"/>
        <w:rPr>
          <w:rFonts w:ascii="Arial" w:cs="Arial" w:eastAsia="Arial" w:hAnsi="Arial"/>
          <w:sz w:val="18"/>
          <w:szCs w:val="18"/>
          <w:color w:val="auto"/>
        </w:rPr>
      </w:pPr>
    </w:p>
    <w:p>
      <w:pPr>
        <w:jc w:val="both"/>
        <w:ind w:right="180" w:firstLine="1979"/>
        <w:spacing w:after="0" w:line="342" w:lineRule="auto"/>
        <w:tabs>
          <w:tab w:leader="none" w:pos="2372"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Section 4.4.3</w:t>
      </w:r>
      <w:r>
        <w:rPr>
          <w:rFonts w:ascii="Arial" w:cs="Arial" w:eastAsia="Arial" w:hAnsi="Arial"/>
          <w:sz w:val="16"/>
          <w:szCs w:val="16"/>
          <w:color w:val="auto"/>
        </w:rPr>
        <w:t>, relating to Options and Convertible Securities, shall be determined by dividing:</w:t>
      </w:r>
    </w:p>
    <w:p>
      <w:pPr>
        <w:spacing w:after="0" w:line="29" w:lineRule="exact"/>
        <w:rPr>
          <w:rFonts w:ascii="Arial" w:cs="Arial" w:eastAsia="Arial" w:hAnsi="Arial"/>
          <w:sz w:val="16"/>
          <w:szCs w:val="16"/>
          <w:color w:val="auto"/>
        </w:rPr>
      </w:pPr>
    </w:p>
    <w:p>
      <w:pPr>
        <w:ind w:left="2840" w:right="80" w:hanging="428"/>
        <w:spacing w:after="0" w:line="293" w:lineRule="auto"/>
        <w:tabs>
          <w:tab w:leader="none" w:pos="28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69" w:lineRule="exact"/>
        <w:rPr>
          <w:rFonts w:ascii="Arial" w:cs="Arial" w:eastAsia="Arial" w:hAnsi="Arial"/>
          <w:sz w:val="16"/>
          <w:szCs w:val="16"/>
          <w:color w:val="auto"/>
        </w:rPr>
      </w:pPr>
    </w:p>
    <w:p>
      <w:pPr>
        <w:ind w:left="2840" w:hanging="428"/>
        <w:spacing w:after="0" w:line="257" w:lineRule="auto"/>
        <w:tabs>
          <w:tab w:leader="none" w:pos="28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8"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for a series of Preferred Stock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then, upon the final such issuance, such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78" w:name="page379"/>
    <w:bookmarkEnd w:id="378"/>
    <w:p>
      <w:pPr>
        <w:ind w:firstLine="1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Series B Original Issue Date effect a subdivision of the outstanding Common Stock, the applicable Conversion Price for a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applicable Conversion Price for a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shall become effective at the close of business on the date the subdivision or combination becomes effective.</w:t>
      </w:r>
    </w:p>
    <w:p>
      <w:pPr>
        <w:spacing w:after="0" w:line="181"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for a series of Preferred Stock then in effect by a fraction:</w:t>
      </w:r>
    </w:p>
    <w:p>
      <w:pPr>
        <w:spacing w:after="0" w:line="161" w:lineRule="exact"/>
        <w:rPr>
          <w:sz w:val="20"/>
          <w:szCs w:val="20"/>
          <w:color w:val="auto"/>
        </w:rPr>
      </w:pPr>
    </w:p>
    <w:p>
      <w:pPr>
        <w:ind w:right="140" w:firstLine="1428"/>
        <w:spacing w:after="0" w:line="277" w:lineRule="auto"/>
        <w:tabs>
          <w:tab w:leader="none" w:pos="182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40" w:firstLine="1428"/>
        <w:spacing w:after="0" w:line="263" w:lineRule="auto"/>
        <w:tabs>
          <w:tab w:leader="none" w:pos="182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Section as of the time of actual payment of such dividends or distributions; and (b) that no such adjustment shall be made if the holders of a series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firstLine="1432"/>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 distribution, then and in each such event the holders of each series of Preferred Stock, as applicable,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79" w:name="page380"/>
    <w:bookmarkEnd w:id="379"/>
    <w:p>
      <w:pPr>
        <w:ind w:left="4" w:firstLine="143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a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(1)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a series of Preferred Stock.</w:t>
      </w:r>
    </w:p>
    <w:p>
      <w:pPr>
        <w:spacing w:after="0" w:line="179" w:lineRule="exact"/>
        <w:rPr>
          <w:sz w:val="20"/>
          <w:szCs w:val="20"/>
          <w:color w:val="auto"/>
        </w:rPr>
      </w:pPr>
    </w:p>
    <w:p>
      <w:pPr>
        <w:ind w:left="4" w:firstLine="1432"/>
        <w:spacing w:after="0" w:line="270"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the applicable Conversion Price for a series of Preferred Stock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for such series of Preferred Stock, and (ii) the number of shares of Common Stock aid the amount, if any, of other securities, cash or property which then would be received upon the conversion of such series of Preferred Stock.</w:t>
      </w:r>
    </w:p>
    <w:p>
      <w:pPr>
        <w:spacing w:after="0" w:line="181" w:lineRule="exact"/>
        <w:rPr>
          <w:sz w:val="20"/>
          <w:szCs w:val="20"/>
          <w:color w:val="auto"/>
        </w:rPr>
      </w:pPr>
    </w:p>
    <w:p>
      <w:pPr>
        <w:ind w:left="1424"/>
        <w:spacing w:after="0"/>
        <w:tabs>
          <w:tab w:leader="none" w:pos="1904"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ind w:left="4" w:right="60" w:firstLine="1979"/>
        <w:spacing w:after="0" w:line="311" w:lineRule="auto"/>
        <w:tabs>
          <w:tab w:leader="none" w:pos="236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364" w:hanging="381"/>
        <w:spacing w:after="0"/>
        <w:tabs>
          <w:tab w:leader="none" w:pos="236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left="2364" w:hanging="381"/>
        <w:spacing w:after="0"/>
        <w:tabs>
          <w:tab w:leader="none" w:pos="23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180" w:hanging="4"/>
        <w:spacing w:after="0" w:line="260" w:lineRule="auto"/>
        <w:tabs>
          <w:tab w:leader="none" w:pos="21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80" w:name="page381"/>
    <w:bookmarkEnd w:id="38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76" w:lineRule="exact"/>
        <w:rPr>
          <w:sz w:val="20"/>
          <w:szCs w:val="20"/>
          <w:color w:val="auto"/>
        </w:rPr>
      </w:pPr>
    </w:p>
    <w:p>
      <w:pPr>
        <w:ind w:left="1400" w:hanging="413"/>
        <w:spacing w:after="0"/>
        <w:tabs>
          <w:tab w:leader="none" w:pos="14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Upon either (a) the closing of the sale of shares of Common Stock to the public at a price of at least $2.15061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$75,000,000 of gross proceeds to the Corporation and in connection with such offering the Common Stock is listed for trading on the Nasdaq Stock Market’s National Market, the New York Stock Exchange or another exchange or marketplace approved the Board of Director, including the approval of at least two (2) Preferred Director (a “</w:t>
      </w:r>
      <w:r>
        <w:rPr>
          <w:rFonts w:ascii="Arial" w:cs="Arial" w:eastAsia="Arial" w:hAnsi="Arial"/>
          <w:sz w:val="17"/>
          <w:szCs w:val="17"/>
          <w:b w:val="1"/>
          <w:bCs w:val="1"/>
          <w:color w:val="auto"/>
        </w:rPr>
        <w:t>Qualified IPO</w:t>
      </w:r>
      <w:r>
        <w:rPr>
          <w:rFonts w:ascii="Arial" w:cs="Arial" w:eastAsia="Arial" w:hAnsi="Arial"/>
          <w:sz w:val="17"/>
          <w:szCs w:val="17"/>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(ii) such shares may not be reissued by the Corporation.</w:t>
      </w:r>
    </w:p>
    <w:p>
      <w:pPr>
        <w:spacing w:after="0" w:line="18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81" w:name="page382"/>
    <w:bookmarkEnd w:id="381"/>
    <w:p>
      <w:pPr>
        <w:ind w:left="4" w:right="60" w:firstLine="987"/>
        <w:spacing w:after="0" w:line="259" w:lineRule="auto"/>
        <w:tabs>
          <w:tab w:leader="none" w:pos="131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Redeemed or Otherwise Acquired Shares</w:t>
      </w:r>
      <w:r>
        <w:rPr>
          <w:rFonts w:ascii="Arial" w:cs="Arial" w:eastAsia="Arial" w:hAnsi="Arial"/>
          <w:sz w:val="18"/>
          <w:szCs w:val="18"/>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86" w:lineRule="exact"/>
        <w:rPr>
          <w:rFonts w:ascii="Arial" w:cs="Arial" w:eastAsia="Arial" w:hAnsi="Arial"/>
          <w:sz w:val="18"/>
          <w:szCs w:val="18"/>
          <w:color w:val="auto"/>
        </w:rPr>
      </w:pPr>
    </w:p>
    <w:p>
      <w:pPr>
        <w:ind w:left="4" w:right="40" w:firstLine="987"/>
        <w:spacing w:after="0" w:line="286" w:lineRule="auto"/>
        <w:tabs>
          <w:tab w:leader="none" w:pos="131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Except as otherwise set forth herein, (a) any of the rights, powers, preferences and other terms of the Preferred Stock set forth herein may be waived on behalf of all holders of Preferred Stock by the affirmative written consent or vote of the Requisite Holders, (b) any of the rights, powers, preferences and other terms of the Series A Preferred Stock set forth herein may be waived on behalf of all holders of such series of Preferred Stock by the affirmative written consent or vote of the holders of at a majority of the shares of Series A Preferred Stock then outstanding and</w:t>
      </w:r>
    </w:p>
    <w:p>
      <w:pPr>
        <w:spacing w:after="0" w:line="1"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of the rights, powers, preferences and other terms of the Series B Preferred Stock set forth herein may be waived on behalf of all holders of such series of Preferred Stock by the affirmative written consent or vote of the Series B Majority.</w:t>
      </w:r>
    </w:p>
    <w:p>
      <w:pPr>
        <w:spacing w:after="0" w:line="185" w:lineRule="exact"/>
        <w:rPr>
          <w:rFonts w:ascii="Arial" w:cs="Arial" w:eastAsia="Arial" w:hAnsi="Arial"/>
          <w:sz w:val="18"/>
          <w:szCs w:val="18"/>
          <w:color w:val="auto"/>
        </w:rPr>
      </w:pPr>
    </w:p>
    <w:p>
      <w:pPr>
        <w:ind w:left="4" w:right="120" w:firstLine="987"/>
        <w:spacing w:after="0" w:line="311" w:lineRule="auto"/>
        <w:tabs>
          <w:tab w:leader="none" w:pos="1310"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left="4" w:firstLine="440"/>
        <w:spacing w:after="0" w:line="347" w:lineRule="auto"/>
        <w:rPr>
          <w:sz w:val="20"/>
          <w:szCs w:val="20"/>
          <w:color w:val="auto"/>
        </w:rPr>
      </w:pPr>
      <w:r>
        <w:rPr>
          <w:rFonts w:ascii="Arial" w:cs="Arial" w:eastAsia="Arial" w:hAnsi="Arial"/>
          <w:sz w:val="16"/>
          <w:szCs w:val="16"/>
          <w:b w:val="1"/>
          <w:bCs w:val="1"/>
          <w:color w:val="auto"/>
        </w:rPr>
        <w:t xml:space="preserve">FIFTH: </w:t>
      </w:r>
      <w:r>
        <w:rPr>
          <w:rFonts w:ascii="Arial" w:cs="Arial" w:eastAsia="Arial" w:hAnsi="Arial"/>
          <w:sz w:val="16"/>
          <w:szCs w:val="16"/>
          <w:color w:val="auto"/>
        </w:rPr>
        <w:t>Subject to any additional vote required by this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Certificate of Incorporation, the number of director of the Corporation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manner set forth in the Bylaws of the Corporation. Each director shall be entitled to one (1) vote on each matter presented to the Board of Director.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left="4" w:right="30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 xml:space="preserve">NINTH: </w:t>
      </w:r>
      <w:r>
        <w:rPr>
          <w:rFonts w:ascii="Arial" w:cs="Arial" w:eastAsia="Arial" w:hAnsi="Arial"/>
          <w:sz w:val="16"/>
          <w:szCs w:val="16"/>
          <w:color w:val="auto"/>
        </w:rPr>
        <w:t>To the fullest extent permitted by law, a director of the Corporation shall not be personally liable to the Corporation or its stockholder for</w:t>
      </w:r>
      <w:r>
        <w:rPr>
          <w:rFonts w:ascii="Arial" w:cs="Arial" w:eastAsia="Arial" w:hAnsi="Arial"/>
          <w:sz w:val="16"/>
          <w:szCs w:val="16"/>
          <w:b w:val="1"/>
          <w:bCs w:val="1"/>
          <w:color w:val="auto"/>
        </w:rPr>
        <w:t xml:space="preserve"> </w:t>
      </w:r>
      <w:r>
        <w:rPr>
          <w:rFonts w:ascii="Arial" w:cs="Arial" w:eastAsia="Arial" w:hAnsi="Arial"/>
          <w:sz w:val="16"/>
          <w:szCs w:val="16"/>
          <w:color w:val="auto"/>
        </w:rPr>
        <w:t>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82" w:name="page383"/>
    <w:bookmarkEnd w:id="382"/>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TENTH: </w:t>
      </w:r>
      <w:r>
        <w:rPr>
          <w:rFonts w:ascii="Arial" w:cs="Arial" w:eastAsia="Arial" w:hAnsi="Arial"/>
          <w:sz w:val="18"/>
          <w:szCs w:val="18"/>
          <w:color w:val="auto"/>
        </w:rPr>
        <w:t>The following indemnification provisions shall apply to the persons set forth below.</w:t>
      </w:r>
    </w:p>
    <w:p>
      <w:pPr>
        <w:spacing w:after="0" w:line="229" w:lineRule="exact"/>
        <w:rPr>
          <w:sz w:val="20"/>
          <w:szCs w:val="20"/>
          <w:color w:val="auto"/>
        </w:rPr>
      </w:pPr>
    </w:p>
    <w:p>
      <w:pPr>
        <w:ind w:left="-20" w:firstLine="436"/>
        <w:spacing w:after="0" w:line="288" w:lineRule="auto"/>
        <w:tabs>
          <w:tab w:leader="none" w:pos="780" w:val="left"/>
        </w:tabs>
        <w:numPr>
          <w:ilvl w:val="0"/>
          <w:numId w:val="259"/>
        </w:numPr>
        <w:rPr>
          <w:rFonts w:ascii="Arial" w:cs="Arial" w:eastAsia="Arial" w:hAnsi="Arial"/>
          <w:sz w:val="16"/>
          <w:szCs w:val="16"/>
          <w:b w:val="1"/>
          <w:bCs w:val="1"/>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rFonts w:ascii="Arial" w:cs="Arial" w:eastAsia="Arial" w:hAnsi="Arial"/>
          <w:sz w:val="16"/>
          <w:szCs w:val="16"/>
          <w:b w:val="1"/>
          <w:bCs w:val="1"/>
          <w:color w:val="auto"/>
        </w:rPr>
      </w:pPr>
    </w:p>
    <w:p>
      <w:pPr>
        <w:ind w:left="-20" w:firstLine="436"/>
        <w:spacing w:after="0" w:line="257" w:lineRule="auto"/>
        <w:tabs>
          <w:tab w:leader="none" w:pos="780"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87" w:lineRule="exact"/>
        <w:rPr>
          <w:rFonts w:ascii="Arial" w:cs="Arial" w:eastAsia="Arial" w:hAnsi="Arial"/>
          <w:sz w:val="18"/>
          <w:szCs w:val="18"/>
          <w:b w:val="1"/>
          <w:bCs w:val="1"/>
          <w:color w:val="auto"/>
        </w:rPr>
      </w:pPr>
    </w:p>
    <w:p>
      <w:pPr>
        <w:ind w:left="-20" w:firstLine="436"/>
        <w:spacing w:after="0" w:line="257" w:lineRule="auto"/>
        <w:tabs>
          <w:tab w:leader="none" w:pos="780"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Claims by Director and Officers</w:t>
      </w:r>
      <w:r>
        <w:rPr>
          <w:rFonts w:ascii="Arial" w:cs="Arial" w:eastAsia="Arial" w:hAnsi="Arial"/>
          <w:sz w:val="18"/>
          <w:szCs w:val="18"/>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7" w:lineRule="exact"/>
        <w:rPr>
          <w:rFonts w:ascii="Arial" w:cs="Arial" w:eastAsia="Arial" w:hAnsi="Arial"/>
          <w:sz w:val="18"/>
          <w:szCs w:val="18"/>
          <w:b w:val="1"/>
          <w:bCs w:val="1"/>
          <w:color w:val="auto"/>
        </w:rPr>
      </w:pPr>
    </w:p>
    <w:p>
      <w:pPr>
        <w:ind w:left="-20" w:firstLine="436"/>
        <w:spacing w:after="0" w:line="270" w:lineRule="auto"/>
        <w:tabs>
          <w:tab w:leader="none" w:pos="780" w:val="left"/>
        </w:tabs>
        <w:numPr>
          <w:ilvl w:val="0"/>
          <w:numId w:val="259"/>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w:t>
      </w:r>
    </w:p>
    <w:p>
      <w:pPr>
        <w:spacing w:after="0" w:line="180" w:lineRule="exact"/>
        <w:rPr>
          <w:rFonts w:ascii="Arial" w:cs="Arial" w:eastAsia="Arial" w:hAnsi="Arial"/>
          <w:sz w:val="17"/>
          <w:szCs w:val="17"/>
          <w:b w:val="1"/>
          <w:bCs w:val="1"/>
          <w:color w:val="auto"/>
        </w:rPr>
      </w:pPr>
    </w:p>
    <w:p>
      <w:pPr>
        <w:ind w:left="-20" w:right="180" w:firstLine="436"/>
        <w:spacing w:after="0" w:line="263" w:lineRule="auto"/>
        <w:tabs>
          <w:tab w:leader="none" w:pos="735"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0" w:right="479" w:bottom="1440" w:gutter="0" w:footer="0" w:header="0"/>
        </w:sectPr>
      </w:pPr>
    </w:p>
    <w:bookmarkStart w:id="383" w:name="page384"/>
    <w:bookmarkEnd w:id="383"/>
    <w:p>
      <w:pPr>
        <w:ind w:left="4" w:right="120" w:firstLine="436"/>
        <w:spacing w:after="0" w:line="263" w:lineRule="auto"/>
        <w:tabs>
          <w:tab w:leader="none" w:pos="804" w:val="left"/>
        </w:tabs>
        <w:numPr>
          <w:ilvl w:val="0"/>
          <w:numId w:val="26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Non-Exclusivity of Rights</w:t>
      </w:r>
      <w:r>
        <w:rPr>
          <w:rFonts w:ascii="Arial" w:cs="Arial" w:eastAsia="Arial" w:hAnsi="Arial"/>
          <w:sz w:val="18"/>
          <w:szCs w:val="18"/>
          <w:color w:val="auto"/>
        </w:rPr>
        <w:t>. The rights conferred on any person by this Article Tenth shall not be exclusive of any other rights which such person may have or hereafter acquire under any statute, provision of this Certificate of Incorporation, the Bylaws of the Corporation, or any agreement, or pursuant to any vote of stockholder or disinterested director or otherwise.</w:t>
      </w:r>
    </w:p>
    <w:p>
      <w:pPr>
        <w:spacing w:after="0" w:line="183" w:lineRule="exact"/>
        <w:rPr>
          <w:rFonts w:ascii="Arial" w:cs="Arial" w:eastAsia="Arial" w:hAnsi="Arial"/>
          <w:sz w:val="18"/>
          <w:szCs w:val="18"/>
          <w:b w:val="1"/>
          <w:bCs w:val="1"/>
          <w:color w:val="auto"/>
        </w:rPr>
      </w:pPr>
    </w:p>
    <w:p>
      <w:pPr>
        <w:ind w:left="4" w:right="20" w:firstLine="436"/>
        <w:spacing w:after="0" w:line="259" w:lineRule="auto"/>
        <w:tabs>
          <w:tab w:leader="none" w:pos="804" w:val="left"/>
        </w:tabs>
        <w:numPr>
          <w:ilvl w:val="0"/>
          <w:numId w:val="260"/>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b w:val="1"/>
          <w:bCs w:val="1"/>
          <w:color w:val="auto"/>
        </w:rPr>
      </w:pPr>
    </w:p>
    <w:p>
      <w:pPr>
        <w:ind w:left="4" w:right="60" w:firstLine="436"/>
        <w:spacing w:after="0" w:line="257" w:lineRule="auto"/>
        <w:tabs>
          <w:tab w:leader="none" w:pos="804" w:val="left"/>
        </w:tabs>
        <w:numPr>
          <w:ilvl w:val="0"/>
          <w:numId w:val="260"/>
        </w:numPr>
        <w:rPr>
          <w:rFonts w:ascii="Arial" w:cs="Arial" w:eastAsia="Arial" w:hAnsi="Arial"/>
          <w:sz w:val="18"/>
          <w:szCs w:val="18"/>
          <w:b w:val="1"/>
          <w:bCs w:val="1"/>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 may, to the full extent permitted by applicable law as it presently exists, or may hereafter be amended from time to time, authorize an appropriate officer or officer to purchase and maintain at the Corporation’s expense insurance: (a) to indemnify the Corporation for any obligation which it incur as a result of the indemnification of directors, officer and employees under the provisions of this Article Tenth; and (b) to indemnify or insure directors, officer and employees against liability in instances in which they may not otherwise be indemnified by the Corporation under the provisions of this Article Tenth.</w:t>
      </w:r>
    </w:p>
    <w:p>
      <w:pPr>
        <w:spacing w:after="0" w:line="187" w:lineRule="exact"/>
        <w:rPr>
          <w:rFonts w:ascii="Arial" w:cs="Arial" w:eastAsia="Arial" w:hAnsi="Arial"/>
          <w:sz w:val="18"/>
          <w:szCs w:val="18"/>
          <w:b w:val="1"/>
          <w:bCs w:val="1"/>
          <w:color w:val="auto"/>
        </w:rPr>
      </w:pPr>
    </w:p>
    <w:p>
      <w:pPr>
        <w:ind w:left="4" w:right="300" w:firstLine="436"/>
        <w:spacing w:after="0" w:line="286" w:lineRule="auto"/>
        <w:tabs>
          <w:tab w:leader="none" w:pos="804" w:val="left"/>
        </w:tabs>
        <w:numPr>
          <w:ilvl w:val="0"/>
          <w:numId w:val="260"/>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Peron and such person’s heir, executor and administrator.</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 in being</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or acquired, created or developed by, or which otherwise comes into the possession of (i) any director of the Corporation who is not an employee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Corporation or any of its subsidiaries, or (ii) any holder of Preferred Stock or any partner, member, director, stockholder, employee, affiliate or agent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any such holder, other than someone who is an employee of the Corporation or any of its subsidiaries (collectively, the persons referred to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are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 to, or acquired, created or developed by, or otherwise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comes into the possession of, a Covered Person expressly and solely in such Covered Person’s capacity as a director of the Corporation while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Covered Person is performing services in such capacity. Any repeal or modification of this Article Eleventh will only be prospective and will not affect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rights under this Article Eleventh in effect at the time of the occurrence of any actions or omissions to act giving rise to liability. Notwithstanding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anything to the contrary contained elsewhere in this Certificate of Incorporation, the affirmative vote of the holders of a majority of the shares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Preferred Stock the outstanding, will be required to amend or repeal, or to adopt any provisions inconsistent with this Article Eleventh.</w:t>
      </w:r>
    </w:p>
    <w:p>
      <w:pPr>
        <w:spacing w:after="0" w:line="207"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 (iii) any action asserting a claim against the Corporation, its director, officer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160" w:hanging="4"/>
        <w:spacing w:after="0" w:line="260" w:lineRule="auto"/>
        <w:tabs>
          <w:tab w:leader="none" w:pos="2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through (iv) above, any claim as to which the Court of Chancery determines that there is an indispensable party not subject to the jurisdiction of the Court of</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84" w:name="page385"/>
    <w:bookmarkEnd w:id="38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8"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THIRTEENTH: </w:t>
      </w:r>
      <w:r>
        <w:rPr>
          <w:rFonts w:ascii="Arial" w:cs="Arial" w:eastAsia="Arial" w:hAnsi="Arial"/>
          <w:sz w:val="16"/>
          <w:szCs w:val="16"/>
          <w:color w:val="auto"/>
        </w:rPr>
        <w:t>For purposes of Section 500 of the California Corporations Code (to the extent applicable), in connection with any repurchase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permitted under this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219"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740" w:firstLine="436"/>
        <w:spacing w:after="0" w:line="277" w:lineRule="auto"/>
        <w:tabs>
          <w:tab w:leader="none" w:pos="80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720" w:firstLine="436"/>
        <w:spacing w:after="0" w:line="342" w:lineRule="auto"/>
        <w:tabs>
          <w:tab w:leader="none" w:pos="80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That this Amended and Restated Certificate of Incorporation, which restates aid integrates and further amends the provisions of this Corporation’s Certificate of Incorporation, has been duly adopted in accordance with Sections 242 and 245 of the General Corporation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85" w:name="page386"/>
    <w:bookmarkEnd w:id="38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9th day of August,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LEXEO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 Nolan Townsend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460"/>
          </w:cols>
          <w:pgMar w:left="440" w:top="270" w:right="99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LEXEO THERAPEUTICS, INC.</w:t>
      </w:r>
    </w:p>
    <w:p>
      <w:pPr>
        <w:spacing w:after="0" w:line="207"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General Corporation Law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that: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the Certificate of Incorporation of the Corporation was originally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is November 20, 2020, under the name Lexeo Therapeutics, Inc.</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Amended and Restated Certificate of Incorporation of the Corporation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was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on August 10, 2021.</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the Corporation, acting in accordance with the provisions of Sections 141 and 242 of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of the State of Delaware, adopted resolutions amending the Restated Certificate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first paragraph of Article FOURTH of the Restated Certificate shall be amended and restated to read in its entirety as follows:</w:t>
      </w:r>
    </w:p>
    <w:p>
      <w:pPr>
        <w:spacing w:after="0" w:line="113" w:lineRule="exact"/>
        <w:rPr>
          <w:sz w:val="20"/>
          <w:szCs w:val="20"/>
          <w:color w:val="auto"/>
        </w:rPr>
      </w:pPr>
    </w:p>
    <w:p>
      <w:pPr>
        <w:jc w:val="both"/>
        <w:ind w:left="44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w:t>
      </w:r>
      <w:r>
        <w:rPr>
          <w:rFonts w:ascii="Arial" w:cs="Arial" w:eastAsia="Arial" w:hAnsi="Arial"/>
          <w:sz w:val="18"/>
          <w:szCs w:val="18"/>
          <w:color w:val="auto"/>
        </w:rPr>
        <w:t xml:space="preserve"> The total number of shares of all classes of stock which the Corporation shall have authority to issue is (i) 192,020,973 shares of Common Stock, $0.0001 par value per share (“Common Stock”) and (ii) 143,653,546 shares of Preferred Stock, $0.0001 par value per share (“Preferred Stock”).”</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IFTH</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pursuant to a resolution of the Board of Directors, this Certificate of Amendment was submitted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their approval, and was duly adopted in accordance with the provisions of Sections 228 and 242 of the General Corporation Law of the State of Delaware.</w:t>
      </w:r>
    </w:p>
    <w:p>
      <w:pPr>
        <w:sectPr>
          <w:pgSz w:w="11900" w:h="16838" w:orient="portrait"/>
          <w:cols w:equalWidth="0" w:num="1">
            <w:col w:w="11000"/>
          </w:cols>
          <w:pgMar w:left="440" w:top="270" w:right="459" w:bottom="1440" w:gutter="0" w:footer="0" w:header="0"/>
        </w:sectPr>
      </w:pPr>
    </w:p>
    <w:bookmarkStart w:id="387" w:name="page388"/>
    <w:bookmarkEnd w:id="38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this Certificate of Amendment has been executed by a duly authorized officer of the Corporation on this 10th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 Nolan Townsend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680"/>
          </w:cols>
          <w:pgMar w:left="440" w:top="270" w:right="779"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LEXEO THERAPEUTICS, INC.</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Lexeo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hereby certifies that:</w:t>
      </w:r>
    </w:p>
    <w:p>
      <w:pPr>
        <w:spacing w:after="0" w:line="20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 Lexeo Therapeutics, Inc. The Certificate of Incorporation of the Corporation was originally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on November 20, 2020 under the name of the Corporation.</w:t>
      </w:r>
    </w:p>
    <w:p>
      <w:pPr>
        <w:spacing w:after="0" w:line="162"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ECOND</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of the Corporation (the “</w:t>
      </w:r>
      <w:r>
        <w:rPr>
          <w:rFonts w:ascii="Arial" w:cs="Arial" w:eastAsia="Arial" w:hAnsi="Arial"/>
          <w:sz w:val="17"/>
          <w:szCs w:val="17"/>
          <w:b w:val="1"/>
          <w:bCs w:val="1"/>
          <w:i w:val="1"/>
          <w:iCs w:val="1"/>
          <w:color w:val="auto"/>
        </w:rPr>
        <w:t>Amended and Restated Certificate of Incorporation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was filed with the Secretary of State of the State of Delaware on August 9, 2021 and was amended on November 10, 2021.</w:t>
      </w:r>
    </w:p>
    <w:p>
      <w:pPr>
        <w:spacing w:after="0" w:line="140" w:lineRule="exact"/>
        <w:rPr>
          <w:sz w:val="20"/>
          <w:szCs w:val="20"/>
          <w:color w:val="auto"/>
        </w:rPr>
      </w:pPr>
    </w:p>
    <w:p>
      <w:pPr>
        <w:ind w:right="580" w:firstLine="440"/>
        <w:spacing w:after="0" w:line="314"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HIRD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Board of Directors of the Corporation duly adopted resolutions approving the following amendment of the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Certificate of Incorporation, as amended, declaring said amendment to be advisable and in the best interests of the Corporation and its stockholders, and authorizing the appropriate officers of the Corporation to solicit the consent of the stockholders therefor.</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first paragraph of Article FOURTH of the Amended and Restated Certificate of Incorporation is hereby amended and restated in its entirety to read as follows:</w:t>
      </w:r>
    </w:p>
    <w:p>
      <w:pPr>
        <w:spacing w:after="0" w:line="58" w:lineRule="exact"/>
        <w:rPr>
          <w:sz w:val="20"/>
          <w:szCs w:val="20"/>
          <w:color w:val="auto"/>
        </w:rPr>
      </w:pPr>
    </w:p>
    <w:p>
      <w:pPr>
        <w:ind w:left="220" w:right="80"/>
        <w:spacing w:after="0" w:line="288"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Effective upon the filing of this Certificate of Amendment of the Amended and Restated Certificate of Incorporation with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every 10.594230 shares of Common Stock, $0.0001 par value per share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then issued and outstanding or held in the treasury of the Corporation immediately prior to the Effective Time shall automatically be</w:t>
      </w:r>
      <w:r>
        <w:rPr>
          <w:rFonts w:ascii="Arial" w:cs="Arial" w:eastAsia="Arial" w:hAnsi="Arial"/>
          <w:sz w:val="16"/>
          <w:szCs w:val="16"/>
          <w:b w:val="1"/>
          <w:bCs w:val="1"/>
          <w:color w:val="auto"/>
        </w:rPr>
        <w:t xml:space="preserve"> </w:t>
      </w:r>
      <w:r>
        <w:rPr>
          <w:rFonts w:ascii="Arial" w:cs="Arial" w:eastAsia="Arial" w:hAnsi="Arial"/>
          <w:sz w:val="16"/>
          <w:szCs w:val="16"/>
          <w:color w:val="auto"/>
        </w:rPr>
        <w:t>combined into one (1) validly issued, fully paid and non-assessable share of Common Stock, without any further action by the Company or any holder of such shares (the “</w:t>
      </w:r>
      <w:r>
        <w:rPr>
          <w:rFonts w:ascii="Arial" w:cs="Arial" w:eastAsia="Arial" w:hAnsi="Arial"/>
          <w:sz w:val="16"/>
          <w:szCs w:val="16"/>
          <w:b w:val="1"/>
          <w:bCs w:val="1"/>
          <w:color w:val="auto"/>
        </w:rPr>
        <w:t>Reverse Stock Split</w:t>
      </w:r>
      <w:r>
        <w:rPr>
          <w:rFonts w:ascii="Arial" w:cs="Arial" w:eastAsia="Arial" w:hAnsi="Arial"/>
          <w:sz w:val="16"/>
          <w:szCs w:val="16"/>
          <w:color w:val="auto"/>
        </w:rPr>
        <w:t>”). The Reverse Stock Split will be effected on a certificate-by-certificate basis, and any fractional shares resulting from such combination shall be rounded down to the nearest whole share on a certificate-by-certificate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Board of Directors of the Corporation. The Reverse Stock Split shall occur automatically without any further action by the holders of the shares of Common Stock affected thereby. All rights, preferences and privileges of the Common Stock shall be appropriately adjusted to reflect the Reverse Stock Split in accordance with this Amended and Restated Certificate of Incorporation.</w:t>
      </w:r>
    </w:p>
    <w:p>
      <w:pPr>
        <w:spacing w:after="0" w:line="59" w:lineRule="exact"/>
        <w:rPr>
          <w:sz w:val="20"/>
          <w:szCs w:val="20"/>
          <w:color w:val="auto"/>
        </w:rPr>
      </w:pPr>
    </w:p>
    <w:p>
      <w:pPr>
        <w:ind w:left="440" w:right="300"/>
        <w:spacing w:after="0" w:line="342" w:lineRule="auto"/>
        <w:rPr>
          <w:sz w:val="20"/>
          <w:szCs w:val="20"/>
          <w:color w:val="auto"/>
        </w:rPr>
      </w:pPr>
      <w:r>
        <w:rPr>
          <w:rFonts w:ascii="Arial" w:cs="Arial" w:eastAsia="Arial" w:hAnsi="Arial"/>
          <w:sz w:val="16"/>
          <w:szCs w:val="16"/>
          <w:color w:val="auto"/>
        </w:rPr>
        <w:t>Giving effect to the Reverse Stock Split, the total number of shares the Corporation shall have authority to issue is 161,778,597, of which (i) 18,125,051 are shares of Common Stock and (ii) 143,653,546 are shares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20"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amendment was approved by the holders of the requisite number of shares of the Corporation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228 of the General Corporation Law.</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IFTH</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amendment to the Amended and Restated Certificate of Incorporation was duly adopted in accordance with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242 of the DGCL.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80"/>
          </w:cols>
          <w:pgMar w:left="440" w:top="270" w:right="479" w:bottom="1440" w:gutter="0" w:footer="0" w:header="0"/>
        </w:sectPr>
      </w:pPr>
    </w:p>
    <w:bookmarkStart w:id="389" w:name="page390"/>
    <w:bookmarkEnd w:id="38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has caused this Certificate of Amendment to be signed by its duly authorized officer on the 13th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2023.</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Lexeo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 Nolan Townsend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20"/>
          </w:cols>
          <w:pgMar w:left="440" w:top="270" w:right="539" w:bottom="1440" w:gutter="0" w:footer="0" w:header="0"/>
        </w:sectPr>
      </w:pPr>
    </w:p>
    <w:bookmarkStart w:id="390" w:name="page391"/>
    <w:bookmarkEnd w:id="39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CORRECTION</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 LEXEO THERAPEUTICS, INC.</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Lexeo Therapeutics,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as follows.</w:t>
      </w:r>
    </w:p>
    <w:p>
      <w:pPr>
        <w:spacing w:after="0" w:line="225" w:lineRule="exact"/>
        <w:rPr>
          <w:sz w:val="20"/>
          <w:szCs w:val="20"/>
          <w:color w:val="auto"/>
        </w:rPr>
      </w:pPr>
    </w:p>
    <w:p>
      <w:pPr>
        <w:ind w:left="184" w:hanging="184"/>
        <w:spacing w:after="0"/>
        <w:tabs>
          <w:tab w:leader="none" w:pos="1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name of the Corporation is Lexeo Therapeutics, Inc.</w:t>
      </w:r>
    </w:p>
    <w:p>
      <w:pPr>
        <w:spacing w:after="0" w:line="225" w:lineRule="exact"/>
        <w:rPr>
          <w:rFonts w:ascii="Arial" w:cs="Arial" w:eastAsia="Arial" w:hAnsi="Arial"/>
          <w:sz w:val="18"/>
          <w:szCs w:val="18"/>
          <w:color w:val="auto"/>
        </w:rPr>
      </w:pPr>
    </w:p>
    <w:p>
      <w:pPr>
        <w:ind w:left="4" w:right="60" w:hanging="4"/>
        <w:spacing w:after="0" w:line="263" w:lineRule="auto"/>
        <w:tabs>
          <w:tab w:leader="none" w:pos="18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Corporation filed a Certificate of Amendment to the Amended and Restated Certificate of Incorporation with the Office of the Secretary of State of the State of Delaware on October 13, 2023 (the “</w:t>
      </w:r>
      <w:r>
        <w:rPr>
          <w:rFonts w:ascii="Arial" w:cs="Arial" w:eastAsia="Arial" w:hAnsi="Arial"/>
          <w:sz w:val="18"/>
          <w:szCs w:val="18"/>
          <w:b w:val="1"/>
          <w:bCs w:val="1"/>
          <w:i w:val="1"/>
          <w:iCs w:val="1"/>
          <w:color w:val="auto"/>
        </w:rPr>
        <w:t>Charter Amendment</w:t>
      </w:r>
      <w:r>
        <w:rPr>
          <w:rFonts w:ascii="Arial" w:cs="Arial" w:eastAsia="Arial" w:hAnsi="Arial"/>
          <w:sz w:val="18"/>
          <w:szCs w:val="18"/>
          <w:color w:val="auto"/>
        </w:rPr>
        <w:t>”), which requires correction as permitted by Section 103 of the General Corporation Law of the State of Delaware.</w:t>
      </w:r>
    </w:p>
    <w:p>
      <w:pPr>
        <w:spacing w:after="0" w:line="183" w:lineRule="exact"/>
        <w:rPr>
          <w:rFonts w:ascii="Arial" w:cs="Arial" w:eastAsia="Arial" w:hAnsi="Arial"/>
          <w:sz w:val="18"/>
          <w:szCs w:val="18"/>
          <w:color w:val="auto"/>
        </w:rPr>
      </w:pPr>
    </w:p>
    <w:p>
      <w:pPr>
        <w:ind w:left="4" w:right="120" w:hanging="4"/>
        <w:spacing w:after="0" w:line="277" w:lineRule="auto"/>
        <w:tabs>
          <w:tab w:leader="none" w:pos="1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inaccuracy or defect of the Charter Amendment is that the number of shares of common stock, par value $0.0001 per share that the Corporation has the authority to issue was inaccurately stated due to a scrivener’s error.</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first paragraph of Article FOURTH of the Amended and Restated Certificate of Incorporation is corrected to read in its entirety as follows:</w:t>
      </w:r>
    </w:p>
    <w:p>
      <w:pPr>
        <w:spacing w:after="0" w:line="125" w:lineRule="exact"/>
        <w:rPr>
          <w:sz w:val="20"/>
          <w:szCs w:val="20"/>
          <w:color w:val="auto"/>
        </w:rPr>
      </w:pPr>
    </w:p>
    <w:p>
      <w:pPr>
        <w:ind w:left="444" w:firstLine="423"/>
        <w:spacing w:after="0" w:line="288"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Effective upon the filing of this Certificate of Amendment of the Amended and Restated Certificate of Incorporation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every 10.594230 shares of 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then issued and outstanding or held in the treasury of the Corporation immediately prior to the Effective Time shall automatically be combined into one (1) validly issued, fully paid and non-assessable share of Common Stock, without any further action by the Company or any holder of such shares (the “</w:t>
      </w:r>
      <w:r>
        <w:rPr>
          <w:rFonts w:ascii="Arial" w:cs="Arial" w:eastAsia="Arial" w:hAnsi="Arial"/>
          <w:sz w:val="16"/>
          <w:szCs w:val="16"/>
          <w:b w:val="1"/>
          <w:bCs w:val="1"/>
          <w:color w:val="auto"/>
        </w:rPr>
        <w:t>Reverse Stock Split</w:t>
      </w:r>
      <w:r>
        <w:rPr>
          <w:rFonts w:ascii="Arial" w:cs="Arial" w:eastAsia="Arial" w:hAnsi="Arial"/>
          <w:sz w:val="16"/>
          <w:szCs w:val="16"/>
          <w:color w:val="auto"/>
        </w:rPr>
        <w:t>”). The Reverse Stock Split will be effected on a certificate-by-certificate basis, and any fractional shares resulting from such combination shall be rounded down to the nearest whole share on a certificate-by-certificate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Board of Directors of the Corporation. The Reverse Stock Split shall occur automatically without any further action by the holders of the shares of Common Stock affected thereby. All rights, preferences and privileges of the Common Stock shall be appropriately adjusted to reflect the Reverse Stock Split in accordance with this Amended and Restated Certificate of Incorporation.</w:t>
      </w:r>
    </w:p>
    <w:p>
      <w:pPr>
        <w:spacing w:after="0" w:line="59" w:lineRule="exact"/>
        <w:rPr>
          <w:sz w:val="20"/>
          <w:szCs w:val="20"/>
          <w:color w:val="auto"/>
        </w:rPr>
      </w:pPr>
    </w:p>
    <w:p>
      <w:pPr>
        <w:ind w:left="444" w:right="280"/>
        <w:spacing w:after="0" w:line="342" w:lineRule="auto"/>
        <w:rPr>
          <w:sz w:val="20"/>
          <w:szCs w:val="20"/>
          <w:color w:val="auto"/>
        </w:rPr>
      </w:pPr>
      <w:r>
        <w:rPr>
          <w:rFonts w:ascii="Arial" w:cs="Arial" w:eastAsia="Arial" w:hAnsi="Arial"/>
          <w:sz w:val="16"/>
          <w:szCs w:val="16"/>
          <w:color w:val="auto"/>
        </w:rPr>
        <w:t>Giving effect to the Reverse Stock Split, the total number of shares the Corporation shall have authority to issue is 161,778,597, of which (i) 18,125,051 are shares of Common Stock and (ii) 143,653,546 are shares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5. All other provisions of the Restated Certificate remain unchanged.</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64"/>
          </w:cols>
          <w:pgMar w:left="436" w:top="270" w:right="499" w:bottom="1440" w:gutter="0" w:footer="0" w:header="0"/>
        </w:sectPr>
      </w:pPr>
    </w:p>
    <w:bookmarkStart w:id="391" w:name="page392"/>
    <w:bookmarkEnd w:id="39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Corporation has caused this Certificate of Correction to be executed as of October 13, 2023.</w:t>
      </w:r>
    </w:p>
    <w:p>
      <w:pPr>
        <w:spacing w:after="0" w:line="27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 Nolan Townsend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9579"/>
          </w:cols>
          <w:pgMar w:left="880" w:top="270"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LEXEO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Lexeo Therapeutics,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organized and existing under and by virtue of the provisions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name of this corporation is Lexeo Therapeutics, Inc., 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November 20, 2020 under the name Lexeo Therapeutics, Inc.</w:t>
      </w:r>
    </w:p>
    <w:p>
      <w:pPr>
        <w:spacing w:after="0" w:line="1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ECOND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Board of Directors of the Corporation, acting in accordance with the provisions of Sections 141 and 242 of the DGCL, duly</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resolutions proposing to amend and restate the Certificate of Incorporation of the Corporation, declaring said amendment and restatement to be advisable and in the best interests of the Corporation and its stockholders, and authorizing the appropriate officers of the Corporation to solicit the consent of the stockholders therefore, and this Amended and Restated Certificate of Incorporation was approved by the holders of the requisite number of shares of stock of the Corporation in accordance with Section 228 of the DGCL.</w:t>
      </w:r>
    </w:p>
    <w:p>
      <w:pPr>
        <w:spacing w:after="0" w:line="168"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Amended and Restated Certificate of Incorporation has been duly adopted and approved by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Corporation in accordance with Sections 242 and 245 of the DGCL.</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Amended and Restated Certificate of Incorporation so adopted reads in full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in its entirety.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Lexeo Therapeutics, Inc. has caused this Amended and Restated Certificate of Incorporation to be signed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on this [   ]th day of [   ], 2023.</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LEXEO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 Nolan Townsend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LEXEO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Lexeo Therapeutics,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251 Little Falls Drive, City of Wilmington, County of New Castle, Delaware 19808. The name of the registered agent of the Corporation in the State of Delaware at such address is Corporation Service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Corporation is authorized to issue two classes of stock to be designated, respectively, “Common Stock” and “Preferred Stock.”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all classes of capital stock which the Corporation shall have authority to issue is (i) 500,000,000 shares of Common Stock, $0.0001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(ii) 10,000,000 shares of Preferred Stock, $0.0001 par value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w:t>
      </w:r>
    </w:p>
    <w:p>
      <w:pPr>
        <w:spacing w:after="0" w:line="142"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The Preferred Stock may be issued from time to time in one or more series.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ectPr>
          <w:pgSz w:w="11900" w:h="16838" w:orient="portrait"/>
          <w:cols w:equalWidth="0" w:num="1">
            <w:col w:w="11020"/>
          </w:cols>
          <w:pgMar w:left="440" w:top="270" w:right="439" w:bottom="1440" w:gutter="0" w:footer="0" w:header="0"/>
        </w:sectPr>
      </w:pPr>
    </w:p>
    <w:bookmarkStart w:id="394" w:name="page395"/>
    <w:bookmarkEnd w:id="394"/>
    <w:p>
      <w:pPr>
        <w:ind w:right="80"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Arial" w:cs="Arial" w:eastAsia="Arial" w:hAnsi="Arial"/>
          <w:sz w:val="18"/>
          <w:szCs w:val="18"/>
          <w:color w:val="auto"/>
        </w:rPr>
        <w:t>Each outstanding share of Common Stock shall entitle the holder thereof to one vote on each matter properly submitted to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Corporation for their vote;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such series of Preferred Stock, to vote thereon by law or pursuant to this Amended and Restated Certificate of Incorporation (including any certificate of designation filed with respect to any series of Preferred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M</w:t>
      </w:r>
      <w:r>
        <w:rPr>
          <w:rFonts w:ascii="Arial" w:cs="Arial" w:eastAsia="Arial" w:hAnsi="Arial"/>
          <w:sz w:val="13"/>
          <w:szCs w:val="13"/>
          <w:b w:val="1"/>
          <w:bCs w:val="1"/>
          <w:color w:val="auto"/>
        </w:rPr>
        <w:t>ANAGEMENT OF</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The management of the business and the conduct of the affairs of the Corporation shall be vested in its Board.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w:t>
      </w:r>
    </w:p>
    <w:p>
      <w:pPr>
        <w:spacing w:after="0" w:line="225" w:lineRule="exact"/>
        <w:rPr>
          <w:sz w:val="20"/>
          <w:szCs w:val="20"/>
          <w:color w:val="auto"/>
        </w:rPr>
      </w:pPr>
    </w:p>
    <w:p>
      <w:pPr>
        <w:ind w:right="160" w:firstLine="987"/>
        <w:spacing w:after="0" w:line="282" w:lineRule="auto"/>
        <w:tabs>
          <w:tab w:leader="none" w:pos="1171"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w:t>
      </w:r>
      <w:r>
        <w:rPr>
          <w:rFonts w:ascii="Arial" w:cs="Arial" w:eastAsia="Arial" w:hAnsi="Arial"/>
          <w:sz w:val="18"/>
          <w:szCs w:val="18"/>
          <w:color w:val="auto"/>
        </w:rPr>
        <w:t>The number of directors that shall constitute the Board shall be fixed exclusively by resolutions adopted by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number of directors constituting the Board.</w:t>
      </w:r>
    </w:p>
    <w:p>
      <w:pPr>
        <w:spacing w:after="0" w:line="161" w:lineRule="exact"/>
        <w:rPr>
          <w:rFonts w:ascii="Arial" w:cs="Arial" w:eastAsia="Arial" w:hAnsi="Arial"/>
          <w:sz w:val="18"/>
          <w:szCs w:val="18"/>
          <w:b w:val="1"/>
          <w:bCs w:val="1"/>
          <w:color w:val="auto"/>
        </w:rPr>
      </w:pPr>
    </w:p>
    <w:p>
      <w:pPr>
        <w:ind w:firstLine="987"/>
        <w:spacing w:after="0" w:line="287" w:lineRule="auto"/>
        <w:tabs>
          <w:tab w:leader="none" w:pos="1171" w:val="left"/>
        </w:tabs>
        <w:numPr>
          <w:ilvl w:val="0"/>
          <w:numId w:val="2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rights of the holders of any series of Preferred Stock to elect additional directors under specified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closing of the initial public offering pursuant to an effective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covering the offer and sale of securities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95" w:name="page396"/>
    <w:bookmarkEnd w:id="395"/>
    <w:p>
      <w:pPr>
        <w:ind w:left="1160" w:hanging="173"/>
        <w:spacing w:after="0"/>
        <w:tabs>
          <w:tab w:leader="none" w:pos="1160"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w:t>
      </w:r>
    </w:p>
    <w:p>
      <w:pPr>
        <w:spacing w:after="0" w:line="229" w:lineRule="exact"/>
        <w:rPr>
          <w:rFonts w:ascii="Arial" w:cs="Arial" w:eastAsia="Arial" w:hAnsi="Arial"/>
          <w:sz w:val="18"/>
          <w:szCs w:val="18"/>
          <w:b w:val="1"/>
          <w:bCs w:val="1"/>
          <w:color w:val="auto"/>
        </w:rPr>
      </w:pPr>
    </w:p>
    <w:p>
      <w:pPr>
        <w:ind w:right="180" w:firstLine="1428"/>
        <w:spacing w:after="0" w:line="263" w:lineRule="auto"/>
        <w:tabs>
          <w:tab w:leader="none" w:pos="1612" w:val="left"/>
        </w:tabs>
        <w:numPr>
          <w:ilvl w:val="2"/>
          <w:numId w:val="265"/>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that may be designated from time to time to elect additional directors under specified circumstances, following the closing of the Initial Public Offering, neither the Board nor any individual director may be removed without cause.</w:t>
      </w:r>
    </w:p>
    <w:p>
      <w:pPr>
        <w:spacing w:after="0" w:line="183" w:lineRule="exact"/>
        <w:rPr>
          <w:rFonts w:ascii="Arial" w:cs="Arial" w:eastAsia="Arial" w:hAnsi="Arial"/>
          <w:sz w:val="18"/>
          <w:szCs w:val="18"/>
          <w:b w:val="1"/>
          <w:bCs w:val="1"/>
          <w:color w:val="auto"/>
        </w:rPr>
      </w:pPr>
    </w:p>
    <w:p>
      <w:pPr>
        <w:ind w:right="20" w:firstLine="1428"/>
        <w:spacing w:after="0" w:line="263" w:lineRule="auto"/>
        <w:tabs>
          <w:tab w:leader="none" w:pos="1622" w:val="left"/>
        </w:tabs>
        <w:numPr>
          <w:ilvl w:val="2"/>
          <w:numId w:val="265"/>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applicable law, any individual director or directors may be removed with cause by the affirmative vote of the holders of at least sixty-six and two-thirds percent (66 2/3%) of the voting power of all then-outstanding shares of capital stock of the Corporation entitled to vote generally at an election of directors.</w:t>
      </w:r>
    </w:p>
    <w:p>
      <w:pPr>
        <w:spacing w:after="0" w:line="179" w:lineRule="exact"/>
        <w:rPr>
          <w:rFonts w:ascii="Arial" w:cs="Arial" w:eastAsia="Arial" w:hAnsi="Arial"/>
          <w:sz w:val="18"/>
          <w:szCs w:val="18"/>
          <w:b w:val="1"/>
          <w:bCs w:val="1"/>
          <w:color w:val="auto"/>
        </w:rPr>
      </w:pPr>
    </w:p>
    <w:p>
      <w:pPr>
        <w:ind w:firstLine="987"/>
        <w:spacing w:after="0" w:line="255" w:lineRule="auto"/>
        <w:tabs>
          <w:tab w:leader="none" w:pos="1171"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Subject to any limitation imposed by applicable law and subject to the rights of the holders of any series of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8" w:lineRule="exact"/>
        <w:rPr>
          <w:rFonts w:ascii="Arial" w:cs="Arial" w:eastAsia="Arial" w:hAnsi="Arial"/>
          <w:sz w:val="18"/>
          <w:szCs w:val="18"/>
          <w:b w:val="1"/>
          <w:bCs w:val="1"/>
          <w:color w:val="auto"/>
        </w:rPr>
      </w:pPr>
    </w:p>
    <w:p>
      <w:pPr>
        <w:ind w:right="40" w:firstLine="436"/>
        <w:spacing w:after="0" w:line="294" w:lineRule="auto"/>
        <w:tabs>
          <w:tab w:leader="none" w:pos="660"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YLAW</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is expressly empowered to adopt, amend or repeal the Amended and Restated Bylaws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authorized number of directors. The stockholders shall also have power to adopt, amend or repeal the Bylaws;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spacing w:after="0" w:line="159" w:lineRule="exact"/>
        <w:rPr>
          <w:rFonts w:ascii="Arial" w:cs="Arial" w:eastAsia="Arial" w:hAnsi="Arial"/>
          <w:sz w:val="16"/>
          <w:szCs w:val="16"/>
          <w:b w:val="1"/>
          <w:bCs w:val="1"/>
          <w:color w:val="auto"/>
        </w:rPr>
      </w:pPr>
    </w:p>
    <w:p>
      <w:pPr>
        <w:ind w:left="660" w:hanging="224"/>
        <w:spacing w:after="0"/>
        <w:tabs>
          <w:tab w:leader="none" w:pos="6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ALLOTS</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of the Corporation need not be elected by written ballot unless the Bylaws so provide.</w:t>
      </w:r>
    </w:p>
    <w:p>
      <w:pPr>
        <w:spacing w:after="0" w:line="225" w:lineRule="exact"/>
        <w:rPr>
          <w:rFonts w:ascii="Arial" w:cs="Arial" w:eastAsia="Arial" w:hAnsi="Arial"/>
          <w:sz w:val="18"/>
          <w:szCs w:val="18"/>
          <w:b w:val="1"/>
          <w:bCs w:val="1"/>
          <w:color w:val="auto"/>
        </w:rPr>
      </w:pPr>
    </w:p>
    <w:p>
      <w:pPr>
        <w:jc w:val="both"/>
        <w:ind w:right="540" w:firstLine="436"/>
        <w:spacing w:after="0" w:line="347" w:lineRule="auto"/>
        <w:tabs>
          <w:tab w:leader="none" w:pos="650"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2"/>
          <w:szCs w:val="12"/>
          <w:b w:val="1"/>
          <w:bCs w:val="1"/>
          <w:color w:val="auto"/>
        </w:rPr>
        <w:t>CTION BY</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No action shall be taken by the stockholders of the Corporation except at an annual or special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called in accordance with the Bylaws and no action shall be taken by the stockholders by written consent or electronic transmission.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96" w:name="page397"/>
    <w:bookmarkEnd w:id="396"/>
    <w:p>
      <w:pPr>
        <w:ind w:right="4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 the election of directors and of business to be brought by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any meeting of the stockholders of the Corporation shall be given in the manner provided in the Bylaws.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and officers for monetary damages shall be eliminated to the fullest extent under applicable law.</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To the fullest extent permitted by applicable law, the Corporation is authorized to provide indemnification of (and advancement of expenses to)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173"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repeal or modification of this Article VI shall be prospective and shall not affect the rights under this Article VI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occurrence of any act or omission to act giving rise to liability or indemnification.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Unless the Corporation consents in writing to the selection of an alternative forum, the Court of Chancery of the State of Delaware (or, if and</w:t>
      </w:r>
      <w:r>
        <w:rPr>
          <w:rFonts w:ascii="Arial" w:cs="Arial" w:eastAsia="Arial" w:hAnsi="Arial"/>
          <w:sz w:val="16"/>
          <w:szCs w:val="16"/>
          <w:b w:val="1"/>
          <w:bCs w:val="1"/>
          <w:color w:val="auto"/>
        </w:rPr>
        <w:t xml:space="preserve"> </w:t>
      </w:r>
      <w:r>
        <w:rPr>
          <w:rFonts w:ascii="Arial" w:cs="Arial" w:eastAsia="Arial" w:hAnsi="Arial"/>
          <w:sz w:val="16"/>
          <w:szCs w:val="16"/>
          <w:color w:val="auto"/>
        </w:rPr>
        <w:t>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behalf of the Corporation; (ii) any claim or cause of action for breach of a fiduciary duty owed by any current or former director, officer or other employee of the Corporation, to the Corporation or the Corporation’s stockholders; (iii) any claim or cause of action against the Corporation or any current or former director, officer or other employee of the Corporation, arising out of or pursuant to any provision of the DGCL, this Amended and Restated Certificate of Incorporation or the Bylaws (as each may be amended from time to time); (iv) any claim or cause of action seeking to interpret, apply, enforce or determine the validity of this Amended and Restated Certificate of Incorporation or the Bylaws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internal-affairs doctrine,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or the Securities Exchange Act of 1934, as amended, or any other claim for which the federal courts have exclusive jurisdiction.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97" w:name="page398"/>
    <w:bookmarkEnd w:id="397"/>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color w:val="auto"/>
        </w:rPr>
        <w:t>Unless the Corporation consents in writing to the selection of an alternative forum, to the fullest extent permitted by law, the federal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courts of the United States of America shall be the exclusive forum for the resolution of any complaint asserting a cause of action arising under the 1933 Act,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person or entity holding, owning or otherwise acquiring any interest in any security of the Corporation shall be deemed to have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consented to the provisions of this Amended and Restated Certificate of Incorporation.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6"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Notwithstanding any other provisions of this Amended and Restated Certificate of Incorporation or any provision of law which might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permit a lesser vote or no vote, but in addition to any affirmative vote of the holders of any particular class or series of the Corporation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 2/3%) of the voting power of all of the then-outstanding shares of capital stock of the Corporation entitled to vote generally in the election of directors, voting together as a single class, shall be required to alter, amend or repeal Articles V, VI, VII and VIII.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LEXEO THERAPEUTICS,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99" w:name="page400"/>
    <w:bookmarkEnd w:id="3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LEXEO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is 251 Little Falls Drive,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Delaware 19808 or in such other location as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may from time to time determine or the business of the corporation may require.</w:t>
      </w:r>
    </w:p>
    <w:p>
      <w:pPr>
        <w:spacing w:after="0" w:line="17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340" w:firstLine="440"/>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Meetings.</w:t>
      </w:r>
    </w:p>
    <w:p>
      <w:pPr>
        <w:spacing w:after="0" w:line="121" w:lineRule="exact"/>
        <w:rPr>
          <w:sz w:val="20"/>
          <w:szCs w:val="20"/>
          <w:color w:val="auto"/>
        </w:rPr>
      </w:pPr>
    </w:p>
    <w:p>
      <w:pPr>
        <w:ind w:firstLine="987"/>
        <w:spacing w:after="0" w:line="257" w:lineRule="auto"/>
        <w:tabs>
          <w:tab w:leader="none" w:pos="1246"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w:t>
      </w:r>
    </w:p>
    <w:p>
      <w:pPr>
        <w:sectPr>
          <w:pgSz w:w="11900" w:h="16838" w:orient="portrait"/>
          <w:cols w:equalWidth="0" w:num="1">
            <w:col w:w="10980"/>
          </w:cols>
          <w:pgMar w:left="440" w:top="270" w:right="479" w:bottom="1440" w:gutter="0" w:footer="0" w:header="0"/>
        </w:sectPr>
      </w:pPr>
    </w:p>
    <w:bookmarkStart w:id="400" w:name="page401"/>
    <w:bookmarkEnd w:id="400"/>
    <w:p>
      <w:pPr>
        <w:ind w:left="4"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68" w:lineRule="exact"/>
        <w:rPr>
          <w:sz w:val="20"/>
          <w:szCs w:val="20"/>
          <w:color w:val="auto"/>
        </w:rPr>
      </w:pPr>
    </w:p>
    <w:p>
      <w:pPr>
        <w:ind w:left="4" w:right="360" w:firstLine="987"/>
        <w:spacing w:after="0" w:line="277" w:lineRule="auto"/>
        <w:tabs>
          <w:tab w:leader="none" w:pos="1260"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62" w:lineRule="exact"/>
        <w:rPr>
          <w:rFonts w:ascii="Arial" w:cs="Arial" w:eastAsia="Arial" w:hAnsi="Arial"/>
          <w:sz w:val="18"/>
          <w:szCs w:val="18"/>
          <w:b w:val="1"/>
          <w:bCs w:val="1"/>
          <w:color w:val="auto"/>
        </w:rPr>
      </w:pPr>
    </w:p>
    <w:p>
      <w:pPr>
        <w:ind w:left="4" w:right="60" w:firstLine="1428"/>
        <w:spacing w:after="0" w:line="285" w:lineRule="auto"/>
        <w:tabs>
          <w:tab w:leader="none" w:pos="1691" w:val="left"/>
        </w:tabs>
        <w:numPr>
          <w:ilvl w:val="2"/>
          <w:numId w:val="268"/>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these Bylaws, the stockholder must deliver written notice to the secretary of the corporation (the “</w:t>
      </w:r>
      <w:r>
        <w:rPr>
          <w:rFonts w:ascii="Arial" w:cs="Arial" w:eastAsia="Arial" w:hAnsi="Arial"/>
          <w:sz w:val="16"/>
          <w:szCs w:val="16"/>
          <w:b w:val="1"/>
          <w:bCs w:val="1"/>
          <w:color w:val="auto"/>
        </w:rPr>
        <w:t>Secretary</w:t>
      </w:r>
      <w:r>
        <w:rPr>
          <w:rFonts w:ascii="Arial" w:cs="Arial" w:eastAsia="Arial" w:hAnsi="Arial"/>
          <w:sz w:val="16"/>
          <w:szCs w:val="16"/>
          <w:color w:val="auto"/>
        </w:rPr>
        <w:t>”)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w:t>
      </w:r>
    </w:p>
    <w:p>
      <w:pPr>
        <w:spacing w:after="0" w:line="1" w:lineRule="exact"/>
        <w:rPr>
          <w:rFonts w:ascii="Arial" w:cs="Arial" w:eastAsia="Arial" w:hAnsi="Arial"/>
          <w:sz w:val="16"/>
          <w:szCs w:val="16"/>
          <w:b w:val="1"/>
          <w:bCs w:val="1"/>
          <w:color w:val="auto"/>
        </w:rPr>
      </w:pPr>
    </w:p>
    <w:p>
      <w:pPr>
        <w:ind w:left="4" w:right="20" w:hanging="4"/>
        <w:spacing w:after="0" w:line="251" w:lineRule="auto"/>
        <w:tabs>
          <w:tab w:leader="none" w:pos="25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class and number of shares of each class of capital stock of the corporation which are owned of record and beneficially by such nominee, (4) the date or dates on which such shares were acquired and the investment intent of such acquisition, (5) with respect to each nominee for election or re-election to the Board of Directors, include a completed and signed questionnaire, representation and agreement required by Section 5(e) of these Bylaws,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88" w:lineRule="exact"/>
        <w:rPr>
          <w:rFonts w:ascii="Arial" w:cs="Arial" w:eastAsia="Arial" w:hAnsi="Arial"/>
          <w:sz w:val="18"/>
          <w:szCs w:val="18"/>
          <w:color w:val="auto"/>
        </w:rPr>
      </w:pPr>
    </w:p>
    <w:p>
      <w:pPr>
        <w:ind w:left="4" w:firstLine="1428"/>
        <w:spacing w:after="0" w:line="270" w:lineRule="auto"/>
        <w:tabs>
          <w:tab w:leader="none" w:pos="1691" w:val="left"/>
        </w:tabs>
        <w:numPr>
          <w:ilvl w:val="2"/>
          <w:numId w:val="269"/>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01" w:name="page402"/>
    <w:bookmarkEnd w:id="401"/>
    <w:p>
      <w:pPr>
        <w:ind w:firstLine="987"/>
        <w:spacing w:after="0" w:line="220" w:lineRule="auto"/>
        <w:tabs>
          <w:tab w:leader="none" w:pos="1246"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timely, the written notice required by Section 5(b)(1) or 5(b)(2) must be received by the Secretary at the principal executive offices of the corporation not later than the close of business on the ninetieth (90</w:t>
      </w:r>
      <w:r>
        <w:rPr>
          <w:rFonts w:ascii="Arial" w:cs="Arial" w:eastAsia="Arial" w:hAnsi="Arial"/>
          <w:sz w:val="25"/>
          <w:szCs w:val="25"/>
          <w:color w:val="auto"/>
          <w:vertAlign w:val="superscript"/>
        </w:rPr>
        <w:t>th</w:t>
      </w:r>
      <w:r>
        <w:rPr>
          <w:rFonts w:ascii="Arial" w:cs="Arial" w:eastAsia="Arial" w:hAnsi="Arial"/>
          <w:sz w:val="17"/>
          <w:szCs w:val="17"/>
          <w:color w:val="auto"/>
        </w:rPr>
        <w:t>) day nor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first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5(b)(3),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25"/>
          <w:szCs w:val="25"/>
          <w:color w:val="auto"/>
          <w:vertAlign w:val="superscript"/>
        </w:rPr>
        <w:t>th</w:t>
      </w:r>
      <w:r>
        <w:rPr>
          <w:rFonts w:ascii="Arial" w:cs="Arial" w:eastAsia="Arial" w:hAnsi="Arial"/>
          <w:sz w:val="17"/>
          <w:szCs w:val="17"/>
          <w:color w:val="auto"/>
        </w:rPr>
        <w:t>) day prior to such annual meeting or the tenth (10</w:t>
      </w:r>
      <w:r>
        <w:rPr>
          <w:rFonts w:ascii="Arial" w:cs="Arial" w:eastAsia="Arial" w:hAnsi="Arial"/>
          <w:sz w:val="25"/>
          <w:szCs w:val="25"/>
          <w:color w:val="auto"/>
          <w:vertAlign w:val="superscript"/>
        </w:rPr>
        <w:t>th</w:t>
      </w:r>
      <w:r>
        <w:rPr>
          <w:rFonts w:ascii="Arial" w:cs="Arial" w:eastAsia="Arial" w:hAnsi="Arial"/>
          <w:sz w:val="17"/>
          <w:szCs w:val="17"/>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02" w:lineRule="exact"/>
        <w:rPr>
          <w:rFonts w:ascii="Arial" w:cs="Arial" w:eastAsia="Arial" w:hAnsi="Arial"/>
          <w:sz w:val="17"/>
          <w:szCs w:val="17"/>
          <w:b w:val="1"/>
          <w:bCs w:val="1"/>
          <w:color w:val="auto"/>
        </w:rPr>
      </w:pPr>
    </w:p>
    <w:p>
      <w:pPr>
        <w:ind w:firstLine="987"/>
        <w:spacing w:after="0" w:line="268" w:lineRule="auto"/>
        <w:tabs>
          <w:tab w:leader="none" w:pos="1246"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i w:val="1"/>
          <w:i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purposes of Sections 5 and 6, a “</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02" w:name="page403"/>
    <w:bookmarkEnd w:id="402"/>
    <w:p>
      <w:pPr>
        <w:ind w:left="664" w:hanging="224"/>
        <w:spacing w:after="0"/>
        <w:tabs>
          <w:tab w:leader="none" w:pos="664"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value of which is derived in whole or in part from the value of any class or series of shares or other securities of the corporation,</w:t>
      </w:r>
    </w:p>
    <w:p>
      <w:pPr>
        <w:spacing w:after="0" w:line="128" w:lineRule="exact"/>
        <w:rPr>
          <w:rFonts w:ascii="Arial" w:cs="Arial" w:eastAsia="Arial" w:hAnsi="Arial"/>
          <w:sz w:val="17"/>
          <w:szCs w:val="17"/>
          <w:b w:val="1"/>
          <w:bCs w:val="1"/>
          <w:color w:val="auto"/>
        </w:rPr>
      </w:pPr>
    </w:p>
    <w:p>
      <w:pPr>
        <w:ind w:left="444" w:right="40" w:hanging="4"/>
        <w:spacing w:after="0" w:line="277" w:lineRule="auto"/>
        <w:tabs>
          <w:tab w:leader="none" w:pos="709"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which otherwise provides any direct or indirect opportunity to gain or share in any gain derived from a change in the value of securities of the corporation,</w:t>
      </w:r>
    </w:p>
    <w:p>
      <w:pPr>
        <w:spacing w:after="0" w:line="62" w:lineRule="exact"/>
        <w:rPr>
          <w:rFonts w:ascii="Arial" w:cs="Arial" w:eastAsia="Arial" w:hAnsi="Arial"/>
          <w:sz w:val="18"/>
          <w:szCs w:val="18"/>
          <w:b w:val="1"/>
          <w:bCs w:val="1"/>
          <w:color w:val="auto"/>
        </w:rPr>
      </w:pPr>
    </w:p>
    <w:p>
      <w:pPr>
        <w:ind w:left="764" w:hanging="324"/>
        <w:spacing w:after="0"/>
        <w:tabs>
          <w:tab w:leader="none" w:pos="764"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117" w:lineRule="exact"/>
        <w:rPr>
          <w:rFonts w:ascii="Arial" w:cs="Arial" w:eastAsia="Arial" w:hAnsi="Arial"/>
          <w:sz w:val="18"/>
          <w:szCs w:val="18"/>
          <w:b w:val="1"/>
          <w:bCs w:val="1"/>
          <w:color w:val="auto"/>
        </w:rPr>
      </w:pPr>
    </w:p>
    <w:p>
      <w:pPr>
        <w:ind w:left="444" w:hanging="4"/>
        <w:spacing w:after="0" w:line="277" w:lineRule="auto"/>
        <w:tabs>
          <w:tab w:leader="none" w:pos="749"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68" w:lineRule="exact"/>
        <w:rPr>
          <w:sz w:val="20"/>
          <w:szCs w:val="20"/>
          <w:color w:val="auto"/>
        </w:rPr>
      </w:pPr>
    </w:p>
    <w:p>
      <w:pPr>
        <w:ind w:left="4" w:right="160" w:firstLine="987"/>
        <w:spacing w:after="0" w:line="287" w:lineRule="auto"/>
        <w:tabs>
          <w:tab w:leader="none" w:pos="1240" w:val="left"/>
        </w:tabs>
        <w:numPr>
          <w:ilvl w:val="1"/>
          <w:numId w:val="272"/>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2" w:lineRule="exact"/>
        <w:rPr>
          <w:rFonts w:ascii="Arial" w:cs="Arial" w:eastAsia="Arial" w:hAnsi="Arial"/>
          <w:sz w:val="16"/>
          <w:szCs w:val="16"/>
          <w:b w:val="1"/>
          <w:bCs w:val="1"/>
          <w:color w:val="auto"/>
        </w:rPr>
      </w:pPr>
    </w:p>
    <w:p>
      <w:pPr>
        <w:ind w:left="4" w:hanging="4"/>
        <w:spacing w:after="0" w:line="292" w:lineRule="auto"/>
        <w:tabs>
          <w:tab w:leader="none" w:pos="259" w:val="left"/>
        </w:tabs>
        <w:numPr>
          <w:ilvl w:val="0"/>
          <w:numId w:val="273"/>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54" w:lineRule="exact"/>
        <w:rPr>
          <w:rFonts w:ascii="Arial" w:cs="Arial" w:eastAsia="Arial" w:hAnsi="Arial"/>
          <w:sz w:val="16"/>
          <w:szCs w:val="16"/>
          <w:color w:val="auto"/>
        </w:rPr>
      </w:pPr>
    </w:p>
    <w:p>
      <w:pPr>
        <w:ind w:left="4" w:right="40" w:firstLine="987"/>
        <w:spacing w:after="0" w:line="271" w:lineRule="auto"/>
        <w:tabs>
          <w:tab w:leader="none" w:pos="1260" w:val="left"/>
        </w:tabs>
        <w:numPr>
          <w:ilvl w:val="1"/>
          <w:numId w:val="273"/>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Arial" w:cs="Arial" w:eastAsia="Arial" w:hAnsi="Arial"/>
          <w:sz w:val="17"/>
          <w:szCs w:val="17"/>
          <w:b w:val="1"/>
          <w:bCs w:val="1"/>
          <w:i w:val="1"/>
          <w:iCs w:val="1"/>
          <w:color w:val="auto"/>
        </w:rPr>
        <w:t>Expiring Class</w:t>
      </w:r>
      <w:r>
        <w:rPr>
          <w:rFonts w:ascii="Arial" w:cs="Arial" w:eastAsia="Arial" w:hAnsi="Arial"/>
          <w:sz w:val="17"/>
          <w:szCs w:val="17"/>
          <w:color w:val="auto"/>
        </w:rPr>
        <w:t>” shall mean a class of directors whose term shall expire at the next annual meeting of stockholders.</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403" w:name="page404"/>
    <w:bookmarkEnd w:id="403"/>
    <w:p>
      <w:pPr>
        <w:ind w:left="1244" w:hanging="253"/>
        <w:spacing w:after="0"/>
        <w:tabs>
          <w:tab w:leader="none" w:pos="1244"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shall not be eligible for election or re-election as a director unless the person is nominated either in accordance with clause</w:t>
      </w:r>
    </w:p>
    <w:p>
      <w:pPr>
        <w:spacing w:after="0" w:line="46" w:lineRule="exact"/>
        <w:rPr>
          <w:rFonts w:ascii="Arial" w:cs="Arial" w:eastAsia="Arial" w:hAnsi="Arial"/>
          <w:sz w:val="16"/>
          <w:szCs w:val="16"/>
          <w:b w:val="1"/>
          <w:bCs w:val="1"/>
          <w:color w:val="auto"/>
        </w:rPr>
      </w:pPr>
    </w:p>
    <w:p>
      <w:pPr>
        <w:ind w:left="4" w:right="20" w:hanging="4"/>
        <w:spacing w:after="0" w:line="252" w:lineRule="auto"/>
        <w:tabs>
          <w:tab w:leader="none" w:pos="26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85" w:lineRule="exact"/>
        <w:rPr>
          <w:rFonts w:ascii="Arial" w:cs="Arial" w:eastAsia="Arial" w:hAnsi="Arial"/>
          <w:sz w:val="18"/>
          <w:szCs w:val="18"/>
          <w:color w:val="auto"/>
        </w:rPr>
      </w:pPr>
    </w:p>
    <w:p>
      <w:pPr>
        <w:ind w:left="4" w:firstLine="987"/>
        <w:spacing w:after="0" w:line="255" w:lineRule="auto"/>
        <w:tabs>
          <w:tab w:leader="none" w:pos="1220"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84" w:lineRule="exact"/>
        <w:rPr>
          <w:rFonts w:ascii="Arial" w:cs="Arial" w:eastAsia="Arial" w:hAnsi="Arial"/>
          <w:sz w:val="18"/>
          <w:szCs w:val="18"/>
          <w:b w:val="1"/>
          <w:bCs w:val="1"/>
          <w:color w:val="auto"/>
        </w:rPr>
      </w:pPr>
    </w:p>
    <w:p>
      <w:pPr>
        <w:ind w:left="1244" w:hanging="253"/>
        <w:spacing w:after="0"/>
        <w:tabs>
          <w:tab w:leader="none" w:pos="1244"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17" w:lineRule="exact"/>
        <w:rPr>
          <w:rFonts w:ascii="Arial" w:cs="Arial" w:eastAsia="Arial" w:hAnsi="Arial"/>
          <w:sz w:val="18"/>
          <w:szCs w:val="18"/>
          <w:b w:val="1"/>
          <w:bCs w:val="1"/>
          <w:color w:val="auto"/>
        </w:rPr>
      </w:pPr>
    </w:p>
    <w:p>
      <w:pPr>
        <w:ind w:left="4" w:right="180" w:firstLine="1428"/>
        <w:spacing w:after="0" w:line="263" w:lineRule="auto"/>
        <w:tabs>
          <w:tab w:leader="none" w:pos="1691" w:val="left"/>
        </w:tabs>
        <w:numPr>
          <w:ilvl w:val="2"/>
          <w:numId w:val="2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75" w:lineRule="exact"/>
        <w:rPr>
          <w:rFonts w:ascii="Arial" w:cs="Arial" w:eastAsia="Arial" w:hAnsi="Arial"/>
          <w:sz w:val="18"/>
          <w:szCs w:val="18"/>
          <w:b w:val="1"/>
          <w:bCs w:val="1"/>
          <w:color w:val="auto"/>
        </w:rPr>
      </w:pPr>
    </w:p>
    <w:p>
      <w:pPr>
        <w:ind w:left="1684" w:hanging="252"/>
        <w:spacing w:after="0"/>
        <w:tabs>
          <w:tab w:leader="none" w:pos="1684" w:val="left"/>
        </w:tabs>
        <w:numPr>
          <w:ilvl w:val="2"/>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Special Meetings.</w:t>
      </w:r>
    </w:p>
    <w:p>
      <w:pPr>
        <w:spacing w:after="0" w:line="121" w:lineRule="exact"/>
        <w:rPr>
          <w:sz w:val="20"/>
          <w:szCs w:val="20"/>
          <w:color w:val="auto"/>
        </w:rPr>
      </w:pPr>
    </w:p>
    <w:p>
      <w:pPr>
        <w:ind w:left="4" w:right="400" w:firstLine="987"/>
        <w:spacing w:after="0" w:line="259" w:lineRule="auto"/>
        <w:tabs>
          <w:tab w:leader="none" w:pos="1250"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78" w:lineRule="exact"/>
        <w:rPr>
          <w:rFonts w:ascii="Arial" w:cs="Arial" w:eastAsia="Arial" w:hAnsi="Arial"/>
          <w:sz w:val="18"/>
          <w:szCs w:val="18"/>
          <w:b w:val="1"/>
          <w:bCs w:val="1"/>
          <w:color w:val="auto"/>
        </w:rPr>
      </w:pPr>
    </w:p>
    <w:p>
      <w:pPr>
        <w:ind w:left="4" w:firstLine="987"/>
        <w:spacing w:after="0" w:line="286" w:lineRule="auto"/>
        <w:tabs>
          <w:tab w:leader="none" w:pos="1260"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04" w:name="page405"/>
    <w:bookmarkEnd w:id="404"/>
    <w:p>
      <w:pPr>
        <w:ind w:right="40" w:firstLine="987"/>
        <w:spacing w:after="0" w:line="258" w:lineRule="auto"/>
        <w:tabs>
          <w:tab w:leader="none" w:pos="1236"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w:t>
      </w:r>
      <w:r>
        <w:rPr>
          <w:rFonts w:ascii="Arial" w:cs="Arial" w:eastAsia="Arial" w:hAnsi="Arial"/>
          <w:sz w:val="25"/>
          <w:szCs w:val="25"/>
          <w:color w:val="auto"/>
          <w:vertAlign w:val="superscript"/>
        </w:rPr>
        <w:t>th</w:t>
      </w:r>
      <w:r>
        <w:rPr>
          <w:rFonts w:ascii="Arial" w:cs="Arial" w:eastAsia="Arial" w:hAnsi="Arial"/>
          <w:sz w:val="17"/>
          <w:szCs w:val="17"/>
          <w:color w:val="auto"/>
        </w:rPr>
        <w:t>) day prior to such meeting or the tenth (10</w:t>
      </w:r>
      <w:r>
        <w:rPr>
          <w:rFonts w:ascii="Arial" w:cs="Arial" w:eastAsia="Arial" w:hAnsi="Arial"/>
          <w:sz w:val="25"/>
          <w:szCs w:val="25"/>
          <w:color w:val="auto"/>
          <w:vertAlign w:val="superscript"/>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79" w:lineRule="exact"/>
        <w:rPr>
          <w:rFonts w:ascii="Arial" w:cs="Arial" w:eastAsia="Arial" w:hAnsi="Arial"/>
          <w:sz w:val="17"/>
          <w:szCs w:val="17"/>
          <w:b w:val="1"/>
          <w:bCs w:val="1"/>
          <w:color w:val="auto"/>
        </w:rPr>
      </w:pPr>
    </w:p>
    <w:p>
      <w:pPr>
        <w:ind w:right="180" w:firstLine="987"/>
        <w:spacing w:after="0" w:line="296" w:lineRule="auto"/>
        <w:tabs>
          <w:tab w:leader="none" w:pos="1256" w:val="left"/>
        </w:tabs>
        <w:numPr>
          <w:ilvl w:val="0"/>
          <w:numId w:val="277"/>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these Bylaws to the 1934 Act or the rules and regulations thereunder are not intended to and shall not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applicable to nominations for the election to the Board of Directors to be considered pursuant to Section 6(c) of these Bylaws.</w:t>
      </w:r>
    </w:p>
    <w:p>
      <w:pPr>
        <w:spacing w:after="0" w:line="1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If sent via electronic transmission, notice is deemed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05" w:name="page406"/>
    <w:bookmarkEnd w:id="405"/>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Quorum. </w:t>
      </w:r>
      <w:r>
        <w:rPr>
          <w:rFonts w:ascii="Arial" w:cs="Arial" w:eastAsia="Arial" w:hAnsi="Arial"/>
          <w:sz w:val="17"/>
          <w:szCs w:val="17"/>
          <w:color w:val="auto"/>
        </w:rPr>
        <w:t>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406" w:name="page407"/>
    <w:bookmarkEnd w:id="406"/>
    <w:p>
      <w:pPr>
        <w:ind w:left="4"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2" w:lineRule="exact"/>
        <w:rPr>
          <w:sz w:val="20"/>
          <w:szCs w:val="20"/>
          <w:color w:val="auto"/>
        </w:rPr>
      </w:pPr>
    </w:p>
    <w:p>
      <w:pPr>
        <w:ind w:left="4" w:right="120" w:hanging="4"/>
        <w:spacing w:after="0" w:line="277" w:lineRule="auto"/>
        <w:tabs>
          <w:tab w:leader="none" w:pos="25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9"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1" w:lineRule="exact"/>
        <w:rPr>
          <w:sz w:val="20"/>
          <w:szCs w:val="20"/>
          <w:color w:val="auto"/>
        </w:rPr>
      </w:pPr>
    </w:p>
    <w:p>
      <w:pPr>
        <w:ind w:left="4" w:right="140" w:firstLine="440"/>
        <w:spacing w:after="0" w:line="312" w:lineRule="auto"/>
        <w:rPr>
          <w:sz w:val="20"/>
          <w:szCs w:val="20"/>
          <w:color w:val="auto"/>
        </w:rPr>
      </w:pPr>
      <w:r>
        <w:rPr>
          <w:rFonts w:ascii="Arial" w:cs="Arial" w:eastAsia="Arial" w:hAnsi="Arial"/>
          <w:sz w:val="17"/>
          <w:szCs w:val="17"/>
          <w:b w:val="1"/>
          <w:bCs w:val="1"/>
          <w:color w:val="auto"/>
        </w:rPr>
        <w:t xml:space="preserve">Section 13. Action Without Meeting. </w:t>
      </w:r>
      <w:r>
        <w:rPr>
          <w:rFonts w:ascii="Arial" w:cs="Arial" w:eastAsia="Arial" w:hAnsi="Arial"/>
          <w:sz w:val="17"/>
          <w:szCs w:val="17"/>
          <w:color w:val="auto"/>
        </w:rPr>
        <w:t>No action shall be taken by the stockholders except at an annual or special meeting of stockholders called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these Bylaws, and no action shall be taken by the stockholders by written consent or by electronic transmission.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14. Organization.</w:t>
      </w:r>
    </w:p>
    <w:p>
      <w:pPr>
        <w:spacing w:after="0" w:line="121" w:lineRule="exact"/>
        <w:rPr>
          <w:sz w:val="20"/>
          <w:szCs w:val="20"/>
          <w:color w:val="auto"/>
        </w:rPr>
      </w:pPr>
    </w:p>
    <w:p>
      <w:pPr>
        <w:ind w:left="4" w:firstLine="987"/>
        <w:spacing w:after="0" w:line="259" w:lineRule="auto"/>
        <w:tabs>
          <w:tab w:leader="none" w:pos="125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78" w:lineRule="exact"/>
        <w:rPr>
          <w:rFonts w:ascii="Arial" w:cs="Arial" w:eastAsia="Arial" w:hAnsi="Arial"/>
          <w:sz w:val="18"/>
          <w:szCs w:val="18"/>
          <w:b w:val="1"/>
          <w:bCs w:val="1"/>
          <w:color w:val="auto"/>
        </w:rPr>
      </w:pPr>
    </w:p>
    <w:p>
      <w:pPr>
        <w:ind w:left="4" w:firstLine="987"/>
        <w:spacing w:after="0" w:line="293" w:lineRule="auto"/>
        <w:tabs>
          <w:tab w:leader="none" w:pos="1260"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07" w:name="page408"/>
    <w:bookmarkEnd w:id="407"/>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0"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17. Classes of Directors. </w:t>
      </w:r>
      <w:r>
        <w:rPr>
          <w:rFonts w:ascii="Arial" w:cs="Arial" w:eastAsia="Arial" w:hAnsi="Arial"/>
          <w:sz w:val="16"/>
          <w:szCs w:val="16"/>
          <w:color w:val="auto"/>
        </w:rPr>
        <w:t>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immediately following the closing of the initial public offering pursuant to an effective registration statement under the 1933 Act covering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08" w:name="page409"/>
    <w:bookmarkEnd w:id="408"/>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 Vacancies. </w:t>
      </w:r>
      <w:r>
        <w:rPr>
          <w:rFonts w:ascii="Arial" w:cs="Arial" w:eastAsia="Arial" w:hAnsi="Arial"/>
          <w:sz w:val="17"/>
          <w:szCs w:val="17"/>
          <w:color w:val="auto"/>
        </w:rPr>
        <w:t>Unless otherwise provided in the Certificate of Incorporation, and subject to the rights of the holders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9"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 Removal.</w:t>
      </w:r>
    </w:p>
    <w:p>
      <w:pPr>
        <w:spacing w:after="0" w:line="121" w:lineRule="exact"/>
        <w:rPr>
          <w:sz w:val="20"/>
          <w:szCs w:val="20"/>
          <w:color w:val="auto"/>
        </w:rPr>
      </w:pPr>
    </w:p>
    <w:p>
      <w:pPr>
        <w:ind w:right="140" w:firstLine="987"/>
        <w:spacing w:after="0" w:line="277" w:lineRule="auto"/>
        <w:tabs>
          <w:tab w:leader="none" w:pos="1246"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p>
    <w:p>
      <w:pPr>
        <w:spacing w:after="0" w:line="117" w:lineRule="exact"/>
        <w:rPr>
          <w:sz w:val="20"/>
          <w:szCs w:val="20"/>
          <w:color w:val="auto"/>
        </w:rPr>
      </w:pPr>
    </w:p>
    <w:p>
      <w:pPr>
        <w:ind w:right="120" w:firstLine="987"/>
        <w:spacing w:after="0" w:line="258" w:lineRule="auto"/>
        <w:tabs>
          <w:tab w:leader="none" w:pos="1246"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09" w:name="page410"/>
    <w:bookmarkEnd w:id="409"/>
    <w:p>
      <w:pPr>
        <w:ind w:right="200" w:firstLine="987"/>
        <w:spacing w:after="0" w:line="266" w:lineRule="auto"/>
        <w:tabs>
          <w:tab w:leader="none" w:pos="1256"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or a majority of the authorized number of directors.</w:t>
      </w:r>
    </w:p>
    <w:p>
      <w:pPr>
        <w:spacing w:after="0" w:line="67" w:lineRule="exact"/>
        <w:rPr>
          <w:rFonts w:ascii="Arial" w:cs="Arial" w:eastAsia="Arial" w:hAnsi="Arial"/>
          <w:sz w:val="18"/>
          <w:szCs w:val="18"/>
          <w:b w:val="1"/>
          <w:bCs w:val="1"/>
          <w:color w:val="auto"/>
        </w:rPr>
      </w:pPr>
    </w:p>
    <w:p>
      <w:pPr>
        <w:ind w:right="360" w:firstLine="987"/>
        <w:spacing w:after="0" w:line="314" w:lineRule="auto"/>
        <w:tabs>
          <w:tab w:leader="none" w:pos="1236"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3" w:lineRule="exact"/>
        <w:rPr>
          <w:rFonts w:ascii="Arial" w:cs="Arial" w:eastAsia="Arial" w:hAnsi="Arial"/>
          <w:sz w:val="16"/>
          <w:szCs w:val="16"/>
          <w:b w:val="1"/>
          <w:bCs w:val="1"/>
          <w:color w:val="auto"/>
        </w:rPr>
      </w:pPr>
    </w:p>
    <w:p>
      <w:pPr>
        <w:ind w:right="40" w:firstLine="987"/>
        <w:spacing w:after="0" w:line="273" w:lineRule="auto"/>
        <w:tabs>
          <w:tab w:leader="none" w:pos="1256"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63" w:lineRule="exact"/>
        <w:rPr>
          <w:rFonts w:ascii="Arial" w:cs="Arial" w:eastAsia="Arial" w:hAnsi="Arial"/>
          <w:sz w:val="17"/>
          <w:szCs w:val="17"/>
          <w:b w:val="1"/>
          <w:bCs w:val="1"/>
          <w:color w:val="auto"/>
        </w:rPr>
      </w:pPr>
    </w:p>
    <w:p>
      <w:pPr>
        <w:ind w:firstLine="987"/>
        <w:spacing w:after="0" w:line="303" w:lineRule="auto"/>
        <w:tabs>
          <w:tab w:leader="none" w:pos="1236"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p>
    <w:p>
      <w:pPr>
        <w:spacing w:after="0" w:line="121" w:lineRule="exact"/>
        <w:rPr>
          <w:sz w:val="20"/>
          <w:szCs w:val="20"/>
          <w:color w:val="auto"/>
        </w:rPr>
      </w:pPr>
    </w:p>
    <w:p>
      <w:pPr>
        <w:ind w:firstLine="987"/>
        <w:spacing w:after="0" w:line="296" w:lineRule="auto"/>
        <w:tabs>
          <w:tab w:leader="none" w:pos="1246"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10" w:name="page411"/>
    <w:bookmarkEnd w:id="410"/>
    <w:p>
      <w:pPr>
        <w:ind w:left="4" w:right="500" w:firstLine="987"/>
        <w:spacing w:after="0" w:line="342" w:lineRule="auto"/>
        <w:tabs>
          <w:tab w:leader="none" w:pos="1260"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340" w:firstLine="440"/>
        <w:spacing w:after="0" w:line="258" w:lineRule="auto"/>
        <w:rPr>
          <w:sz w:val="20"/>
          <w:szCs w:val="20"/>
          <w:color w:val="auto"/>
        </w:rPr>
      </w:pPr>
      <w:r>
        <w:rPr>
          <w:rFonts w:ascii="Arial" w:cs="Arial" w:eastAsia="Arial" w:hAnsi="Arial"/>
          <w:sz w:val="18"/>
          <w:szCs w:val="18"/>
          <w:b w:val="1"/>
          <w:bCs w:val="1"/>
          <w:color w:val="auto"/>
        </w:rPr>
        <w:t xml:space="preserve">Section 24.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p>
    <w:p>
      <w:pPr>
        <w:spacing w:after="0" w:line="117" w:lineRule="exact"/>
        <w:rPr>
          <w:sz w:val="20"/>
          <w:szCs w:val="20"/>
          <w:color w:val="auto"/>
        </w:rPr>
      </w:pPr>
    </w:p>
    <w:p>
      <w:pPr>
        <w:jc w:val="both"/>
        <w:ind w:left="4" w:right="20" w:firstLine="987"/>
        <w:spacing w:after="0" w:line="287" w:lineRule="auto"/>
        <w:tabs>
          <w:tab w:leader="none" w:pos="1250"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20" w:hanging="4"/>
        <w:spacing w:after="0" w:line="290" w:lineRule="auto"/>
        <w:tabs>
          <w:tab w:leader="none" w:pos="21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49" w:lineRule="exact"/>
        <w:rPr>
          <w:rFonts w:ascii="Arial" w:cs="Arial" w:eastAsia="Arial" w:hAnsi="Arial"/>
          <w:sz w:val="17"/>
          <w:szCs w:val="17"/>
          <w:color w:val="auto"/>
        </w:rPr>
      </w:pPr>
    </w:p>
    <w:p>
      <w:pPr>
        <w:ind w:left="4" w:right="60" w:firstLine="987"/>
        <w:spacing w:after="0" w:line="261" w:lineRule="auto"/>
        <w:tabs>
          <w:tab w:leader="none" w:pos="1260"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1" w:lineRule="exact"/>
        <w:rPr>
          <w:rFonts w:ascii="Arial" w:cs="Arial" w:eastAsia="Arial" w:hAnsi="Arial"/>
          <w:sz w:val="18"/>
          <w:szCs w:val="18"/>
          <w:b w:val="1"/>
          <w:bCs w:val="1"/>
          <w:color w:val="auto"/>
        </w:rPr>
      </w:pPr>
    </w:p>
    <w:p>
      <w:pPr>
        <w:ind w:left="4" w:right="20" w:firstLine="987"/>
        <w:spacing w:after="0" w:line="281" w:lineRule="auto"/>
        <w:tabs>
          <w:tab w:leader="none" w:pos="1240"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411" w:name="page412"/>
    <w:bookmarkEnd w:id="411"/>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64" w:lineRule="exact"/>
        <w:rPr>
          <w:sz w:val="20"/>
          <w:szCs w:val="20"/>
          <w:color w:val="auto"/>
        </w:rPr>
      </w:pPr>
    </w:p>
    <w:p>
      <w:pPr>
        <w:ind w:firstLine="987"/>
        <w:spacing w:after="0" w:line="269" w:lineRule="auto"/>
        <w:tabs>
          <w:tab w:leader="none" w:pos="1256"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26. Organization. </w:t>
      </w:r>
      <w:r>
        <w:rPr>
          <w:rFonts w:ascii="Arial" w:cs="Arial" w:eastAsia="Arial" w:hAnsi="Arial"/>
          <w:sz w:val="17"/>
          <w:szCs w:val="17"/>
          <w:color w:val="auto"/>
        </w:rPr>
        <w:t>At every meeting of the directors and stockholders, the Chairman of the Board of Directors, or, if a Chairman has not</w:t>
      </w:r>
      <w:r>
        <w:rPr>
          <w:rFonts w:ascii="Arial" w:cs="Arial" w:eastAsia="Arial" w:hAnsi="Arial"/>
          <w:sz w:val="17"/>
          <w:szCs w:val="17"/>
          <w:b w:val="1"/>
          <w:bCs w:val="1"/>
          <w:color w:val="auto"/>
        </w:rPr>
        <w:t xml:space="preserve"> </w:t>
      </w:r>
      <w:r>
        <w:rPr>
          <w:rFonts w:ascii="Arial" w:cs="Arial" w:eastAsia="Arial" w:hAnsi="Arial"/>
          <w:sz w:val="17"/>
          <w:szCs w:val="17"/>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27. Officers Designated. </w:t>
      </w:r>
      <w:r>
        <w:rPr>
          <w:rFonts w:ascii="Arial" w:cs="Arial" w:eastAsia="Arial" w:hAnsi="Arial"/>
          <w:sz w:val="18"/>
          <w:szCs w:val="18"/>
          <w:color w:val="auto"/>
        </w:rPr>
        <w:t>The officers of the corporation shall include, if and when designated by the Board of Directors, the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12" w:name="page413"/>
    <w:bookmarkEnd w:id="41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28. Tenure and Duties of Officers.</w:t>
      </w:r>
    </w:p>
    <w:p>
      <w:pPr>
        <w:spacing w:after="0" w:line="117" w:lineRule="exact"/>
        <w:rPr>
          <w:sz w:val="20"/>
          <w:szCs w:val="20"/>
          <w:color w:val="auto"/>
        </w:rPr>
      </w:pPr>
    </w:p>
    <w:p>
      <w:pPr>
        <w:ind w:firstLine="987"/>
        <w:spacing w:after="0" w:line="266" w:lineRule="auto"/>
        <w:tabs>
          <w:tab w:leader="none" w:pos="124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56"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Executive Officer. </w:t>
      </w:r>
      <w:r>
        <w:rPr>
          <w:rFonts w:ascii="Arial" w:cs="Arial" w:eastAsia="Arial" w:hAnsi="Arial"/>
          <w:sz w:val="17"/>
          <w:szCs w:val="17"/>
          <w:color w:val="auto"/>
        </w:rPr>
        <w:t>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63" w:lineRule="exact"/>
        <w:rPr>
          <w:rFonts w:ascii="Arial" w:cs="Arial" w:eastAsia="Arial" w:hAnsi="Arial"/>
          <w:sz w:val="17"/>
          <w:szCs w:val="17"/>
          <w:b w:val="1"/>
          <w:bCs w:val="1"/>
          <w:color w:val="auto"/>
        </w:rPr>
      </w:pPr>
    </w:p>
    <w:p>
      <w:pPr>
        <w:ind w:right="20" w:firstLine="987"/>
        <w:spacing w:after="0" w:line="256" w:lineRule="auto"/>
        <w:tabs>
          <w:tab w:leader="none" w:pos="123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preside at all meetings of the stockholders and at all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79" w:lineRule="exact"/>
        <w:rPr>
          <w:rFonts w:ascii="Arial" w:cs="Arial" w:eastAsia="Arial" w:hAnsi="Arial"/>
          <w:sz w:val="18"/>
          <w:szCs w:val="18"/>
          <w:b w:val="1"/>
          <w:bCs w:val="1"/>
          <w:color w:val="auto"/>
        </w:rPr>
      </w:pPr>
    </w:p>
    <w:p>
      <w:pPr>
        <w:jc w:val="both"/>
        <w:ind w:right="20" w:firstLine="987"/>
        <w:spacing w:after="0" w:line="261" w:lineRule="auto"/>
        <w:tabs>
          <w:tab w:leader="none" w:pos="1256"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The Vice Presidents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13" w:name="page414"/>
    <w:bookmarkEnd w:id="413"/>
    <w:p>
      <w:pPr>
        <w:ind w:right="120" w:firstLine="987"/>
        <w:spacing w:after="0" w:line="292" w:lineRule="auto"/>
        <w:tabs>
          <w:tab w:leader="none" w:pos="1236"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Duties of Secretary. </w:t>
      </w:r>
      <w:r>
        <w:rPr>
          <w:rFonts w:ascii="Arial" w:cs="Arial" w:eastAsia="Arial" w:hAnsi="Arial"/>
          <w:sz w:val="16"/>
          <w:szCs w:val="16"/>
          <w:color w:val="auto"/>
        </w:rPr>
        <w:t>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53" w:lineRule="exact"/>
        <w:rPr>
          <w:rFonts w:ascii="Arial" w:cs="Arial" w:eastAsia="Arial" w:hAnsi="Arial"/>
          <w:sz w:val="16"/>
          <w:szCs w:val="16"/>
          <w:b w:val="1"/>
          <w:bCs w:val="1"/>
          <w:color w:val="auto"/>
        </w:rPr>
      </w:pPr>
    </w:p>
    <w:p>
      <w:pPr>
        <w:ind w:firstLine="987"/>
        <w:spacing w:after="0" w:line="289" w:lineRule="auto"/>
        <w:tabs>
          <w:tab w:leader="none" w:pos="1216"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52" w:lineRule="exact"/>
        <w:rPr>
          <w:rFonts w:ascii="Arial" w:cs="Arial" w:eastAsia="Arial" w:hAnsi="Arial"/>
          <w:sz w:val="16"/>
          <w:szCs w:val="16"/>
          <w:b w:val="1"/>
          <w:bCs w:val="1"/>
          <w:color w:val="auto"/>
        </w:rPr>
      </w:pPr>
    </w:p>
    <w:p>
      <w:pPr>
        <w:ind w:right="60" w:firstLine="987"/>
        <w:spacing w:after="0" w:line="256" w:lineRule="auto"/>
        <w:tabs>
          <w:tab w:leader="none" w:pos="1246"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Treasurer. </w:t>
      </w:r>
      <w:r>
        <w:rPr>
          <w:rFonts w:ascii="Arial" w:cs="Arial" w:eastAsia="Arial" w:hAnsi="Arial"/>
          <w:sz w:val="18"/>
          <w:szCs w:val="18"/>
          <w:color w:val="auto"/>
        </w:rPr>
        <w:t>Unless another officer has been appointed Chief Financial Officer of the corporation, the Treasurer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30. Resignations. </w:t>
      </w:r>
      <w:r>
        <w:rPr>
          <w:rFonts w:ascii="Arial" w:cs="Arial" w:eastAsia="Arial" w:hAnsi="Arial"/>
          <w:sz w:val="18"/>
          <w:szCs w:val="18"/>
          <w:color w:val="auto"/>
        </w:rPr>
        <w:t>Any officer may resign at any time by giving notice in writing or by electronic transmission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14" w:name="page415"/>
    <w:bookmarkEnd w:id="414"/>
    <w:p>
      <w:pPr>
        <w:ind w:right="1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 Removal. </w:t>
      </w:r>
      <w:r>
        <w:rPr>
          <w:rFonts w:ascii="Arial" w:cs="Arial" w:eastAsia="Arial" w:hAnsi="Arial"/>
          <w:sz w:val="17"/>
          <w:szCs w:val="17"/>
          <w:color w:val="auto"/>
        </w:rPr>
        <w:t>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 xml:space="preserve">Section 32.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34. Form and Execution of Certificates. </w:t>
      </w:r>
      <w:r>
        <w:rPr>
          <w:rFonts w:ascii="Arial" w:cs="Arial" w:eastAsia="Arial" w:hAnsi="Arial"/>
          <w:sz w:val="18"/>
          <w:szCs w:val="18"/>
          <w:color w:val="auto"/>
        </w:rPr>
        <w:t>The shares of the corporation shall be represented by certificates, or shall be uncertificated if so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415" w:name="page416"/>
    <w:bookmarkEnd w:id="415"/>
    <w:p>
      <w:pPr>
        <w:jc w:val="both"/>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3"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b w:val="1"/>
          <w:bCs w:val="1"/>
          <w:color w:val="auto"/>
        </w:rPr>
        <w:t xml:space="preserve">Section 35.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36. Transfers.</w:t>
      </w:r>
    </w:p>
    <w:p>
      <w:pPr>
        <w:spacing w:after="0" w:line="121" w:lineRule="exact"/>
        <w:rPr>
          <w:sz w:val="20"/>
          <w:szCs w:val="20"/>
          <w:color w:val="auto"/>
        </w:rPr>
      </w:pPr>
    </w:p>
    <w:p>
      <w:pPr>
        <w:ind w:left="4" w:right="260" w:firstLine="987"/>
        <w:spacing w:after="0" w:line="263" w:lineRule="auto"/>
        <w:tabs>
          <w:tab w:leader="none" w:pos="125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Arial" w:cs="Arial" w:eastAsia="Arial" w:hAnsi="Arial"/>
          <w:sz w:val="18"/>
          <w:szCs w:val="18"/>
          <w:b w:val="1"/>
          <w:bCs w:val="1"/>
          <w:color w:val="auto"/>
        </w:rPr>
      </w:pPr>
    </w:p>
    <w:p>
      <w:pPr>
        <w:ind w:left="4" w:firstLine="987"/>
        <w:spacing w:after="0" w:line="263" w:lineRule="auto"/>
        <w:tabs>
          <w:tab w:leader="none" w:pos="126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37. Fixing Record Dates.</w:t>
      </w:r>
    </w:p>
    <w:p>
      <w:pPr>
        <w:spacing w:after="0" w:line="121" w:lineRule="exact"/>
        <w:rPr>
          <w:sz w:val="20"/>
          <w:szCs w:val="20"/>
          <w:color w:val="auto"/>
        </w:rPr>
      </w:pPr>
    </w:p>
    <w:p>
      <w:pPr>
        <w:ind w:left="4" w:right="320" w:firstLine="987"/>
        <w:spacing w:after="0" w:line="287" w:lineRule="auto"/>
        <w:tabs>
          <w:tab w:leader="none" w:pos="1250"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2" w:lineRule="exact"/>
        <w:rPr>
          <w:rFonts w:ascii="Arial" w:cs="Arial" w:eastAsia="Arial" w:hAnsi="Arial"/>
          <w:sz w:val="16"/>
          <w:szCs w:val="16"/>
          <w:b w:val="1"/>
          <w:bCs w:val="1"/>
          <w:color w:val="auto"/>
        </w:rPr>
      </w:pPr>
    </w:p>
    <w:p>
      <w:pPr>
        <w:ind w:left="4" w:right="40" w:hanging="4"/>
        <w:spacing w:after="0" w:line="253" w:lineRule="auto"/>
        <w:tabs>
          <w:tab w:leader="none" w:pos="34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416" w:name="page417"/>
    <w:bookmarkEnd w:id="416"/>
    <w:p>
      <w:pPr>
        <w:ind w:right="20" w:firstLine="987"/>
        <w:spacing w:after="0" w:line="255" w:lineRule="auto"/>
        <w:tabs>
          <w:tab w:leader="none" w:pos="1256"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 xml:space="preserve">Section 38.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39. Execution of Other Securities. </w:t>
      </w:r>
      <w:r>
        <w:rPr>
          <w:rFonts w:ascii="Arial" w:cs="Arial" w:eastAsia="Arial" w:hAnsi="Arial"/>
          <w:sz w:val="17"/>
          <w:szCs w:val="17"/>
          <w:color w:val="auto"/>
        </w:rPr>
        <w:t>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 xml:space="preserve">Section 40.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17" w:name="page418"/>
    <w:bookmarkEnd w:id="417"/>
    <w:p>
      <w:pPr>
        <w:ind w:left="4"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 Dividend Reserve. </w:t>
      </w:r>
      <w:r>
        <w:rPr>
          <w:rFonts w:ascii="Arial" w:cs="Arial" w:eastAsia="Arial" w:hAnsi="Arial"/>
          <w:sz w:val="16"/>
          <w:szCs w:val="16"/>
          <w:color w:val="auto"/>
        </w:rPr>
        <w:t>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42. Fiscal Year. </w:t>
      </w:r>
      <w:r>
        <w:rPr>
          <w:rFonts w:ascii="Arial" w:cs="Arial" w:eastAsia="Arial" w:hAnsi="Arial"/>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43. Indemnification of Directors, Officers, Employees and Other Agents.</w:t>
      </w:r>
    </w:p>
    <w:p>
      <w:pPr>
        <w:spacing w:after="0" w:line="117" w:lineRule="exact"/>
        <w:rPr>
          <w:sz w:val="20"/>
          <w:szCs w:val="20"/>
          <w:color w:val="auto"/>
        </w:rPr>
      </w:pPr>
    </w:p>
    <w:p>
      <w:pPr>
        <w:jc w:val="both"/>
        <w:ind w:left="4" w:right="120" w:firstLine="987"/>
        <w:spacing w:after="0" w:line="289" w:lineRule="auto"/>
        <w:tabs>
          <w:tab w:leader="none" w:pos="1250" w:val="left"/>
        </w:tabs>
        <w:numPr>
          <w:ilvl w:val="1"/>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w:t>
      </w:r>
      <w:r>
        <w:rPr>
          <w:rFonts w:ascii="Arial" w:cs="Arial" w:eastAsia="Arial" w:hAnsi="Arial"/>
          <w:sz w:val="16"/>
          <w:szCs w:val="16"/>
          <w:color w:val="auto"/>
        </w:rPr>
        <w:t>The corporation shall indemnify its directors to the fullest extent not prohibited by the DGCL or any other applicable law;</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corporation may modify the extent of such indemnification by individual contracts with its directors; and,</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the corporation shall not be required to indemnify any director in connection with any proceeding (or part thereof) initiated by such person unless</w:t>
      </w:r>
    </w:p>
    <w:p>
      <w:pPr>
        <w:spacing w:after="0" w:line="1" w:lineRule="exact"/>
        <w:rPr>
          <w:rFonts w:ascii="Arial" w:cs="Arial" w:eastAsia="Arial" w:hAnsi="Arial"/>
          <w:sz w:val="16"/>
          <w:szCs w:val="16"/>
          <w:b w:val="1"/>
          <w:bCs w:val="1"/>
          <w:color w:val="auto"/>
        </w:rPr>
      </w:pPr>
    </w:p>
    <w:p>
      <w:pPr>
        <w:ind w:left="224" w:hanging="224"/>
        <w:spacing w:after="0"/>
        <w:tabs>
          <w:tab w:leader="none" w:pos="22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such indemnification is expressly required to be made by law, (ii) the proceeding was authorized by the Board of Directors of the corporation,</w:t>
      </w:r>
    </w:p>
    <w:p>
      <w:pPr>
        <w:spacing w:after="0" w:line="21" w:lineRule="exact"/>
        <w:rPr>
          <w:sz w:val="20"/>
          <w:szCs w:val="20"/>
          <w:color w:val="auto"/>
        </w:rPr>
      </w:pPr>
    </w:p>
    <w:p>
      <w:pPr>
        <w:ind w:left="4" w:right="120" w:hanging="4"/>
        <w:spacing w:after="0" w:line="260" w:lineRule="auto"/>
        <w:tabs>
          <w:tab w:leader="none" w:pos="31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73" w:lineRule="exact"/>
        <w:rPr>
          <w:rFonts w:ascii="Arial" w:cs="Arial" w:eastAsia="Arial" w:hAnsi="Arial"/>
          <w:sz w:val="18"/>
          <w:szCs w:val="18"/>
          <w:color w:val="auto"/>
        </w:rPr>
      </w:pPr>
    </w:p>
    <w:p>
      <w:pPr>
        <w:ind w:left="4" w:firstLine="987"/>
        <w:spacing w:after="0" w:line="266" w:lineRule="auto"/>
        <w:tabs>
          <w:tab w:leader="none" w:pos="1260"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Officers, Employees and Other Agents. </w:t>
      </w:r>
      <w:r>
        <w:rPr>
          <w:rFonts w:ascii="Arial" w:cs="Arial" w:eastAsia="Arial" w:hAnsi="Arial"/>
          <w:sz w:val="18"/>
          <w:szCs w:val="18"/>
          <w:color w:val="auto"/>
        </w:rPr>
        <w:t>The corporation shall have power to indemnify its officers, employees and other agents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67" w:lineRule="exact"/>
        <w:rPr>
          <w:rFonts w:ascii="Arial" w:cs="Arial" w:eastAsia="Arial" w:hAnsi="Arial"/>
          <w:sz w:val="18"/>
          <w:szCs w:val="18"/>
          <w:b w:val="1"/>
          <w:bCs w:val="1"/>
          <w:color w:val="auto"/>
        </w:rPr>
      </w:pPr>
    </w:p>
    <w:p>
      <w:pPr>
        <w:ind w:left="4" w:right="40" w:firstLine="987"/>
        <w:spacing w:after="0" w:line="271" w:lineRule="auto"/>
        <w:tabs>
          <w:tab w:leader="none" w:pos="1240" w:val="left"/>
        </w:tabs>
        <w:numPr>
          <w:ilvl w:val="1"/>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418" w:name="page419"/>
    <w:bookmarkEnd w:id="418"/>
    <w:p>
      <w:pPr>
        <w:ind w:firstLine="987"/>
        <w:spacing w:after="0" w:line="268" w:lineRule="auto"/>
        <w:tabs>
          <w:tab w:leader="none" w:pos="125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Enforcement. </w:t>
      </w:r>
      <w:r>
        <w:rPr>
          <w:rFonts w:ascii="Arial" w:cs="Arial" w:eastAsia="Arial" w:hAnsi="Arial"/>
          <w:sz w:val="17"/>
          <w:szCs w:val="17"/>
          <w:color w:val="auto"/>
        </w:rPr>
        <w:t>Without the necessity of entering into an express contract, all rights to indemnification and advances to directors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73" w:lineRule="exact"/>
        <w:rPr>
          <w:rFonts w:ascii="Arial" w:cs="Arial" w:eastAsia="Arial" w:hAnsi="Arial"/>
          <w:sz w:val="17"/>
          <w:szCs w:val="17"/>
          <w:b w:val="1"/>
          <w:bCs w:val="1"/>
          <w:color w:val="auto"/>
        </w:rPr>
      </w:pPr>
    </w:p>
    <w:p>
      <w:pPr>
        <w:ind w:firstLine="987"/>
        <w:spacing w:after="0" w:line="277" w:lineRule="auto"/>
        <w:tabs>
          <w:tab w:leader="none" w:pos="123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9" w:lineRule="exact"/>
        <w:rPr>
          <w:rFonts w:ascii="Arial" w:cs="Arial" w:eastAsia="Arial" w:hAnsi="Arial"/>
          <w:sz w:val="17"/>
          <w:szCs w:val="17"/>
          <w:b w:val="1"/>
          <w:bCs w:val="1"/>
          <w:color w:val="auto"/>
        </w:rPr>
      </w:pPr>
    </w:p>
    <w:p>
      <w:pPr>
        <w:ind w:right="60" w:firstLine="987"/>
        <w:spacing w:after="0" w:line="282" w:lineRule="auto"/>
        <w:tabs>
          <w:tab w:leader="none" w:pos="121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inure to the benefit of the heirs, executors and administrators of such a person.</w:t>
      </w:r>
    </w:p>
    <w:p>
      <w:pPr>
        <w:spacing w:after="0" w:line="53" w:lineRule="exact"/>
        <w:rPr>
          <w:rFonts w:ascii="Arial" w:cs="Arial" w:eastAsia="Arial" w:hAnsi="Arial"/>
          <w:sz w:val="18"/>
          <w:szCs w:val="18"/>
          <w:b w:val="1"/>
          <w:bCs w:val="1"/>
          <w:color w:val="auto"/>
        </w:rPr>
      </w:pPr>
    </w:p>
    <w:p>
      <w:pPr>
        <w:ind w:right="240" w:firstLine="987"/>
        <w:spacing w:after="0" w:line="312" w:lineRule="auto"/>
        <w:tabs>
          <w:tab w:leader="none" w:pos="1246"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19" w:name="page420"/>
    <w:bookmarkEnd w:id="419"/>
    <w:p>
      <w:pPr>
        <w:ind w:left="-20" w:right="200" w:firstLine="987"/>
        <w:spacing w:after="0" w:line="347" w:lineRule="auto"/>
        <w:tabs>
          <w:tab w:leader="none" w:pos="1236"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w:t>
      </w:r>
      <w:r>
        <w:rPr>
          <w:rFonts w:ascii="Arial" w:cs="Arial" w:eastAsia="Arial" w:hAnsi="Arial"/>
          <w:sz w:val="16"/>
          <w:szCs w:val="16"/>
          <w:color w:val="auto"/>
        </w:rPr>
        <w:t>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7" w:lineRule="exact"/>
        <w:rPr>
          <w:rFonts w:ascii="Arial" w:cs="Arial" w:eastAsia="Arial" w:hAnsi="Arial"/>
          <w:sz w:val="16"/>
          <w:szCs w:val="16"/>
          <w:b w:val="1"/>
          <w:bCs w:val="1"/>
          <w:color w:val="auto"/>
        </w:rPr>
      </w:pPr>
    </w:p>
    <w:p>
      <w:pPr>
        <w:jc w:val="both"/>
        <w:ind w:left="-20" w:firstLine="987"/>
        <w:spacing w:after="0" w:line="281" w:lineRule="auto"/>
        <w:tabs>
          <w:tab w:leader="none" w:pos="1186"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56" w:lineRule="exact"/>
        <w:rPr>
          <w:rFonts w:ascii="Arial" w:cs="Arial" w:eastAsia="Arial" w:hAnsi="Arial"/>
          <w:sz w:val="17"/>
          <w:szCs w:val="17"/>
          <w:b w:val="1"/>
          <w:bCs w:val="1"/>
          <w:color w:val="auto"/>
        </w:rPr>
      </w:pPr>
    </w:p>
    <w:p>
      <w:pPr>
        <w:ind w:left="1200" w:hanging="233"/>
        <w:spacing w:after="0"/>
        <w:tabs>
          <w:tab w:leader="none" w:pos="12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121" w:lineRule="exact"/>
        <w:rPr>
          <w:rFonts w:ascii="Arial" w:cs="Arial" w:eastAsia="Arial" w:hAnsi="Arial"/>
          <w:sz w:val="18"/>
          <w:szCs w:val="18"/>
          <w:b w:val="1"/>
          <w:bCs w:val="1"/>
          <w:color w:val="auto"/>
        </w:rPr>
      </w:pPr>
    </w:p>
    <w:p>
      <w:pPr>
        <w:ind w:left="-20" w:right="760" w:firstLine="1428"/>
        <w:spacing w:after="0" w:line="263" w:lineRule="auto"/>
        <w:tabs>
          <w:tab w:leader="none" w:pos="1667"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b w:val="1"/>
          <w:bCs w:val="1"/>
          <w:color w:val="auto"/>
        </w:rPr>
      </w:pPr>
    </w:p>
    <w:p>
      <w:pPr>
        <w:ind w:left="-20" w:right="200" w:firstLine="1428"/>
        <w:spacing w:after="0" w:line="342" w:lineRule="auto"/>
        <w:tabs>
          <w:tab w:leader="none" w:pos="1667"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 w:lineRule="exact"/>
        <w:rPr>
          <w:rFonts w:ascii="Arial" w:cs="Arial" w:eastAsia="Arial" w:hAnsi="Arial"/>
          <w:sz w:val="16"/>
          <w:szCs w:val="16"/>
          <w:b w:val="1"/>
          <w:bCs w:val="1"/>
          <w:color w:val="auto"/>
        </w:rPr>
      </w:pPr>
    </w:p>
    <w:p>
      <w:pPr>
        <w:ind w:left="-20" w:right="20" w:firstLine="1428"/>
        <w:spacing w:after="0" w:line="293" w:lineRule="auto"/>
        <w:tabs>
          <w:tab w:leader="none" w:pos="1667"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The term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b w:val="1"/>
          <w:bCs w:val="1"/>
          <w:color w:val="auto"/>
        </w:rPr>
      </w:pPr>
    </w:p>
    <w:p>
      <w:pPr>
        <w:ind w:left="-20" w:right="460" w:firstLine="1428"/>
        <w:spacing w:after="0" w:line="263" w:lineRule="auto"/>
        <w:tabs>
          <w:tab w:leader="none" w:pos="1667"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5" w:lineRule="exact"/>
        <w:rPr>
          <w:rFonts w:ascii="Arial" w:cs="Arial" w:eastAsia="Arial" w:hAnsi="Arial"/>
          <w:sz w:val="18"/>
          <w:szCs w:val="18"/>
          <w:b w:val="1"/>
          <w:bCs w:val="1"/>
          <w:color w:val="auto"/>
        </w:rPr>
      </w:pPr>
    </w:p>
    <w:p>
      <w:pPr>
        <w:ind w:left="-20" w:right="20" w:firstLine="1428"/>
        <w:spacing w:after="0" w:line="255" w:lineRule="auto"/>
        <w:tabs>
          <w:tab w:leader="none" w:pos="1667"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p>
    <w:p>
      <w:pPr>
        <w:spacing w:after="0" w:line="117" w:lineRule="exact"/>
        <w:rPr>
          <w:sz w:val="20"/>
          <w:szCs w:val="20"/>
          <w:color w:val="auto"/>
        </w:rPr>
      </w:pPr>
    </w:p>
    <w:p>
      <w:pPr>
        <w:ind w:firstLine="987"/>
        <w:spacing w:after="0" w:line="281" w:lineRule="auto"/>
        <w:tabs>
          <w:tab w:leader="none" w:pos="1246"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56" w:lineRule="exact"/>
        <w:rPr>
          <w:rFonts w:ascii="Arial" w:cs="Arial" w:eastAsia="Arial" w:hAnsi="Arial"/>
          <w:sz w:val="17"/>
          <w:szCs w:val="17"/>
          <w:b w:val="1"/>
          <w:bCs w:val="1"/>
          <w:color w:val="auto"/>
        </w:rPr>
      </w:pPr>
    </w:p>
    <w:p>
      <w:pPr>
        <w:ind w:right="60" w:firstLine="987"/>
        <w:spacing w:after="0" w:line="261" w:lineRule="auto"/>
        <w:tabs>
          <w:tab w:leader="none" w:pos="1256"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71"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1"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421" w:name="page422"/>
    <w:bookmarkEnd w:id="421"/>
    <w:p>
      <w:pPr>
        <w:ind w:right="120" w:firstLine="987"/>
        <w:spacing w:after="0" w:line="277" w:lineRule="auto"/>
        <w:tabs>
          <w:tab w:leader="none" w:pos="1216"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Section 45. Bylaw Amendments</w:t>
      </w:r>
      <w:r>
        <w:rPr>
          <w:rFonts w:ascii="Arial" w:cs="Arial" w:eastAsia="Arial" w:hAnsi="Arial"/>
          <w:sz w:val="16"/>
          <w:szCs w:val="16"/>
          <w:color w:val="auto"/>
        </w:rPr>
        <w:t>. Subject to the limitations set forth in Section 43(h) of these Bylaws or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 OR EMPLOYEES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46. Loans to Officers or Employees. </w:t>
      </w:r>
      <w:r>
        <w:rPr>
          <w:rFonts w:ascii="Arial" w:cs="Arial" w:eastAsia="Arial" w:hAnsi="Arial"/>
          <w:sz w:val="18"/>
          <w:szCs w:val="18"/>
          <w:color w:val="auto"/>
        </w:rPr>
        <w:t>Except as otherwise prohibited by applicable law, including the Sarbanes-Oxley Act of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422" w:name="page423"/>
    <w:bookmarkEnd w:id="422"/>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186055</wp:posOffset>
            </wp:positionV>
            <wp:extent cx="6755130" cy="45516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6755130" cy="455168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42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7174865"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200150" cy="4286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1200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Eric Blanchard</w:t>
      </w:r>
    </w:p>
    <w:p>
      <w:pPr>
        <w:spacing w:after="0" w:line="23" w:lineRule="exact"/>
        <w:rPr>
          <w:sz w:val="20"/>
          <w:szCs w:val="20"/>
          <w:color w:val="auto"/>
        </w:rPr>
      </w:pPr>
    </w:p>
    <w:p>
      <w:pPr>
        <w:ind w:left="4" w:right="9240" w:hanging="4"/>
        <w:spacing w:after="0" w:line="323" w:lineRule="auto"/>
        <w:tabs>
          <w:tab w:leader="none" w:pos="20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+1 212 479 6565 eblanchard@cooley.com</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30,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Lexeo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345 Park Avenue South, Floor 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You have requested our opinion, as counsel to Lexeo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(333-274777)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including a related prospectus included in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10,350,000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$0.0001, including up to 1,350,000 Shares that may be sold pursuant to the exercise of an option to purchase additional shares.</w:t>
      </w:r>
    </w:p>
    <w:p>
      <w:pPr>
        <w:spacing w:after="0" w:line="188"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the Prospectus, (b) the Company’s certificate of incorporation and bylaws, each as currently in effect, (c) the Company’s Amended and Restated Certificate of Incorporation, filed as Exhibit 3.3 to the Registration Statement and the Company’s Amended and Restated Bylaws, filed as Exhibit 3.4 to the Registration Statement, each of which is to be in effect in connection with the closing of the offering contemplated by the Registration Statement, and (d) such other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 and that the Amended and Restated Certificate of Incorporation referred to in clause (i)(c) is filed with the Secretary of State of the State of Delaware before issuance of the Shares.</w:t>
      </w:r>
    </w:p>
    <w:p>
      <w:pPr>
        <w:spacing w:after="0" w:line="192"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5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+1 212 479 6000 f: +1 212 479 6275 cooley.com</w:t>
      </w:r>
    </w:p>
    <w:p>
      <w:pPr>
        <w:sectPr>
          <w:pgSz w:w="11900" w:h="16838" w:orient="portrait"/>
          <w:cols w:equalWidth="0" w:num="1">
            <w:col w:w="11024"/>
          </w:cols>
          <w:pgMar w:left="436" w:top="121" w:right="43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00150" cy="42862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28625"/>
                    </a:xfrm>
                    <a:prstGeom prst="rect">
                      <a:avLst/>
                    </a:prstGeom>
                    <a:noFill/>
                  </pic:spPr>
                </pic:pic>
              </a:graphicData>
            </a:graphic>
          </wp:anchor>
        </w:drawing>
        <w:t>Lexeo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8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Eric Blanchard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+1 212 479 6000 f: +1 212 479 6275 cooley.com</w:t>
      </w:r>
    </w:p>
    <w:p>
      <w:pPr>
        <w:sectPr>
          <w:pgSz w:w="11900" w:h="16838" w:orient="portrait"/>
          <w:cols w:equalWidth="0" w:num="1">
            <w:col w:w="10980"/>
          </w:cols>
          <w:pgMar w:left="440" w:top="1165" w:right="47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13, 2023</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13, 2023</w:t>
      </w:r>
    </w:p>
    <w:p>
      <w:pPr>
        <w:sectPr>
          <w:pgSz w:w="11900" w:h="16838" w:orient="portrait"/>
          <w:cols w:equalWidth="0" w:num="1">
            <w:col w:w="10020"/>
          </w:cols>
          <w:pgMar w:left="1440" w:top="121" w:right="43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400" w:type="dxa"/>
            <w:vAlign w:val="bottom"/>
          </w:tcPr>
          <w:p>
            <w:pPr>
              <w:ind w:left="42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84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20"/>
                <w:szCs w:val="20"/>
                <w:color w:val="auto"/>
              </w:rPr>
            </w:pPr>
          </w:p>
        </w:tc>
        <w:tc>
          <w:tcPr>
            <w:tcW w:w="8400" w:type="dxa"/>
            <w:vAlign w:val="bottom"/>
            <w:vMerge w:val="continue"/>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400" w:type="dxa"/>
            <w:vAlign w:val="bottom"/>
          </w:tcPr>
          <w:p>
            <w:pPr>
              <w:ind w:left="1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8400" w:type="dxa"/>
            <w:vAlign w:val="bottom"/>
          </w:tcPr>
          <w:p>
            <w:pPr>
              <w:ind w:left="5080"/>
              <w:spacing w:after="0"/>
              <w:rPr>
                <w:sz w:val="20"/>
                <w:szCs w:val="20"/>
                <w:color w:val="auto"/>
              </w:rPr>
            </w:pPr>
            <w:r>
              <w:rPr>
                <w:rFonts w:ascii="Arial" w:cs="Arial" w:eastAsia="Arial" w:hAnsi="Arial"/>
                <w:sz w:val="18"/>
                <w:szCs w:val="18"/>
                <w:color w:val="auto"/>
              </w:rPr>
              <w:t>i.</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28" w:name="page429"/>
    <w:bookmarkEnd w:id="428"/>
    <w:p>
      <w:pPr>
        <w:ind w:left="184" w:hanging="184"/>
        <w:spacing w:after="0"/>
        <w:tabs>
          <w:tab w:leader="none" w:pos="18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77" w:lineRule="auto"/>
        <w:tabs>
          <w:tab w:leader="none" w:pos="699" w:val="left"/>
        </w:tabs>
        <w:numPr>
          <w:ilvl w:val="1"/>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to and Continuation of Prior Plan. </w:t>
      </w:r>
      <w:r>
        <w:rPr>
          <w:rFonts w:ascii="Arial" w:cs="Arial" w:eastAsia="Arial" w:hAnsi="Arial"/>
          <w:sz w:val="17"/>
          <w:szCs w:val="17"/>
          <w:color w:val="auto"/>
        </w:rPr>
        <w:t>The Plan is the successor to and continuation of the Prior Plan. As of the Effective Date, (i) no</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67" w:lineRule="exact"/>
        <w:rPr>
          <w:rFonts w:ascii="Arial" w:cs="Arial" w:eastAsia="Arial" w:hAnsi="Arial"/>
          <w:sz w:val="17"/>
          <w:szCs w:val="17"/>
          <w:b w:val="1"/>
          <w:bCs w:val="1"/>
          <w:color w:val="auto"/>
        </w:rPr>
      </w:pPr>
    </w:p>
    <w:p>
      <w:pPr>
        <w:ind w:left="4" w:right="200" w:firstLine="436"/>
        <w:spacing w:after="0" w:line="314" w:lineRule="auto"/>
        <w:tabs>
          <w:tab w:leader="none" w:pos="709" w:val="left"/>
        </w:tabs>
        <w:numPr>
          <w:ilvl w:val="1"/>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1" w:lineRule="exact"/>
        <w:rPr>
          <w:rFonts w:ascii="Arial" w:cs="Arial" w:eastAsia="Arial" w:hAnsi="Arial"/>
          <w:sz w:val="16"/>
          <w:szCs w:val="16"/>
          <w:b w:val="1"/>
          <w:bCs w:val="1"/>
          <w:color w:val="auto"/>
        </w:rPr>
      </w:pPr>
    </w:p>
    <w:p>
      <w:pPr>
        <w:ind w:left="684" w:hanging="244"/>
        <w:spacing w:after="0"/>
        <w:tabs>
          <w:tab w:leader="none" w:pos="684" w:val="left"/>
        </w:tabs>
        <w:numPr>
          <w:ilvl w:val="1"/>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Awards: (i) Incentive Stock Options; (ii) Nonstatutory Stock Options;</w:t>
      </w:r>
    </w:p>
    <w:p>
      <w:pPr>
        <w:spacing w:after="0" w:line="39" w:lineRule="exact"/>
        <w:rPr>
          <w:sz w:val="20"/>
          <w:szCs w:val="20"/>
          <w:color w:val="auto"/>
        </w:rPr>
      </w:pPr>
    </w:p>
    <w:p>
      <w:pPr>
        <w:ind w:left="324" w:hanging="324"/>
        <w:spacing w:after="0"/>
        <w:tabs>
          <w:tab w:leader="none" w:pos="3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SARs; (iv) Restricted Stock Awards; (v) RSU Awards; (vi) Performance Awards; and (vii) Other Awards.</w:t>
      </w:r>
    </w:p>
    <w:p>
      <w:pPr>
        <w:spacing w:after="0" w:line="206" w:lineRule="exact"/>
        <w:rPr>
          <w:rFonts w:ascii="Arial" w:cs="Arial" w:eastAsia="Arial" w:hAnsi="Arial"/>
          <w:sz w:val="18"/>
          <w:szCs w:val="18"/>
          <w:color w:val="auto"/>
        </w:rPr>
      </w:pPr>
    </w:p>
    <w:p>
      <w:pPr>
        <w:ind w:left="704" w:hanging="264"/>
        <w:spacing w:after="0"/>
        <w:tabs>
          <w:tab w:leader="none" w:pos="704" w:val="left"/>
        </w:tabs>
        <w:numPr>
          <w:ilvl w:val="1"/>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15" w:lineRule="exact"/>
        <w:rPr>
          <w:sz w:val="20"/>
          <w:szCs w:val="20"/>
          <w:color w:val="auto"/>
        </w:rPr>
      </w:pPr>
    </w:p>
    <w:p>
      <w:pPr>
        <w:ind w:left="184" w:hanging="184"/>
        <w:spacing w:after="0"/>
        <w:tabs>
          <w:tab w:leader="none" w:pos="18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80" w:firstLine="436"/>
        <w:spacing w:after="0" w:line="289" w:lineRule="auto"/>
        <w:tabs>
          <w:tab w:leader="none" w:pos="699"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 to implement any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the aggregate number of shares of Common Stock that may be issued pursuant to Awards will not exceed 4,737,000 shares, which is the sum of: (i) 1,803,980 new shares, plus (ii) the number of shares of Common Stock (not to exceed 581,594 shares of Common Stock) which represents</w:t>
      </w:r>
    </w:p>
    <w:p>
      <w:pPr>
        <w:spacing w:after="0" w:line="1" w:lineRule="exact"/>
        <w:rPr>
          <w:rFonts w:ascii="Arial" w:cs="Arial" w:eastAsia="Arial" w:hAnsi="Arial"/>
          <w:sz w:val="16"/>
          <w:szCs w:val="16"/>
          <w:b w:val="1"/>
          <w:bCs w:val="1"/>
          <w:color w:val="auto"/>
        </w:rPr>
      </w:pPr>
    </w:p>
    <w:p>
      <w:pPr>
        <w:ind w:left="4" w:right="60"/>
        <w:spacing w:after="0" w:line="233" w:lineRule="auto"/>
        <w:rPr>
          <w:rFonts w:ascii="Arial" w:cs="Arial" w:eastAsia="Arial" w:hAnsi="Arial"/>
          <w:sz w:val="16"/>
          <w:szCs w:val="16"/>
          <w:b w:val="1"/>
          <w:bCs w:val="1"/>
          <w:color w:val="auto"/>
        </w:rPr>
      </w:pPr>
      <w:r>
        <w:rPr>
          <w:rFonts w:ascii="Arial" w:cs="Arial" w:eastAsia="Arial" w:hAnsi="Arial"/>
          <w:sz w:val="18"/>
          <w:szCs w:val="18"/>
          <w:color w:val="auto"/>
        </w:rPr>
        <w:t>(A)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2024 and ending on (and including) January 1, 2033, in an amount equal to five percent (5%) of the total number of shares of Common Stock outstanding on December 31 of the preceding year; provided, however that the Board may act prior to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of a given year to provide that the increase for such year will be a lesser number of shares of Common Stock.</w:t>
      </w:r>
    </w:p>
    <w:p>
      <w:pPr>
        <w:spacing w:after="0" w:line="198" w:lineRule="exact"/>
        <w:rPr>
          <w:rFonts w:ascii="Arial" w:cs="Arial" w:eastAsia="Arial" w:hAnsi="Arial"/>
          <w:sz w:val="16"/>
          <w:szCs w:val="16"/>
          <w:b w:val="1"/>
          <w:bCs w:val="1"/>
          <w:color w:val="auto"/>
        </w:rPr>
      </w:pPr>
    </w:p>
    <w:p>
      <w:pPr>
        <w:ind w:left="4" w:firstLine="436"/>
        <w:spacing w:after="0" w:line="266" w:lineRule="auto"/>
        <w:tabs>
          <w:tab w:leader="none" w:pos="709"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14,211,000 shares.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70" w:right="479" w:bottom="1440" w:gutter="0" w:footer="0" w:header="0"/>
        </w:sectPr>
      </w:pPr>
    </w:p>
    <w:bookmarkStart w:id="429" w:name="page430"/>
    <w:bookmarkEnd w:id="429"/>
    <w:p>
      <w:pPr>
        <w:ind w:left="684" w:hanging="244"/>
        <w:spacing w:after="0"/>
        <w:tabs>
          <w:tab w:leader="none" w:pos="684"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Reserve Operation.</w:t>
      </w:r>
    </w:p>
    <w:p>
      <w:pPr>
        <w:spacing w:after="0" w:line="117" w:lineRule="exact"/>
        <w:rPr>
          <w:rFonts w:ascii="Arial" w:cs="Arial" w:eastAsia="Arial" w:hAnsi="Arial"/>
          <w:sz w:val="18"/>
          <w:szCs w:val="18"/>
          <w:b w:val="1"/>
          <w:bCs w:val="1"/>
          <w:color w:val="auto"/>
        </w:rPr>
      </w:pPr>
    </w:p>
    <w:p>
      <w:pPr>
        <w:ind w:left="4" w:right="320" w:firstLine="987"/>
        <w:spacing w:after="0" w:line="256" w:lineRule="auto"/>
        <w:tabs>
          <w:tab w:leader="none" w:pos="1210" w:val="left"/>
        </w:tabs>
        <w:numPr>
          <w:ilvl w:val="2"/>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79" w:lineRule="exact"/>
        <w:rPr>
          <w:rFonts w:ascii="Arial" w:cs="Arial" w:eastAsia="Arial" w:hAnsi="Arial"/>
          <w:sz w:val="18"/>
          <w:szCs w:val="18"/>
          <w:b w:val="1"/>
          <w:bCs w:val="1"/>
          <w:color w:val="auto"/>
        </w:rPr>
      </w:pPr>
    </w:p>
    <w:p>
      <w:pPr>
        <w:ind w:left="4" w:firstLine="987"/>
        <w:spacing w:after="0" w:line="294" w:lineRule="auto"/>
        <w:tabs>
          <w:tab w:leader="none" w:pos="1260" w:val="left"/>
        </w:tabs>
        <w:numPr>
          <w:ilvl w:val="2"/>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51" w:lineRule="exact"/>
        <w:rPr>
          <w:rFonts w:ascii="Arial" w:cs="Arial" w:eastAsia="Arial" w:hAnsi="Arial"/>
          <w:sz w:val="16"/>
          <w:szCs w:val="16"/>
          <w:b w:val="1"/>
          <w:bCs w:val="1"/>
          <w:color w:val="auto"/>
        </w:rPr>
      </w:pPr>
    </w:p>
    <w:p>
      <w:pPr>
        <w:ind w:left="4" w:firstLine="987"/>
        <w:spacing w:after="0" w:line="298" w:lineRule="auto"/>
        <w:tabs>
          <w:tab w:leader="none" w:pos="1310" w:val="left"/>
        </w:tabs>
        <w:numPr>
          <w:ilvl w:val="2"/>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61" w:lineRule="exact"/>
        <w:rPr>
          <w:rFonts w:ascii="Arial" w:cs="Arial" w:eastAsia="Arial" w:hAnsi="Arial"/>
          <w:sz w:val="16"/>
          <w:szCs w:val="16"/>
          <w:b w:val="1"/>
          <w:bCs w:val="1"/>
          <w:color w:val="auto"/>
        </w:rPr>
      </w:pPr>
    </w:p>
    <w:p>
      <w:pPr>
        <w:ind w:left="184" w:hanging="184"/>
        <w:spacing w:after="0"/>
        <w:tabs>
          <w:tab w:leader="none" w:pos="18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6" w:lineRule="exact"/>
        <w:rPr>
          <w:rFonts w:ascii="Arial" w:cs="Arial" w:eastAsia="Arial" w:hAnsi="Arial"/>
          <w:sz w:val="17"/>
          <w:szCs w:val="17"/>
          <w:b w:val="1"/>
          <w:bCs w:val="1"/>
          <w:color w:val="auto"/>
        </w:rPr>
      </w:pPr>
    </w:p>
    <w:p>
      <w:pPr>
        <w:ind w:left="704" w:hanging="264"/>
        <w:spacing w:after="0"/>
        <w:tabs>
          <w:tab w:leader="none" w:pos="70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7" w:lineRule="exact"/>
        <w:rPr>
          <w:rFonts w:ascii="Arial" w:cs="Arial" w:eastAsia="Arial" w:hAnsi="Arial"/>
          <w:sz w:val="18"/>
          <w:szCs w:val="18"/>
          <w:b w:val="1"/>
          <w:bCs w:val="1"/>
          <w:color w:val="auto"/>
        </w:rPr>
      </w:pPr>
    </w:p>
    <w:p>
      <w:pPr>
        <w:ind w:left="4" w:right="100" w:firstLine="987"/>
        <w:spacing w:after="0" w:line="282" w:lineRule="auto"/>
        <w:tabs>
          <w:tab w:leader="none" w:pos="1210" w:val="left"/>
        </w:tabs>
        <w:numPr>
          <w:ilvl w:val="2"/>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corporation” or “subsidiary corporation” thereof (as such terms are defined in Sections 424(e) and (f) of the Code).</w:t>
      </w:r>
    </w:p>
    <w:p>
      <w:pPr>
        <w:spacing w:after="0" w:line="53" w:lineRule="exact"/>
        <w:rPr>
          <w:rFonts w:ascii="Arial" w:cs="Arial" w:eastAsia="Arial" w:hAnsi="Arial"/>
          <w:sz w:val="18"/>
          <w:szCs w:val="18"/>
          <w:b w:val="1"/>
          <w:bCs w:val="1"/>
          <w:color w:val="auto"/>
        </w:rPr>
      </w:pPr>
    </w:p>
    <w:p>
      <w:pPr>
        <w:jc w:val="both"/>
        <w:ind w:left="4" w:right="40" w:firstLine="987"/>
        <w:spacing w:after="0" w:line="266" w:lineRule="auto"/>
        <w:tabs>
          <w:tab w:leader="none" w:pos="1260" w:val="left"/>
        </w:tabs>
        <w:numPr>
          <w:ilvl w:val="2"/>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430" w:name="page431"/>
    <w:bookmarkEnd w:id="430"/>
    <w:p>
      <w:pPr>
        <w:jc w:val="both"/>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2" w:lineRule="exact"/>
        <w:rPr>
          <w:sz w:val="20"/>
          <w:szCs w:val="20"/>
          <w:color w:val="auto"/>
        </w:rPr>
      </w:pPr>
    </w:p>
    <w:p>
      <w:pPr>
        <w:ind w:left="4" w:right="100" w:firstLine="987"/>
        <w:spacing w:after="0" w:line="293" w:lineRule="auto"/>
        <w:tabs>
          <w:tab w:leader="none" w:pos="1310" w:val="left"/>
        </w:tabs>
        <w:numPr>
          <w:ilvl w:val="2"/>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(i) the exercise price of such Option is at least 110% of the Fair Market Value on the date of grant of such Option and</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Option is not exercisable after the expiration of five years from the date of grant of such Option.</w:t>
      </w:r>
    </w:p>
    <w:p>
      <w:pPr>
        <w:spacing w:after="0" w:line="98" w:lineRule="exact"/>
        <w:rPr>
          <w:rFonts w:ascii="Arial" w:cs="Arial" w:eastAsia="Arial" w:hAnsi="Arial"/>
          <w:sz w:val="18"/>
          <w:szCs w:val="18"/>
          <w:color w:val="auto"/>
        </w:rPr>
      </w:pPr>
    </w:p>
    <w:p>
      <w:pPr>
        <w:ind w:left="4" w:right="120" w:firstLine="987"/>
        <w:spacing w:after="0" w:line="303" w:lineRule="auto"/>
        <w:tabs>
          <w:tab w:leader="none" w:pos="1300" w:val="left"/>
        </w:tabs>
        <w:numPr>
          <w:ilvl w:val="2"/>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Nonstatutory Stock Options and SARs. </w:t>
      </w:r>
      <w:r>
        <w:rPr>
          <w:rFonts w:ascii="Arial" w:cs="Arial" w:eastAsia="Arial" w:hAnsi="Arial"/>
          <w:sz w:val="16"/>
          <w:szCs w:val="16"/>
          <w:color w:val="auto"/>
        </w:rPr>
        <w:t>Nonstatutory Stock Options and SARs may not be granted to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50" w:lineRule="exact"/>
        <w:rPr>
          <w:rFonts w:ascii="Arial" w:cs="Arial" w:eastAsia="Arial" w:hAnsi="Arial"/>
          <w:sz w:val="16"/>
          <w:szCs w:val="16"/>
          <w:b w:val="1"/>
          <w:bCs w:val="1"/>
          <w:color w:val="auto"/>
        </w:rPr>
      </w:pPr>
    </w:p>
    <w:p>
      <w:pPr>
        <w:ind w:left="4" w:right="200" w:firstLine="436"/>
        <w:spacing w:after="0" w:line="282" w:lineRule="auto"/>
        <w:tabs>
          <w:tab w:leader="none" w:pos="689"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1" w:lineRule="exact"/>
        <w:rPr>
          <w:rFonts w:ascii="Arial" w:cs="Arial" w:eastAsia="Arial" w:hAnsi="Arial"/>
          <w:sz w:val="18"/>
          <w:szCs w:val="18"/>
          <w:b w:val="1"/>
          <w:bCs w:val="1"/>
          <w:color w:val="auto"/>
        </w:rPr>
      </w:pPr>
    </w:p>
    <w:p>
      <w:pPr>
        <w:ind w:left="4" w:right="80" w:firstLine="436"/>
        <w:spacing w:after="0" w:line="256" w:lineRule="auto"/>
        <w:tabs>
          <w:tab w:leader="none" w:pos="709"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5" w:lineRule="exact"/>
        <w:rPr>
          <w:sz w:val="20"/>
          <w:szCs w:val="20"/>
          <w:color w:val="auto"/>
        </w:rPr>
      </w:pPr>
    </w:p>
    <w:p>
      <w:pPr>
        <w:ind w:left="184" w:hanging="184"/>
        <w:spacing w:after="0"/>
        <w:tabs>
          <w:tab w:leader="none" w:pos="184"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431" w:name="page432"/>
    <w:bookmarkEnd w:id="431"/>
    <w:p>
      <w:pPr>
        <w:ind w:left="-20" w:right="40" w:firstLine="436"/>
        <w:spacing w:after="0" w:line="282" w:lineRule="auto"/>
        <w:tabs>
          <w:tab w:leader="none" w:pos="67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161" w:lineRule="exact"/>
        <w:rPr>
          <w:rFonts w:ascii="Arial" w:cs="Arial" w:eastAsia="Arial" w:hAnsi="Arial"/>
          <w:sz w:val="18"/>
          <w:szCs w:val="18"/>
          <w:b w:val="1"/>
          <w:bCs w:val="1"/>
          <w:color w:val="auto"/>
        </w:rPr>
      </w:pPr>
    </w:p>
    <w:p>
      <w:pPr>
        <w:ind w:left="-20" w:right="100" w:firstLine="436"/>
        <w:spacing w:after="0" w:line="258" w:lineRule="auto"/>
        <w:tabs>
          <w:tab w:leader="none" w:pos="68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3" w:lineRule="exact"/>
        <w:rPr>
          <w:rFonts w:ascii="Arial" w:cs="Arial" w:eastAsia="Arial" w:hAnsi="Arial"/>
          <w:sz w:val="18"/>
          <w:szCs w:val="18"/>
          <w:b w:val="1"/>
          <w:bCs w:val="1"/>
          <w:color w:val="auto"/>
        </w:rPr>
      </w:pPr>
    </w:p>
    <w:p>
      <w:pPr>
        <w:ind w:left="-20" w:right="180" w:firstLine="436"/>
        <w:spacing w:after="0" w:line="256" w:lineRule="auto"/>
        <w:tabs>
          <w:tab w:leader="none" w:pos="66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3" w:lineRule="exact"/>
        <w:rPr>
          <w:rFonts w:ascii="Arial" w:cs="Arial" w:eastAsia="Arial" w:hAnsi="Arial"/>
          <w:sz w:val="18"/>
          <w:szCs w:val="18"/>
          <w:b w:val="1"/>
          <w:bCs w:val="1"/>
          <w:color w:val="auto"/>
        </w:rPr>
      </w:pPr>
    </w:p>
    <w:p>
      <w:pPr>
        <w:ind w:left="1180" w:hanging="213"/>
        <w:spacing w:after="0"/>
        <w:tabs>
          <w:tab w:leader="none" w:pos="1180"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117" w:lineRule="exact"/>
        <w:rPr>
          <w:rFonts w:ascii="Arial" w:cs="Arial" w:eastAsia="Arial" w:hAnsi="Arial"/>
          <w:sz w:val="18"/>
          <w:szCs w:val="18"/>
          <w:b w:val="1"/>
          <w:bCs w:val="1"/>
          <w:color w:val="auto"/>
        </w:rPr>
      </w:pPr>
    </w:p>
    <w:p>
      <w:pPr>
        <w:ind w:left="-20" w:right="240" w:firstLine="987"/>
        <w:spacing w:after="0" w:line="263" w:lineRule="auto"/>
        <w:tabs>
          <w:tab w:leader="none" w:pos="1236"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5" w:lineRule="exact"/>
        <w:rPr>
          <w:rFonts w:ascii="Arial" w:cs="Arial" w:eastAsia="Arial" w:hAnsi="Arial"/>
          <w:sz w:val="18"/>
          <w:szCs w:val="18"/>
          <w:b w:val="1"/>
          <w:bCs w:val="1"/>
          <w:color w:val="auto"/>
        </w:rPr>
      </w:pPr>
    </w:p>
    <w:p>
      <w:pPr>
        <w:ind w:left="-20" w:firstLine="987"/>
        <w:spacing w:after="0" w:line="254" w:lineRule="auto"/>
        <w:tabs>
          <w:tab w:leader="none" w:pos="1286"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86" w:lineRule="exact"/>
        <w:rPr>
          <w:rFonts w:ascii="Arial" w:cs="Arial" w:eastAsia="Arial" w:hAnsi="Arial"/>
          <w:sz w:val="18"/>
          <w:szCs w:val="18"/>
          <w:b w:val="1"/>
          <w:bCs w:val="1"/>
          <w:color w:val="auto"/>
        </w:rPr>
      </w:pPr>
    </w:p>
    <w:p>
      <w:pPr>
        <w:jc w:val="both"/>
        <w:ind w:left="-20" w:right="40" w:firstLine="987"/>
        <w:spacing w:after="0" w:line="301" w:lineRule="auto"/>
        <w:tabs>
          <w:tab w:leader="none" w:pos="1276"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432" w:name="page433"/>
    <w:bookmarkEnd w:id="432"/>
    <w:p>
      <w:pPr>
        <w:ind w:left="1240" w:hanging="253"/>
        <w:spacing w:after="0"/>
        <w:tabs>
          <w:tab w:leader="none" w:pos="124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form of consideration that may be acceptable to the Board and permissible under Applicable Law.</w:t>
      </w:r>
    </w:p>
    <w:p>
      <w:pPr>
        <w:spacing w:after="0" w:line="221" w:lineRule="exact"/>
        <w:rPr>
          <w:rFonts w:ascii="Arial" w:cs="Arial" w:eastAsia="Arial" w:hAnsi="Arial"/>
          <w:sz w:val="18"/>
          <w:szCs w:val="18"/>
          <w:b w:val="1"/>
          <w:bCs w:val="1"/>
          <w:color w:val="auto"/>
        </w:rPr>
      </w:pPr>
    </w:p>
    <w:p>
      <w:pPr>
        <w:ind w:right="40" w:firstLine="436"/>
        <w:spacing w:after="0" w:line="274" w:lineRule="auto"/>
        <w:tabs>
          <w:tab w:leader="none" w:pos="705"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3" w:lineRule="exact"/>
        <w:rPr>
          <w:rFonts w:ascii="Arial" w:cs="Arial" w:eastAsia="Arial" w:hAnsi="Arial"/>
          <w:sz w:val="17"/>
          <w:szCs w:val="17"/>
          <w:b w:val="1"/>
          <w:bCs w:val="1"/>
          <w:color w:val="auto"/>
        </w:rPr>
      </w:pPr>
    </w:p>
    <w:p>
      <w:pPr>
        <w:ind w:right="140" w:firstLine="436"/>
        <w:spacing w:after="0" w:line="258" w:lineRule="auto"/>
        <w:tabs>
          <w:tab w:leader="none" w:pos="685"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75" w:lineRule="exact"/>
        <w:rPr>
          <w:rFonts w:ascii="Arial" w:cs="Arial" w:eastAsia="Arial" w:hAnsi="Arial"/>
          <w:sz w:val="18"/>
          <w:szCs w:val="18"/>
          <w:b w:val="1"/>
          <w:bCs w:val="1"/>
          <w:color w:val="auto"/>
        </w:rPr>
      </w:pPr>
    </w:p>
    <w:p>
      <w:pPr>
        <w:ind w:firstLine="987"/>
        <w:spacing w:after="0" w:line="298" w:lineRule="auto"/>
        <w:tabs>
          <w:tab w:leader="none" w:pos="1206" w:val="left"/>
        </w:tabs>
        <w:numPr>
          <w:ilvl w:val="1"/>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46" w:lineRule="exact"/>
        <w:rPr>
          <w:sz w:val="20"/>
          <w:szCs w:val="20"/>
          <w:color w:val="auto"/>
        </w:rPr>
      </w:pPr>
    </w:p>
    <w:p>
      <w:pPr>
        <w:ind w:right="40" w:firstLine="987"/>
        <w:spacing w:after="0" w:line="266" w:lineRule="auto"/>
        <w:tabs>
          <w:tab w:leader="none" w:pos="1256"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175" w:lineRule="exact"/>
        <w:rPr>
          <w:rFonts w:ascii="Arial" w:cs="Arial" w:eastAsia="Arial" w:hAnsi="Arial"/>
          <w:sz w:val="18"/>
          <w:szCs w:val="18"/>
          <w:b w:val="1"/>
          <w:bCs w:val="1"/>
          <w:color w:val="auto"/>
        </w:rPr>
      </w:pPr>
    </w:p>
    <w:p>
      <w:pPr>
        <w:ind w:right="220" w:firstLine="436"/>
        <w:spacing w:after="0" w:line="266" w:lineRule="auto"/>
        <w:tabs>
          <w:tab w:leader="none" w:pos="665"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33" w:name="page434"/>
    <w:bookmarkEnd w:id="433"/>
    <w:p>
      <w:pPr>
        <w:ind w:firstLine="436"/>
        <w:spacing w:after="0" w:line="256" w:lineRule="auto"/>
        <w:tabs>
          <w:tab w:leader="none" w:pos="695"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rFonts w:ascii="Arial" w:cs="Arial" w:eastAsia="Arial" w:hAnsi="Arial"/>
          <w:sz w:val="18"/>
          <w:szCs w:val="18"/>
          <w:b w:val="1"/>
          <w:bCs w:val="1"/>
          <w:color w:val="auto"/>
        </w:rPr>
      </w:pPr>
    </w:p>
    <w:p>
      <w:pPr>
        <w:ind w:right="40" w:firstLine="436"/>
        <w:spacing w:after="0" w:line="258" w:lineRule="auto"/>
        <w:tabs>
          <w:tab w:leader="none" w:pos="705"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Arial" w:cs="Arial" w:eastAsia="Arial" w:hAnsi="Arial"/>
          <w:sz w:val="18"/>
          <w:szCs w:val="18"/>
          <w:b w:val="1"/>
          <w:bCs w:val="1"/>
          <w:color w:val="auto"/>
        </w:rPr>
      </w:pPr>
    </w:p>
    <w:p>
      <w:pPr>
        <w:ind w:right="100" w:firstLine="987"/>
        <w:spacing w:after="0" w:line="277" w:lineRule="auto"/>
        <w:tabs>
          <w:tab w:leader="none" w:pos="1206"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62"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117" w:lineRule="exact"/>
        <w:rPr>
          <w:rFonts w:ascii="Arial" w:cs="Arial" w:eastAsia="Arial" w:hAnsi="Arial"/>
          <w:sz w:val="18"/>
          <w:szCs w:val="18"/>
          <w:b w:val="1"/>
          <w:bCs w:val="1"/>
          <w:color w:val="auto"/>
        </w:rPr>
      </w:pPr>
    </w:p>
    <w:p>
      <w:pPr>
        <w:ind w:right="420" w:firstLine="987"/>
        <w:spacing w:after="0" w:line="277" w:lineRule="auto"/>
        <w:tabs>
          <w:tab w:leader="none" w:pos="1296"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3" w:lineRule="exact"/>
        <w:rPr>
          <w:sz w:val="20"/>
          <w:szCs w:val="20"/>
          <w:color w:val="auto"/>
        </w:rPr>
      </w:pPr>
    </w:p>
    <w:p>
      <w:pPr>
        <w:ind w:right="60" w:firstLine="436"/>
        <w:spacing w:after="0" w:line="298" w:lineRule="auto"/>
        <w:tabs>
          <w:tab w:leader="none" w:pos="655"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34" w:name="page435"/>
    <w:bookmarkEnd w:id="434"/>
    <w:p>
      <w:pPr>
        <w:ind w:left="4"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72" w:lineRule="exact"/>
        <w:rPr>
          <w:sz w:val="20"/>
          <w:szCs w:val="20"/>
          <w:color w:val="auto"/>
        </w:rPr>
      </w:pPr>
    </w:p>
    <w:p>
      <w:pPr>
        <w:ind w:left="4" w:firstLine="436"/>
        <w:spacing w:after="0" w:line="291" w:lineRule="auto"/>
        <w:tabs>
          <w:tab w:leader="none" w:pos="669" w:val="left"/>
        </w:tabs>
        <w:numPr>
          <w:ilvl w:val="1"/>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59" w:lineRule="exact"/>
        <w:rPr>
          <w:rFonts w:ascii="Arial" w:cs="Arial" w:eastAsia="Arial" w:hAnsi="Arial"/>
          <w:sz w:val="16"/>
          <w:szCs w:val="16"/>
          <w:b w:val="1"/>
          <w:bCs w:val="1"/>
          <w:color w:val="auto"/>
        </w:rPr>
      </w:pPr>
    </w:p>
    <w:p>
      <w:pPr>
        <w:ind w:left="704" w:hanging="264"/>
        <w:spacing w:after="0"/>
        <w:tabs>
          <w:tab w:leader="none" w:pos="704"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33" w:lineRule="exact"/>
        <w:rPr>
          <w:rFonts w:ascii="Arial" w:cs="Arial" w:eastAsia="Arial" w:hAnsi="Arial"/>
          <w:sz w:val="18"/>
          <w:szCs w:val="18"/>
          <w:b w:val="1"/>
          <w:bCs w:val="1"/>
          <w:color w:val="auto"/>
        </w:rPr>
      </w:pPr>
    </w:p>
    <w:p>
      <w:pPr>
        <w:ind w:left="184" w:hanging="184"/>
        <w:spacing w:after="0"/>
        <w:tabs>
          <w:tab w:leader="none" w:pos="184"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720" w:firstLine="436"/>
        <w:spacing w:after="0" w:line="314" w:lineRule="auto"/>
        <w:tabs>
          <w:tab w:leader="none" w:pos="699" w:val="left"/>
        </w:tabs>
        <w:numPr>
          <w:ilvl w:val="1"/>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3" w:lineRule="exact"/>
        <w:rPr>
          <w:rFonts w:ascii="Arial" w:cs="Arial" w:eastAsia="Arial" w:hAnsi="Arial"/>
          <w:sz w:val="16"/>
          <w:szCs w:val="16"/>
          <w:b w:val="1"/>
          <w:bCs w:val="1"/>
          <w:color w:val="auto"/>
        </w:rPr>
      </w:pPr>
    </w:p>
    <w:p>
      <w:pPr>
        <w:ind w:left="1204" w:hanging="213"/>
        <w:spacing w:after="0"/>
        <w:tabs>
          <w:tab w:leader="none" w:pos="1204" w:val="left"/>
        </w:tabs>
        <w:numPr>
          <w:ilvl w:val="2"/>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9" w:lineRule="exact"/>
        <w:rPr>
          <w:rFonts w:ascii="Arial" w:cs="Arial" w:eastAsia="Arial" w:hAnsi="Arial"/>
          <w:sz w:val="18"/>
          <w:szCs w:val="18"/>
          <w:b w:val="1"/>
          <w:bCs w:val="1"/>
          <w:color w:val="auto"/>
        </w:rPr>
      </w:pPr>
    </w:p>
    <w:p>
      <w:pPr>
        <w:ind w:left="4" w:right="20" w:firstLine="1428"/>
        <w:spacing w:after="0" w:line="257" w:lineRule="auto"/>
        <w:tabs>
          <w:tab w:leader="none" w:pos="1691" w:val="left"/>
        </w:tabs>
        <w:numPr>
          <w:ilvl w:val="3"/>
          <w:numId w:val="318"/>
        </w:numPr>
        <w:rPr>
          <w:rFonts w:ascii="Arial" w:cs="Arial" w:eastAsia="Arial" w:hAnsi="Arial"/>
          <w:sz w:val="18"/>
          <w:szCs w:val="18"/>
          <w:b w:val="1"/>
          <w:bCs w:val="1"/>
          <w:color w:val="auto"/>
        </w:rPr>
      </w:pPr>
      <w:r>
        <w:rPr>
          <w:rFonts w:ascii="Arial" w:cs="Arial" w:eastAsia="Arial" w:hAnsi="Arial"/>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35" w:name="page436"/>
    <w:bookmarkEnd w:id="435"/>
    <w:p>
      <w:pPr>
        <w:ind w:right="80" w:firstLine="1428"/>
        <w:spacing w:after="0" w:line="293" w:lineRule="auto"/>
        <w:tabs>
          <w:tab w:leader="none" w:pos="1687" w:val="left"/>
        </w:tabs>
        <w:numPr>
          <w:ilvl w:val="1"/>
          <w:numId w:val="31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52" w:lineRule="exact"/>
        <w:rPr>
          <w:rFonts w:ascii="Arial" w:cs="Arial" w:eastAsia="Arial" w:hAnsi="Arial"/>
          <w:sz w:val="16"/>
          <w:szCs w:val="16"/>
          <w:b w:val="1"/>
          <w:bCs w:val="1"/>
          <w:color w:val="auto"/>
        </w:rPr>
      </w:pPr>
    </w:p>
    <w:p>
      <w:pPr>
        <w:ind w:left="1260" w:hanging="273"/>
        <w:spacing w:after="0"/>
        <w:tabs>
          <w:tab w:leader="none" w:pos="12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ind w:right="60" w:firstLine="1428"/>
        <w:spacing w:after="0" w:line="263" w:lineRule="auto"/>
        <w:tabs>
          <w:tab w:leader="none" w:pos="1687"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83" w:lineRule="exact"/>
        <w:rPr>
          <w:rFonts w:ascii="Arial" w:cs="Arial" w:eastAsia="Arial" w:hAnsi="Arial"/>
          <w:sz w:val="18"/>
          <w:szCs w:val="18"/>
          <w:b w:val="1"/>
          <w:bCs w:val="1"/>
          <w:color w:val="auto"/>
        </w:rPr>
      </w:pPr>
    </w:p>
    <w:p>
      <w:pPr>
        <w:ind w:right="120" w:firstLine="1428"/>
        <w:spacing w:after="0" w:line="273" w:lineRule="auto"/>
        <w:tabs>
          <w:tab w:leader="none" w:pos="1687" w:val="left"/>
        </w:tabs>
        <w:numPr>
          <w:ilvl w:val="1"/>
          <w:numId w:val="320"/>
        </w:numPr>
        <w:rPr>
          <w:rFonts w:ascii="Arial" w:cs="Arial" w:eastAsia="Arial" w:hAnsi="Arial"/>
          <w:sz w:val="17"/>
          <w:szCs w:val="17"/>
          <w:b w:val="1"/>
          <w:bCs w:val="1"/>
          <w:color w:val="auto"/>
        </w:rPr>
      </w:pPr>
      <w:r>
        <w:rPr>
          <w:rFonts w:ascii="Arial" w:cs="Arial" w:eastAsia="Arial" w:hAnsi="Arial"/>
          <w:sz w:val="17"/>
          <w:szCs w:val="17"/>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65" w:lineRule="exact"/>
        <w:rPr>
          <w:rFonts w:ascii="Arial" w:cs="Arial" w:eastAsia="Arial" w:hAnsi="Arial"/>
          <w:sz w:val="17"/>
          <w:szCs w:val="17"/>
          <w:b w:val="1"/>
          <w:bCs w:val="1"/>
          <w:color w:val="auto"/>
        </w:rPr>
      </w:pPr>
    </w:p>
    <w:p>
      <w:pPr>
        <w:ind w:right="160" w:firstLine="987"/>
        <w:spacing w:after="0" w:line="314" w:lineRule="auto"/>
        <w:tabs>
          <w:tab w:leader="none" w:pos="1306"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33" w:lineRule="exact"/>
        <w:rPr>
          <w:rFonts w:ascii="Arial" w:cs="Arial" w:eastAsia="Arial" w:hAnsi="Arial"/>
          <w:sz w:val="16"/>
          <w:szCs w:val="16"/>
          <w:b w:val="1"/>
          <w:bCs w:val="1"/>
          <w:color w:val="auto"/>
        </w:rPr>
      </w:pPr>
    </w:p>
    <w:p>
      <w:pPr>
        <w:ind w:firstLine="987"/>
        <w:spacing w:after="0" w:line="274" w:lineRule="auto"/>
        <w:tabs>
          <w:tab w:leader="none" w:pos="1296"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65" w:lineRule="exact"/>
        <w:rPr>
          <w:rFonts w:ascii="Arial" w:cs="Arial" w:eastAsia="Arial" w:hAnsi="Arial"/>
          <w:sz w:val="17"/>
          <w:szCs w:val="17"/>
          <w:b w:val="1"/>
          <w:bCs w:val="1"/>
          <w:color w:val="auto"/>
        </w:rPr>
      </w:pPr>
    </w:p>
    <w:p>
      <w:pPr>
        <w:ind w:right="180" w:firstLine="987"/>
        <w:spacing w:after="0" w:line="347" w:lineRule="auto"/>
        <w:tabs>
          <w:tab w:leader="none" w:pos="1246"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36" w:name="page437"/>
    <w:bookmarkEnd w:id="436"/>
    <w:p>
      <w:pPr>
        <w:jc w:val="both"/>
        <w:ind w:left="4" w:right="120" w:firstLine="987"/>
        <w:spacing w:after="0" w:line="314" w:lineRule="auto"/>
        <w:tabs>
          <w:tab w:leader="none" w:pos="1300" w:val="left"/>
        </w:tabs>
        <w:numPr>
          <w:ilvl w:val="2"/>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of RSU Awards</w:t>
      </w:r>
      <w:r>
        <w:rPr>
          <w:rFonts w:ascii="Arial" w:cs="Arial" w:eastAsia="Arial" w:hAnsi="Arial"/>
          <w:sz w:val="16"/>
          <w:szCs w:val="16"/>
          <w:color w:val="auto"/>
        </w:rPr>
        <w:t>. A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1" w:lineRule="exact"/>
        <w:rPr>
          <w:rFonts w:ascii="Arial" w:cs="Arial" w:eastAsia="Arial" w:hAnsi="Arial"/>
          <w:sz w:val="16"/>
          <w:szCs w:val="16"/>
          <w:b w:val="1"/>
          <w:bCs w:val="1"/>
          <w:color w:val="auto"/>
        </w:rPr>
      </w:pPr>
    </w:p>
    <w:p>
      <w:pPr>
        <w:jc w:val="both"/>
        <w:ind w:left="4" w:right="80" w:firstLine="436"/>
        <w:spacing w:after="0" w:line="266" w:lineRule="auto"/>
        <w:tabs>
          <w:tab w:leader="none" w:pos="709" w:val="left"/>
        </w:tabs>
        <w:numPr>
          <w:ilvl w:val="1"/>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5" w:lineRule="exact"/>
        <w:rPr>
          <w:rFonts w:ascii="Arial" w:cs="Arial" w:eastAsia="Arial" w:hAnsi="Arial"/>
          <w:sz w:val="18"/>
          <w:szCs w:val="18"/>
          <w:b w:val="1"/>
          <w:bCs w:val="1"/>
          <w:color w:val="auto"/>
        </w:rPr>
      </w:pPr>
    </w:p>
    <w:p>
      <w:pPr>
        <w:ind w:left="4" w:right="200" w:firstLine="436"/>
        <w:spacing w:after="0" w:line="256" w:lineRule="auto"/>
        <w:tabs>
          <w:tab w:leader="none" w:pos="689" w:val="left"/>
        </w:tabs>
        <w:numPr>
          <w:ilvl w:val="1"/>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forms of Awards valued in whole or in part by reference to, or otherwise based on, Common Stock,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95" w:lineRule="exact"/>
        <w:rPr>
          <w:rFonts w:ascii="Arial" w:cs="Arial" w:eastAsia="Arial" w:hAnsi="Arial"/>
          <w:sz w:val="18"/>
          <w:szCs w:val="18"/>
          <w:b w:val="1"/>
          <w:bCs w:val="1"/>
          <w:color w:val="auto"/>
        </w:rPr>
      </w:pPr>
    </w:p>
    <w:p>
      <w:pPr>
        <w:ind w:left="184" w:hanging="184"/>
        <w:spacing w:after="0"/>
        <w:tabs>
          <w:tab w:leader="none" w:pos="18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72" w:lineRule="auto"/>
        <w:tabs>
          <w:tab w:leader="none" w:pos="699" w:val="left"/>
        </w:tabs>
        <w:numPr>
          <w:ilvl w:val="1"/>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1" w:lineRule="exact"/>
        <w:rPr>
          <w:rFonts w:ascii="Arial" w:cs="Arial" w:eastAsia="Arial" w:hAnsi="Arial"/>
          <w:sz w:val="17"/>
          <w:szCs w:val="17"/>
          <w:b w:val="1"/>
          <w:bCs w:val="1"/>
          <w:color w:val="auto"/>
        </w:rPr>
      </w:pPr>
    </w:p>
    <w:p>
      <w:pPr>
        <w:ind w:left="4" w:firstLine="436"/>
        <w:spacing w:after="0" w:line="273" w:lineRule="auto"/>
        <w:tabs>
          <w:tab w:leader="none" w:pos="709" w:val="left"/>
        </w:tabs>
        <w:numPr>
          <w:ilvl w:val="1"/>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437" w:name="page438"/>
    <w:bookmarkEnd w:id="437"/>
    <w:p>
      <w:pPr>
        <w:ind w:left="-20" w:right="140" w:firstLine="436"/>
        <w:spacing w:after="0" w:line="266" w:lineRule="auto"/>
        <w:tabs>
          <w:tab w:leader="none" w:pos="665"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Transaction. </w:t>
      </w:r>
      <w:r>
        <w:rPr>
          <w:rFonts w:ascii="Arial" w:cs="Arial" w:eastAsia="Arial" w:hAnsi="Arial"/>
          <w:sz w:val="18"/>
          <w:szCs w:val="18"/>
          <w:color w:val="auto"/>
        </w:rPr>
        <w:t>The following provisions will apply to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67" w:lineRule="exact"/>
        <w:rPr>
          <w:rFonts w:ascii="Arial" w:cs="Arial" w:eastAsia="Arial" w:hAnsi="Arial"/>
          <w:sz w:val="18"/>
          <w:szCs w:val="18"/>
          <w:b w:val="1"/>
          <w:bCs w:val="1"/>
          <w:color w:val="auto"/>
        </w:rPr>
      </w:pPr>
    </w:p>
    <w:p>
      <w:pPr>
        <w:ind w:left="-20" w:right="180" w:firstLine="987"/>
        <w:spacing w:after="0" w:line="272" w:lineRule="auto"/>
        <w:tabs>
          <w:tab w:leader="none" w:pos="1186" w:val="left"/>
        </w:tabs>
        <w:numPr>
          <w:ilvl w:val="1"/>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63" w:lineRule="exact"/>
        <w:rPr>
          <w:rFonts w:ascii="Arial" w:cs="Arial" w:eastAsia="Arial" w:hAnsi="Arial"/>
          <w:sz w:val="17"/>
          <w:szCs w:val="17"/>
          <w:b w:val="1"/>
          <w:bCs w:val="1"/>
          <w:color w:val="auto"/>
        </w:rPr>
      </w:pPr>
    </w:p>
    <w:p>
      <w:pPr>
        <w:ind w:left="-20" w:firstLine="987"/>
        <w:spacing w:after="0" w:line="286" w:lineRule="auto"/>
        <w:tabs>
          <w:tab w:leader="none" w:pos="1236" w:val="left"/>
        </w:tabs>
        <w:numPr>
          <w:ilvl w:val="1"/>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62" w:lineRule="exact"/>
        <w:rPr>
          <w:rFonts w:ascii="Arial" w:cs="Arial" w:eastAsia="Arial" w:hAnsi="Arial"/>
          <w:sz w:val="16"/>
          <w:szCs w:val="16"/>
          <w:b w:val="1"/>
          <w:bCs w:val="1"/>
          <w:color w:val="auto"/>
        </w:rPr>
      </w:pPr>
    </w:p>
    <w:p>
      <w:pPr>
        <w:ind w:left="-20" w:right="60" w:firstLine="987"/>
        <w:spacing w:after="0" w:line="261" w:lineRule="auto"/>
        <w:tabs>
          <w:tab w:leader="none" w:pos="128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438" w:name="page439"/>
    <w:bookmarkEnd w:id="438"/>
    <w:p>
      <w:pPr>
        <w:ind w:left="4" w:right="9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72" w:lineRule="exact"/>
        <w:rPr>
          <w:sz w:val="20"/>
          <w:szCs w:val="20"/>
          <w:color w:val="auto"/>
        </w:rPr>
      </w:pPr>
    </w:p>
    <w:p>
      <w:pPr>
        <w:ind w:left="4" w:firstLine="987"/>
        <w:spacing w:after="0" w:line="277" w:lineRule="auto"/>
        <w:tabs>
          <w:tab w:leader="none" w:pos="1300" w:val="left"/>
        </w:tabs>
        <w:numPr>
          <w:ilvl w:val="2"/>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7" w:lineRule="exact"/>
        <w:rPr>
          <w:rFonts w:ascii="Arial" w:cs="Arial" w:eastAsia="Arial" w:hAnsi="Arial"/>
          <w:sz w:val="17"/>
          <w:szCs w:val="17"/>
          <w:b w:val="1"/>
          <w:bCs w:val="1"/>
          <w:color w:val="auto"/>
        </w:rPr>
      </w:pPr>
    </w:p>
    <w:p>
      <w:pPr>
        <w:ind w:left="4" w:right="20" w:firstLine="436"/>
        <w:spacing w:after="0" w:line="261" w:lineRule="auto"/>
        <w:tabs>
          <w:tab w:leader="none" w:pos="709"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9" w:lineRule="exact"/>
        <w:rPr>
          <w:rFonts w:ascii="Arial" w:cs="Arial" w:eastAsia="Arial" w:hAnsi="Arial"/>
          <w:sz w:val="18"/>
          <w:szCs w:val="18"/>
          <w:b w:val="1"/>
          <w:bCs w:val="1"/>
          <w:color w:val="auto"/>
        </w:rPr>
      </w:pPr>
    </w:p>
    <w:p>
      <w:pPr>
        <w:ind w:left="4" w:right="60" w:firstLine="436"/>
        <w:spacing w:after="0" w:line="255" w:lineRule="auto"/>
        <w:tabs>
          <w:tab w:leader="none" w:pos="689"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6" w:lineRule="exact"/>
        <w:rPr>
          <w:rFonts w:ascii="Arial" w:cs="Arial" w:eastAsia="Arial" w:hAnsi="Arial"/>
          <w:sz w:val="18"/>
          <w:szCs w:val="18"/>
          <w:b w:val="1"/>
          <w:bCs w:val="1"/>
          <w:color w:val="auto"/>
        </w:rPr>
      </w:pPr>
    </w:p>
    <w:p>
      <w:pPr>
        <w:ind w:left="184" w:hanging="184"/>
        <w:spacing w:after="0"/>
        <w:tabs>
          <w:tab w:leader="none" w:pos="18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82" w:lineRule="auto"/>
        <w:tabs>
          <w:tab w:leader="none" w:pos="689" w:val="left"/>
        </w:tabs>
        <w:numPr>
          <w:ilvl w:val="1"/>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jc w:val="both"/>
        <w:ind w:left="4" w:right="20" w:firstLine="987"/>
        <w:spacing w:after="0" w:line="279" w:lineRule="auto"/>
        <w:tabs>
          <w:tab w:leader="none" w:pos="1210" w:val="left"/>
        </w:tabs>
        <w:numPr>
          <w:ilvl w:val="2"/>
          <w:numId w:val="327"/>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439" w:name="page440"/>
    <w:bookmarkEnd w:id="439"/>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6" w:lineRule="exact"/>
        <w:rPr>
          <w:sz w:val="20"/>
          <w:szCs w:val="20"/>
          <w:color w:val="auto"/>
        </w:rPr>
      </w:pPr>
    </w:p>
    <w:p>
      <w:pPr>
        <w:ind w:left="4" w:right="80" w:firstLine="987"/>
        <w:spacing w:after="0" w:line="263" w:lineRule="auto"/>
        <w:tabs>
          <w:tab w:leader="none" w:pos="126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75" w:lineRule="exact"/>
        <w:rPr>
          <w:rFonts w:ascii="Arial" w:cs="Arial" w:eastAsia="Arial" w:hAnsi="Arial"/>
          <w:sz w:val="18"/>
          <w:szCs w:val="18"/>
          <w:b w:val="1"/>
          <w:bCs w:val="1"/>
          <w:color w:val="auto"/>
        </w:rPr>
      </w:pPr>
    </w:p>
    <w:p>
      <w:pPr>
        <w:ind w:left="1304" w:hanging="313"/>
        <w:spacing w:after="0"/>
        <w:tabs>
          <w:tab w:leader="none" w:pos="1304"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left="4" w:right="460" w:firstLine="987"/>
        <w:spacing w:after="0" w:line="342" w:lineRule="auto"/>
        <w:tabs>
          <w:tab w:leader="none" w:pos="1300" w:val="left"/>
        </w:tabs>
        <w:numPr>
          <w:ilvl w:val="1"/>
          <w:numId w:val="328"/>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 w:lineRule="exact"/>
        <w:rPr>
          <w:rFonts w:ascii="Arial" w:cs="Arial" w:eastAsia="Arial" w:hAnsi="Arial"/>
          <w:sz w:val="16"/>
          <w:szCs w:val="16"/>
          <w:b w:val="1"/>
          <w:bCs w:val="1"/>
          <w:color w:val="auto"/>
        </w:rPr>
      </w:pPr>
    </w:p>
    <w:p>
      <w:pPr>
        <w:ind w:left="4" w:right="100" w:firstLine="987"/>
        <w:spacing w:after="0" w:line="259" w:lineRule="auto"/>
        <w:tabs>
          <w:tab w:leader="none" w:pos="125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78" w:lineRule="exact"/>
        <w:rPr>
          <w:rFonts w:ascii="Arial" w:cs="Arial" w:eastAsia="Arial" w:hAnsi="Arial"/>
          <w:sz w:val="18"/>
          <w:szCs w:val="18"/>
          <w:b w:val="1"/>
          <w:bCs w:val="1"/>
          <w:color w:val="auto"/>
        </w:rPr>
      </w:pPr>
    </w:p>
    <w:p>
      <w:pPr>
        <w:ind w:left="4" w:right="180" w:firstLine="987"/>
        <w:spacing w:after="0" w:line="277" w:lineRule="auto"/>
        <w:tabs>
          <w:tab w:leader="none" w:pos="1300"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62" w:lineRule="exact"/>
        <w:rPr>
          <w:rFonts w:ascii="Arial" w:cs="Arial" w:eastAsia="Arial" w:hAnsi="Arial"/>
          <w:sz w:val="18"/>
          <w:szCs w:val="18"/>
          <w:b w:val="1"/>
          <w:bCs w:val="1"/>
          <w:color w:val="auto"/>
        </w:rPr>
      </w:pPr>
    </w:p>
    <w:p>
      <w:pPr>
        <w:ind w:left="4" w:right="80" w:firstLine="987"/>
        <w:spacing w:after="0" w:line="287" w:lineRule="auto"/>
        <w:tabs>
          <w:tab w:leader="none" w:pos="1350" w:val="left"/>
        </w:tabs>
        <w:numPr>
          <w:ilvl w:val="1"/>
          <w:numId w:val="328"/>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102" w:lineRule="exact"/>
        <w:rPr>
          <w:rFonts w:ascii="Arial" w:cs="Arial" w:eastAsia="Arial" w:hAnsi="Arial"/>
          <w:sz w:val="18"/>
          <w:szCs w:val="18"/>
          <w:color w:val="auto"/>
        </w:rPr>
      </w:pPr>
    </w:p>
    <w:p>
      <w:pPr>
        <w:ind w:left="1404" w:hanging="413"/>
        <w:spacing w:after="0"/>
        <w:tabs>
          <w:tab w:leader="none" w:pos="140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117" w:lineRule="exact"/>
        <w:rPr>
          <w:rFonts w:ascii="Arial" w:cs="Arial" w:eastAsia="Arial" w:hAnsi="Arial"/>
          <w:sz w:val="18"/>
          <w:szCs w:val="18"/>
          <w:b w:val="1"/>
          <w:bCs w:val="1"/>
          <w:color w:val="auto"/>
        </w:rPr>
      </w:pPr>
    </w:p>
    <w:p>
      <w:pPr>
        <w:ind w:left="4" w:right="60" w:firstLine="987"/>
        <w:spacing w:after="0" w:line="301" w:lineRule="auto"/>
        <w:tabs>
          <w:tab w:leader="none" w:pos="1300"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40" w:name="page441"/>
    <w:bookmarkEnd w:id="440"/>
    <w:p>
      <w:pPr>
        <w:ind w:left="-40" w:firstLine="987"/>
        <w:spacing w:after="0" w:line="277" w:lineRule="auto"/>
        <w:tabs>
          <w:tab w:leader="none" w:pos="1206" w:val="left"/>
        </w:tabs>
        <w:numPr>
          <w:ilvl w:val="1"/>
          <w:numId w:val="3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62" w:lineRule="exact"/>
        <w:rPr>
          <w:rFonts w:ascii="Arial" w:cs="Arial" w:eastAsia="Arial" w:hAnsi="Arial"/>
          <w:sz w:val="18"/>
          <w:szCs w:val="18"/>
          <w:b w:val="1"/>
          <w:bCs w:val="1"/>
          <w:color w:val="auto"/>
        </w:rPr>
      </w:pPr>
    </w:p>
    <w:p>
      <w:pPr>
        <w:ind w:left="-40" w:right="280" w:firstLine="987"/>
        <w:spacing w:after="0" w:line="259" w:lineRule="auto"/>
        <w:tabs>
          <w:tab w:leader="none" w:pos="1256" w:val="left"/>
        </w:tabs>
        <w:numPr>
          <w:ilvl w:val="1"/>
          <w:numId w:val="330"/>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8" w:lineRule="exact"/>
        <w:rPr>
          <w:rFonts w:ascii="Arial" w:cs="Arial" w:eastAsia="Arial" w:hAnsi="Arial"/>
          <w:sz w:val="18"/>
          <w:szCs w:val="18"/>
          <w:b w:val="1"/>
          <w:bCs w:val="1"/>
          <w:color w:val="auto"/>
        </w:rPr>
      </w:pPr>
    </w:p>
    <w:p>
      <w:pPr>
        <w:ind w:left="-40" w:right="60" w:firstLine="987"/>
        <w:spacing w:after="0" w:line="296" w:lineRule="auto"/>
        <w:tabs>
          <w:tab w:leader="none" w:pos="1306" w:val="left"/>
        </w:tabs>
        <w:numPr>
          <w:ilvl w:val="1"/>
          <w:numId w:val="330"/>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57" w:lineRule="exact"/>
        <w:rPr>
          <w:rFonts w:ascii="Arial" w:cs="Arial" w:eastAsia="Arial" w:hAnsi="Arial"/>
          <w:sz w:val="16"/>
          <w:szCs w:val="16"/>
          <w:b w:val="1"/>
          <w:bCs w:val="1"/>
          <w:color w:val="auto"/>
        </w:rPr>
      </w:pPr>
    </w:p>
    <w:p>
      <w:pPr>
        <w:ind w:left="640" w:hanging="244"/>
        <w:spacing w:after="0"/>
        <w:tabs>
          <w:tab w:leader="none" w:pos="6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40" w:firstLine="987"/>
        <w:spacing w:after="0" w:line="291" w:lineRule="auto"/>
        <w:tabs>
          <w:tab w:leader="none" w:pos="1166" w:val="left"/>
        </w:tabs>
        <w:numPr>
          <w:ilvl w:val="1"/>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1" w:lineRule="exact"/>
        <w:rPr>
          <w:rFonts w:ascii="Arial" w:cs="Arial" w:eastAsia="Arial" w:hAnsi="Arial"/>
          <w:sz w:val="16"/>
          <w:szCs w:val="16"/>
          <w:b w:val="1"/>
          <w:bCs w:val="1"/>
          <w:color w:val="auto"/>
        </w:rPr>
      </w:pPr>
    </w:p>
    <w:p>
      <w:pPr>
        <w:ind w:left="-40" w:firstLine="987"/>
        <w:spacing w:after="0" w:line="303" w:lineRule="auto"/>
        <w:tabs>
          <w:tab w:leader="none" w:pos="1216" w:val="left"/>
        </w:tabs>
        <w:numPr>
          <w:ilvl w:val="1"/>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0" w:lineRule="exact"/>
        <w:rPr>
          <w:rFonts w:ascii="Arial" w:cs="Arial" w:eastAsia="Arial" w:hAnsi="Arial"/>
          <w:sz w:val="16"/>
          <w:szCs w:val="16"/>
          <w:b w:val="1"/>
          <w:bCs w:val="1"/>
          <w:color w:val="auto"/>
        </w:rPr>
      </w:pPr>
    </w:p>
    <w:p>
      <w:pPr>
        <w:ind w:left="-40" w:right="60" w:firstLine="436"/>
        <w:spacing w:after="0" w:line="282" w:lineRule="auto"/>
        <w:tabs>
          <w:tab w:leader="none" w:pos="665"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441" w:name="page442"/>
    <w:bookmarkEnd w:id="441"/>
    <w:p>
      <w:pPr>
        <w:ind w:left="684" w:hanging="244"/>
        <w:spacing w:after="0"/>
        <w:tabs>
          <w:tab w:leader="none" w:pos="684" w:val="left"/>
        </w:tabs>
        <w:numPr>
          <w:ilvl w:val="1"/>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50" w:lineRule="exact"/>
        <w:rPr>
          <w:rFonts w:ascii="Arial" w:cs="Arial" w:eastAsia="Arial" w:hAnsi="Arial"/>
          <w:sz w:val="16"/>
          <w:szCs w:val="16"/>
          <w:b w:val="1"/>
          <w:bCs w:val="1"/>
          <w:color w:val="auto"/>
        </w:rPr>
      </w:pPr>
    </w:p>
    <w:p>
      <w:pPr>
        <w:ind w:left="224" w:hanging="224"/>
        <w:spacing w:after="0"/>
        <w:tabs>
          <w:tab w:leader="none" w:pos="22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types of</w:t>
      </w:r>
    </w:p>
    <w:p>
      <w:pPr>
        <w:spacing w:after="0" w:line="20" w:lineRule="exact"/>
        <w:rPr>
          <w:rFonts w:ascii="Arial" w:cs="Arial" w:eastAsia="Arial" w:hAnsi="Arial"/>
          <w:sz w:val="17"/>
          <w:szCs w:val="17"/>
          <w:color w:val="auto"/>
        </w:rPr>
      </w:pPr>
    </w:p>
    <w:p>
      <w:pPr>
        <w:ind w:left="4" w:right="80"/>
        <w:spacing w:after="0" w:line="269" w:lineRule="auto"/>
        <w:rPr>
          <w:rFonts w:ascii="Arial" w:cs="Arial" w:eastAsia="Arial" w:hAnsi="Arial"/>
          <w:sz w:val="17"/>
          <w:szCs w:val="17"/>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84" w:lineRule="exact"/>
        <w:rPr>
          <w:sz w:val="20"/>
          <w:szCs w:val="20"/>
          <w:color w:val="auto"/>
        </w:rPr>
      </w:pPr>
    </w:p>
    <w:p>
      <w:pPr>
        <w:ind w:left="184" w:hanging="184"/>
        <w:spacing w:after="0"/>
        <w:tabs>
          <w:tab w:leader="none" w:pos="18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7" w:lineRule="exact"/>
        <w:rPr>
          <w:rFonts w:ascii="Arial" w:cs="Arial" w:eastAsia="Arial" w:hAnsi="Arial"/>
          <w:sz w:val="18"/>
          <w:szCs w:val="18"/>
          <w:b w:val="1"/>
          <w:bCs w:val="1"/>
          <w:color w:val="auto"/>
        </w:rPr>
      </w:pPr>
    </w:p>
    <w:p>
      <w:pPr>
        <w:ind w:left="4" w:firstLine="436"/>
        <w:spacing w:after="0" w:line="256" w:lineRule="auto"/>
        <w:tabs>
          <w:tab w:leader="none" w:pos="699" w:val="left"/>
        </w:tabs>
        <w:numPr>
          <w:ilvl w:val="1"/>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Arial" w:cs="Arial" w:eastAsia="Arial" w:hAnsi="Arial"/>
          <w:sz w:val="18"/>
          <w:szCs w:val="18"/>
          <w:b w:val="1"/>
          <w:bCs w:val="1"/>
          <w:color w:val="auto"/>
        </w:rPr>
      </w:pPr>
    </w:p>
    <w:p>
      <w:pPr>
        <w:ind w:left="704" w:hanging="264"/>
        <w:spacing w:after="0"/>
        <w:tabs>
          <w:tab w:leader="none" w:pos="704" w:val="left"/>
        </w:tabs>
        <w:numPr>
          <w:ilvl w:val="1"/>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8" w:lineRule="exact"/>
        <w:rPr>
          <w:rFonts w:ascii="Arial" w:cs="Arial" w:eastAsia="Arial" w:hAnsi="Arial"/>
          <w:sz w:val="17"/>
          <w:szCs w:val="17"/>
          <w:b w:val="1"/>
          <w:bCs w:val="1"/>
          <w:color w:val="auto"/>
        </w:rPr>
      </w:pPr>
    </w:p>
    <w:p>
      <w:pPr>
        <w:ind w:left="4"/>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9" w:lineRule="exact"/>
        <w:rPr>
          <w:rFonts w:ascii="Arial" w:cs="Arial" w:eastAsia="Arial" w:hAnsi="Arial"/>
          <w:sz w:val="17"/>
          <w:szCs w:val="17"/>
          <w:b w:val="1"/>
          <w:bCs w:val="1"/>
          <w:color w:val="auto"/>
        </w:rPr>
      </w:pPr>
    </w:p>
    <w:p>
      <w:pPr>
        <w:ind w:left="4" w:right="100" w:firstLine="436"/>
        <w:spacing w:after="0" w:line="274" w:lineRule="auto"/>
        <w:tabs>
          <w:tab w:leader="none" w:pos="689" w:val="left"/>
        </w:tabs>
        <w:numPr>
          <w:ilvl w:val="1"/>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No Liability to Claims. </w:t>
      </w:r>
      <w:r>
        <w:rPr>
          <w:rFonts w:ascii="Arial" w:cs="Arial" w:eastAsia="Arial" w:hAnsi="Arial"/>
          <w:sz w:val="17"/>
          <w:szCs w:val="17"/>
          <w:color w:val="auto"/>
        </w:rPr>
        <w:t>Except as required by Applicable Law the Company has no duty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442" w:name="page443"/>
    <w:bookmarkEnd w:id="442"/>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61" w:lineRule="exact"/>
        <w:rPr>
          <w:sz w:val="20"/>
          <w:szCs w:val="20"/>
          <w:color w:val="auto"/>
        </w:rPr>
      </w:pPr>
    </w:p>
    <w:p>
      <w:pPr>
        <w:ind w:left="4" w:firstLine="436"/>
        <w:spacing w:after="0" w:line="261" w:lineRule="auto"/>
        <w:tabs>
          <w:tab w:leader="none" w:pos="709"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87" w:lineRule="exact"/>
        <w:rPr>
          <w:rFonts w:ascii="Arial" w:cs="Arial" w:eastAsia="Arial" w:hAnsi="Arial"/>
          <w:sz w:val="18"/>
          <w:szCs w:val="18"/>
          <w:b w:val="1"/>
          <w:bCs w:val="1"/>
          <w:color w:val="auto"/>
        </w:rPr>
      </w:pPr>
    </w:p>
    <w:p>
      <w:pPr>
        <w:ind w:left="184" w:hanging="184"/>
        <w:spacing w:after="0"/>
        <w:tabs>
          <w:tab w:leader="none" w:pos="18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82" w:lineRule="auto"/>
        <w:tabs>
          <w:tab w:leader="none" w:pos="699"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4" w:right="480" w:firstLine="436"/>
        <w:spacing w:after="0" w:line="282" w:lineRule="auto"/>
        <w:tabs>
          <w:tab w:leader="none" w:pos="709"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right="40" w:firstLine="436"/>
        <w:spacing w:after="0" w:line="255" w:lineRule="auto"/>
        <w:tabs>
          <w:tab w:leader="none" w:pos="689" w:val="left"/>
        </w:tabs>
        <w:numPr>
          <w:ilvl w:val="1"/>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8" w:lineRule="exact"/>
        <w:rPr>
          <w:rFonts w:ascii="Arial" w:cs="Arial" w:eastAsia="Arial" w:hAnsi="Arial"/>
          <w:sz w:val="18"/>
          <w:szCs w:val="18"/>
          <w:b w:val="1"/>
          <w:bCs w:val="1"/>
          <w:color w:val="auto"/>
        </w:rPr>
      </w:pPr>
    </w:p>
    <w:p>
      <w:pPr>
        <w:ind w:left="4" w:right="60" w:firstLine="436"/>
        <w:spacing w:after="0" w:line="289" w:lineRule="auto"/>
        <w:tabs>
          <w:tab w:leader="none" w:pos="709" w:val="left"/>
        </w:tabs>
        <w:numPr>
          <w:ilvl w:val="1"/>
          <w:numId w:val="3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443" w:name="page444"/>
    <w:bookmarkEnd w:id="443"/>
    <w:p>
      <w:pPr>
        <w:ind w:left="-60" w:firstLine="436"/>
        <w:spacing w:after="0" w:line="269" w:lineRule="auto"/>
        <w:tabs>
          <w:tab w:leader="none" w:pos="625"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3" w:lineRule="exact"/>
        <w:rPr>
          <w:rFonts w:ascii="Arial" w:cs="Arial" w:eastAsia="Arial" w:hAnsi="Arial"/>
          <w:sz w:val="17"/>
          <w:szCs w:val="17"/>
          <w:b w:val="1"/>
          <w:bCs w:val="1"/>
          <w:color w:val="auto"/>
        </w:rPr>
      </w:pPr>
    </w:p>
    <w:p>
      <w:pPr>
        <w:ind w:left="-60" w:right="20" w:firstLine="436"/>
        <w:spacing w:after="0" w:line="292" w:lineRule="auto"/>
        <w:tabs>
          <w:tab w:leader="none" w:pos="605"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3" w:lineRule="exact"/>
        <w:rPr>
          <w:rFonts w:ascii="Arial" w:cs="Arial" w:eastAsia="Arial" w:hAnsi="Arial"/>
          <w:sz w:val="16"/>
          <w:szCs w:val="16"/>
          <w:b w:val="1"/>
          <w:bCs w:val="1"/>
          <w:color w:val="auto"/>
        </w:rPr>
      </w:pPr>
    </w:p>
    <w:p>
      <w:pPr>
        <w:ind w:left="-60" w:right="160" w:firstLine="436"/>
        <w:spacing w:after="0" w:line="314" w:lineRule="auto"/>
        <w:tabs>
          <w:tab w:leader="none" w:pos="635"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3" w:lineRule="exact"/>
        <w:rPr>
          <w:rFonts w:ascii="Arial" w:cs="Arial" w:eastAsia="Arial" w:hAnsi="Arial"/>
          <w:sz w:val="16"/>
          <w:szCs w:val="16"/>
          <w:b w:val="1"/>
          <w:bCs w:val="1"/>
          <w:color w:val="auto"/>
        </w:rPr>
      </w:pPr>
    </w:p>
    <w:p>
      <w:pPr>
        <w:ind w:left="-60" w:right="20" w:firstLine="436"/>
        <w:spacing w:after="0" w:line="274" w:lineRule="auto"/>
        <w:tabs>
          <w:tab w:leader="none" w:pos="645"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500" w:top="270" w:right="519" w:bottom="1440" w:gutter="0" w:footer="0" w:header="0"/>
        </w:sectPr>
      </w:pPr>
    </w:p>
    <w:bookmarkStart w:id="444" w:name="page445"/>
    <w:bookmarkEnd w:id="444"/>
    <w:p>
      <w:pPr>
        <w:ind w:firstLine="436"/>
        <w:spacing w:after="0" w:line="291" w:lineRule="auto"/>
        <w:tabs>
          <w:tab w:leader="none" w:pos="655"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51" w:lineRule="exact"/>
        <w:rPr>
          <w:rFonts w:ascii="Arial" w:cs="Arial" w:eastAsia="Arial" w:hAnsi="Arial"/>
          <w:sz w:val="16"/>
          <w:szCs w:val="16"/>
          <w:b w:val="1"/>
          <w:bCs w:val="1"/>
          <w:color w:val="auto"/>
        </w:rPr>
      </w:pPr>
    </w:p>
    <w:p>
      <w:pPr>
        <w:ind w:right="20" w:firstLine="436"/>
        <w:spacing w:after="0" w:line="261" w:lineRule="auto"/>
        <w:tabs>
          <w:tab w:leader="none" w:pos="665"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71" w:lineRule="exact"/>
        <w:rPr>
          <w:rFonts w:ascii="Arial" w:cs="Arial" w:eastAsia="Arial" w:hAnsi="Arial"/>
          <w:sz w:val="18"/>
          <w:szCs w:val="18"/>
          <w:b w:val="1"/>
          <w:bCs w:val="1"/>
          <w:color w:val="auto"/>
        </w:rPr>
      </w:pPr>
    </w:p>
    <w:p>
      <w:pPr>
        <w:ind w:right="20" w:firstLine="436"/>
        <w:spacing w:after="0" w:line="258" w:lineRule="auto"/>
        <w:tabs>
          <w:tab w:leader="none" w:pos="705"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5" w:lineRule="exact"/>
        <w:rPr>
          <w:rFonts w:ascii="Arial" w:cs="Arial" w:eastAsia="Arial" w:hAnsi="Arial"/>
          <w:sz w:val="18"/>
          <w:szCs w:val="18"/>
          <w:b w:val="1"/>
          <w:bCs w:val="1"/>
          <w:color w:val="auto"/>
        </w:rPr>
      </w:pPr>
    </w:p>
    <w:p>
      <w:pPr>
        <w:jc w:val="both"/>
        <w:ind w:right="40" w:firstLine="436"/>
        <w:spacing w:after="0" w:line="261" w:lineRule="auto"/>
        <w:tabs>
          <w:tab w:leader="none" w:pos="655"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any Award granted under the Plan, as determined upon grant, vesting or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71" w:lineRule="exact"/>
        <w:rPr>
          <w:rFonts w:ascii="Arial" w:cs="Arial" w:eastAsia="Arial" w:hAnsi="Arial"/>
          <w:sz w:val="18"/>
          <w:szCs w:val="18"/>
          <w:b w:val="1"/>
          <w:bCs w:val="1"/>
          <w:color w:val="auto"/>
        </w:rPr>
      </w:pPr>
    </w:p>
    <w:p>
      <w:pPr>
        <w:ind w:right="80" w:firstLine="436"/>
        <w:spacing w:after="0" w:line="314" w:lineRule="auto"/>
        <w:tabs>
          <w:tab w:leader="none" w:pos="755"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33" w:lineRule="exact"/>
        <w:rPr>
          <w:rFonts w:ascii="Arial" w:cs="Arial" w:eastAsia="Arial" w:hAnsi="Arial"/>
          <w:sz w:val="16"/>
          <w:szCs w:val="16"/>
          <w:b w:val="1"/>
          <w:bCs w:val="1"/>
          <w:color w:val="auto"/>
        </w:rPr>
      </w:pPr>
    </w:p>
    <w:p>
      <w:pPr>
        <w:ind w:right="40" w:firstLine="436"/>
        <w:spacing w:after="0" w:line="261" w:lineRule="auto"/>
        <w:tabs>
          <w:tab w:leader="none" w:pos="705"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Unless otherwise expressly provided for in an Award Agreement, the Plan and Award Agreements will be interpreted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445" w:name="page446"/>
    <w:bookmarkEnd w:id="445"/>
    <w:p>
      <w:pPr>
        <w:ind w:left="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69" w:lineRule="exact"/>
        <w:rPr>
          <w:sz w:val="20"/>
          <w:szCs w:val="20"/>
          <w:color w:val="auto"/>
        </w:rPr>
      </w:pPr>
    </w:p>
    <w:p>
      <w:pPr>
        <w:ind w:left="4" w:right="20" w:firstLine="436"/>
        <w:spacing w:after="0" w:line="266" w:lineRule="auto"/>
        <w:tabs>
          <w:tab w:leader="none" w:pos="699" w:val="left"/>
        </w:tabs>
        <w:numPr>
          <w:ilvl w:val="1"/>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283" w:lineRule="exact"/>
        <w:rPr>
          <w:rFonts w:ascii="Arial" w:cs="Arial" w:eastAsia="Arial" w:hAnsi="Arial"/>
          <w:sz w:val="18"/>
          <w:szCs w:val="18"/>
          <w:b w:val="1"/>
          <w:bCs w:val="1"/>
          <w:color w:val="auto"/>
        </w:rPr>
      </w:pPr>
    </w:p>
    <w:p>
      <w:pPr>
        <w:ind w:left="264" w:hanging="264"/>
        <w:spacing w:after="0"/>
        <w:tabs>
          <w:tab w:leader="none" w:pos="26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91" w:lineRule="auto"/>
        <w:tabs>
          <w:tab w:leader="none" w:pos="699"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The Company will seek to obtain from each regulatory commission or agency, as may be deemed to be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67" w:lineRule="exact"/>
        <w:rPr>
          <w:rFonts w:ascii="Arial" w:cs="Arial" w:eastAsia="Arial" w:hAnsi="Arial"/>
          <w:sz w:val="16"/>
          <w:szCs w:val="16"/>
          <w:b w:val="1"/>
          <w:bCs w:val="1"/>
          <w:color w:val="auto"/>
        </w:rPr>
      </w:pPr>
    </w:p>
    <w:p>
      <w:pPr>
        <w:ind w:left="264" w:hanging="264"/>
        <w:spacing w:after="0"/>
        <w:tabs>
          <w:tab w:leader="none" w:pos="26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117" w:lineRule="exact"/>
        <w:rPr>
          <w:rFonts w:ascii="Arial" w:cs="Arial" w:eastAsia="Arial" w:hAnsi="Arial"/>
          <w:sz w:val="18"/>
          <w:szCs w:val="18"/>
          <w:b w:val="1"/>
          <w:bCs w:val="1"/>
          <w:color w:val="auto"/>
        </w:rPr>
      </w:pPr>
    </w:p>
    <w:p>
      <w:pPr>
        <w:ind w:left="4" w:right="40" w:firstLine="436"/>
        <w:spacing w:after="0" w:line="347" w:lineRule="auto"/>
        <w:tabs>
          <w:tab w:leader="none" w:pos="699"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7" w:lineRule="exact"/>
        <w:rPr>
          <w:rFonts w:ascii="Arial" w:cs="Arial" w:eastAsia="Arial" w:hAnsi="Arial"/>
          <w:sz w:val="16"/>
          <w:szCs w:val="16"/>
          <w:b w:val="1"/>
          <w:bCs w:val="1"/>
          <w:color w:val="auto"/>
        </w:rPr>
      </w:pPr>
    </w:p>
    <w:p>
      <w:pPr>
        <w:ind w:left="4" w:firstLine="436"/>
        <w:spacing w:after="0" w:line="282" w:lineRule="auto"/>
        <w:tabs>
          <w:tab w:leader="none" w:pos="709"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 due</w:t>
      </w:r>
      <w:r>
        <w:rPr>
          <w:rFonts w:ascii="Arial" w:cs="Arial" w:eastAsia="Arial" w:hAnsi="Arial"/>
          <w:sz w:val="18"/>
          <w:szCs w:val="18"/>
          <w:b w:val="1"/>
          <w:bCs w:val="1"/>
          <w:color w:val="auto"/>
        </w:rPr>
        <w:t xml:space="preserve"> </w:t>
      </w:r>
      <w:r>
        <w:rPr>
          <w:rFonts w:ascii="Arial" w:cs="Arial" w:eastAsia="Arial" w:hAnsi="Arial"/>
          <w:sz w:val="18"/>
          <w:szCs w:val="18"/>
          <w:color w:val="auto"/>
        </w:rPr>
        <w:t>to application of a Non-Exempt Severance Arrangement, the following provisions of this subsection (b) apply.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446" w:name="page447"/>
    <w:bookmarkEnd w:id="446"/>
    <w:p>
      <w:pPr>
        <w:ind w:left="4" w:right="80" w:firstLine="987"/>
        <w:spacing w:after="0" w:line="234" w:lineRule="auto"/>
        <w:tabs>
          <w:tab w:leader="none" w:pos="1210"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that follows the applicable vesting date.</w:t>
      </w:r>
    </w:p>
    <w:p>
      <w:pPr>
        <w:spacing w:after="0" w:line="1" w:lineRule="exact"/>
        <w:rPr>
          <w:rFonts w:ascii="Arial" w:cs="Arial" w:eastAsia="Arial" w:hAnsi="Arial"/>
          <w:sz w:val="18"/>
          <w:szCs w:val="18"/>
          <w:b w:val="1"/>
          <w:bCs w:val="1"/>
          <w:color w:val="auto"/>
        </w:rPr>
      </w:pPr>
    </w:p>
    <w:p>
      <w:pPr>
        <w:ind w:left="4" w:right="100" w:firstLine="987"/>
        <w:spacing w:after="0" w:line="262" w:lineRule="auto"/>
        <w:tabs>
          <w:tab w:leader="none" w:pos="1260" w:val="left"/>
        </w:tabs>
        <w:numPr>
          <w:ilvl w:val="2"/>
          <w:numId w:val="341"/>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1" w:lineRule="exact"/>
        <w:rPr>
          <w:rFonts w:ascii="Arial" w:cs="Arial" w:eastAsia="Arial" w:hAnsi="Arial"/>
          <w:sz w:val="16"/>
          <w:szCs w:val="16"/>
          <w:b w:val="1"/>
          <w:bCs w:val="1"/>
          <w:color w:val="auto"/>
        </w:rPr>
      </w:pPr>
    </w:p>
    <w:p>
      <w:pPr>
        <w:ind w:left="4" w:right="74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53" w:lineRule="exact"/>
        <w:rPr>
          <w:rFonts w:ascii="Arial" w:cs="Arial" w:eastAsia="Arial" w:hAnsi="Arial"/>
          <w:sz w:val="16"/>
          <w:szCs w:val="16"/>
          <w:b w:val="1"/>
          <w:bCs w:val="1"/>
          <w:color w:val="auto"/>
        </w:rPr>
      </w:pPr>
    </w:p>
    <w:p>
      <w:pPr>
        <w:ind w:left="4" w:right="100" w:firstLine="987"/>
        <w:spacing w:after="0" w:line="254" w:lineRule="auto"/>
        <w:tabs>
          <w:tab w:leader="none" w:pos="1310"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82" w:lineRule="exact"/>
        <w:rPr>
          <w:rFonts w:ascii="Arial" w:cs="Arial" w:eastAsia="Arial" w:hAnsi="Arial"/>
          <w:sz w:val="18"/>
          <w:szCs w:val="18"/>
          <w:b w:val="1"/>
          <w:bCs w:val="1"/>
          <w:color w:val="auto"/>
        </w:rPr>
      </w:pPr>
    </w:p>
    <w:p>
      <w:pPr>
        <w:ind w:left="684" w:hanging="244"/>
        <w:spacing w:after="0"/>
        <w:tabs>
          <w:tab w:leader="none" w:pos="684" w:val="left"/>
        </w:tabs>
        <w:numPr>
          <w:ilvl w:val="1"/>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rFonts w:ascii="Arial" w:cs="Arial" w:eastAsia="Arial" w:hAnsi="Arial"/>
          <w:sz w:val="16"/>
          <w:szCs w:val="16"/>
          <w:b w:val="1"/>
          <w:bCs w:val="1"/>
          <w:color w:val="auto"/>
        </w:rPr>
      </w:pPr>
    </w:p>
    <w:p>
      <w:pPr>
        <w:ind w:left="4" w:right="200" w:hanging="4"/>
        <w:spacing w:after="0" w:line="255" w:lineRule="auto"/>
        <w:tabs>
          <w:tab w:leader="none" w:pos="24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77" w:lineRule="exact"/>
        <w:rPr>
          <w:rFonts w:ascii="Arial" w:cs="Arial" w:eastAsia="Arial" w:hAnsi="Arial"/>
          <w:sz w:val="18"/>
          <w:szCs w:val="18"/>
          <w:color w:val="auto"/>
        </w:rPr>
      </w:pPr>
    </w:p>
    <w:p>
      <w:pPr>
        <w:ind w:left="1204" w:hanging="213"/>
        <w:spacing w:after="0"/>
        <w:tabs>
          <w:tab w:leader="none" w:pos="1204" w:val="left"/>
        </w:tabs>
        <w:numPr>
          <w:ilvl w:val="2"/>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102" w:lineRule="exact"/>
        <w:rPr>
          <w:rFonts w:ascii="Arial" w:cs="Arial" w:eastAsia="Arial" w:hAnsi="Arial"/>
          <w:sz w:val="16"/>
          <w:szCs w:val="16"/>
          <w:b w:val="1"/>
          <w:bCs w:val="1"/>
          <w:color w:val="auto"/>
        </w:rPr>
      </w:pPr>
    </w:p>
    <w:p>
      <w:pPr>
        <w:ind w:left="4" w:firstLine="1428"/>
        <w:spacing w:after="0" w:line="257" w:lineRule="auto"/>
        <w:tabs>
          <w:tab w:leader="none" w:pos="1691" w:val="left"/>
        </w:tabs>
        <w:numPr>
          <w:ilvl w:val="3"/>
          <w:numId w:val="343"/>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447" w:name="page448"/>
    <w:bookmarkEnd w:id="447"/>
    <w:p>
      <w:pPr>
        <w:ind w:left="-40" w:right="120" w:firstLine="1428"/>
        <w:spacing w:after="0" w:line="273" w:lineRule="auto"/>
        <w:tabs>
          <w:tab w:leader="none" w:pos="1647"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65" w:lineRule="exact"/>
        <w:rPr>
          <w:rFonts w:ascii="Arial" w:cs="Arial" w:eastAsia="Arial" w:hAnsi="Arial"/>
          <w:sz w:val="17"/>
          <w:szCs w:val="17"/>
          <w:b w:val="1"/>
          <w:bCs w:val="1"/>
          <w:color w:val="auto"/>
        </w:rPr>
      </w:pPr>
    </w:p>
    <w:p>
      <w:pPr>
        <w:ind w:left="-40" w:right="680" w:firstLine="987"/>
        <w:spacing w:after="0" w:line="282" w:lineRule="auto"/>
        <w:tabs>
          <w:tab w:leader="none" w:pos="1216"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57" w:lineRule="exact"/>
        <w:rPr>
          <w:rFonts w:ascii="Arial" w:cs="Arial" w:eastAsia="Arial" w:hAnsi="Arial"/>
          <w:sz w:val="18"/>
          <w:szCs w:val="18"/>
          <w:b w:val="1"/>
          <w:bCs w:val="1"/>
          <w:color w:val="auto"/>
        </w:rPr>
      </w:pPr>
    </w:p>
    <w:p>
      <w:pPr>
        <w:ind w:left="-40" w:right="60" w:firstLine="1428"/>
        <w:spacing w:after="0" w:line="291" w:lineRule="auto"/>
        <w:tabs>
          <w:tab w:leader="none" w:pos="1647" w:val="left"/>
        </w:tabs>
        <w:numPr>
          <w:ilvl w:val="1"/>
          <w:numId w:val="345"/>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58" w:lineRule="exact"/>
        <w:rPr>
          <w:rFonts w:ascii="Arial" w:cs="Arial" w:eastAsia="Arial" w:hAnsi="Arial"/>
          <w:sz w:val="16"/>
          <w:szCs w:val="16"/>
          <w:b w:val="1"/>
          <w:bCs w:val="1"/>
          <w:color w:val="auto"/>
        </w:rPr>
      </w:pPr>
    </w:p>
    <w:p>
      <w:pPr>
        <w:ind w:left="-40" w:firstLine="1428"/>
        <w:spacing w:after="0" w:line="271" w:lineRule="auto"/>
        <w:tabs>
          <w:tab w:leader="none" w:pos="1647" w:val="left"/>
        </w:tabs>
        <w:numPr>
          <w:ilvl w:val="1"/>
          <w:numId w:val="345"/>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70" w:lineRule="exact"/>
        <w:rPr>
          <w:rFonts w:ascii="Arial" w:cs="Arial" w:eastAsia="Arial" w:hAnsi="Arial"/>
          <w:sz w:val="17"/>
          <w:szCs w:val="17"/>
          <w:b w:val="1"/>
          <w:bCs w:val="1"/>
          <w:color w:val="auto"/>
        </w:rPr>
      </w:pPr>
    </w:p>
    <w:p>
      <w:pPr>
        <w:ind w:left="-40" w:right="400" w:firstLine="1428"/>
        <w:spacing w:after="0" w:line="277" w:lineRule="auto"/>
        <w:tabs>
          <w:tab w:leader="none" w:pos="1647" w:val="left"/>
        </w:tabs>
        <w:numPr>
          <w:ilvl w:val="1"/>
          <w:numId w:val="345"/>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448" w:name="page449"/>
    <w:bookmarkEnd w:id="448"/>
    <w:p>
      <w:pPr>
        <w:ind w:left="-20" w:right="460" w:firstLine="436"/>
        <w:spacing w:after="0" w:line="266" w:lineRule="auto"/>
        <w:tabs>
          <w:tab w:leader="none" w:pos="685"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71" w:lineRule="exact"/>
        <w:rPr>
          <w:rFonts w:ascii="Arial" w:cs="Arial" w:eastAsia="Arial" w:hAnsi="Arial"/>
          <w:sz w:val="18"/>
          <w:szCs w:val="18"/>
          <w:b w:val="1"/>
          <w:bCs w:val="1"/>
          <w:color w:val="auto"/>
        </w:rPr>
      </w:pPr>
    </w:p>
    <w:p>
      <w:pPr>
        <w:ind w:left="-20" w:firstLine="987"/>
        <w:spacing w:after="0" w:line="275" w:lineRule="auto"/>
        <w:tabs>
          <w:tab w:leader="none" w:pos="118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68" w:lineRule="exact"/>
        <w:rPr>
          <w:rFonts w:ascii="Arial" w:cs="Arial" w:eastAsia="Arial" w:hAnsi="Arial"/>
          <w:sz w:val="17"/>
          <w:szCs w:val="17"/>
          <w:b w:val="1"/>
          <w:bCs w:val="1"/>
          <w:color w:val="auto"/>
        </w:rPr>
      </w:pPr>
    </w:p>
    <w:p>
      <w:pPr>
        <w:ind w:left="-20" w:right="20" w:firstLine="987"/>
        <w:spacing w:after="0" w:line="291" w:lineRule="auto"/>
        <w:tabs>
          <w:tab w:leader="none" w:pos="1236" w:val="left"/>
        </w:tabs>
        <w:numPr>
          <w:ilvl w:val="1"/>
          <w:numId w:val="346"/>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66" w:lineRule="exact"/>
        <w:rPr>
          <w:rFonts w:ascii="Arial" w:cs="Arial" w:eastAsia="Arial" w:hAnsi="Arial"/>
          <w:sz w:val="16"/>
          <w:szCs w:val="16"/>
          <w:b w:val="1"/>
          <w:bCs w:val="1"/>
          <w:color w:val="auto"/>
        </w:rPr>
      </w:pPr>
    </w:p>
    <w:p>
      <w:pPr>
        <w:ind w:left="-20" w:right="320" w:firstLine="436"/>
        <w:spacing w:after="0" w:line="277" w:lineRule="auto"/>
        <w:tabs>
          <w:tab w:leader="none" w:pos="665"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2" w:lineRule="exact"/>
        <w:rPr>
          <w:rFonts w:ascii="Arial" w:cs="Arial" w:eastAsia="Arial" w:hAnsi="Arial"/>
          <w:sz w:val="18"/>
          <w:szCs w:val="18"/>
          <w:b w:val="1"/>
          <w:bCs w:val="1"/>
          <w:color w:val="auto"/>
        </w:rPr>
      </w:pPr>
    </w:p>
    <w:p>
      <w:pPr>
        <w:ind w:left="-20" w:right="380" w:firstLine="987"/>
        <w:spacing w:after="0" w:line="263" w:lineRule="auto"/>
        <w:tabs>
          <w:tab w:leader="none" w:pos="1186"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75" w:lineRule="exact"/>
        <w:rPr>
          <w:rFonts w:ascii="Arial" w:cs="Arial" w:eastAsia="Arial" w:hAnsi="Arial"/>
          <w:sz w:val="18"/>
          <w:szCs w:val="18"/>
          <w:b w:val="1"/>
          <w:bCs w:val="1"/>
          <w:color w:val="auto"/>
        </w:rPr>
      </w:pPr>
    </w:p>
    <w:p>
      <w:pPr>
        <w:ind w:left="-20" w:right="140" w:firstLine="987"/>
        <w:spacing w:after="0" w:line="308" w:lineRule="auto"/>
        <w:tabs>
          <w:tab w:leader="none" w:pos="1236"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38" w:lineRule="exact"/>
        <w:rPr>
          <w:rFonts w:ascii="Arial" w:cs="Arial" w:eastAsia="Arial" w:hAnsi="Arial"/>
          <w:sz w:val="17"/>
          <w:szCs w:val="17"/>
          <w:b w:val="1"/>
          <w:bCs w:val="1"/>
          <w:color w:val="auto"/>
        </w:rPr>
      </w:pPr>
    </w:p>
    <w:p>
      <w:pPr>
        <w:ind w:left="-20" w:firstLine="987"/>
        <w:spacing w:after="0" w:line="259" w:lineRule="auto"/>
        <w:tabs>
          <w:tab w:leader="none" w:pos="1286"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449" w:name="page450"/>
    <w:bookmarkEnd w:id="449"/>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80" w:lineRule="exact"/>
        <w:rPr>
          <w:sz w:val="20"/>
          <w:szCs w:val="20"/>
          <w:color w:val="auto"/>
        </w:rPr>
      </w:pPr>
    </w:p>
    <w:p>
      <w:pPr>
        <w:ind w:left="4" w:right="60" w:firstLine="987"/>
        <w:spacing w:after="0" w:line="286" w:lineRule="auto"/>
        <w:tabs>
          <w:tab w:leader="none" w:pos="1300" w:val="left"/>
        </w:tabs>
        <w:numPr>
          <w:ilvl w:val="1"/>
          <w:numId w:val="347"/>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69" w:lineRule="exact"/>
        <w:rPr>
          <w:rFonts w:ascii="Arial" w:cs="Arial" w:eastAsia="Arial" w:hAnsi="Arial"/>
          <w:sz w:val="17"/>
          <w:szCs w:val="17"/>
          <w:b w:val="1"/>
          <w:bCs w:val="1"/>
          <w:color w:val="auto"/>
        </w:rPr>
      </w:pPr>
    </w:p>
    <w:p>
      <w:pPr>
        <w:ind w:left="264" w:hanging="264"/>
        <w:spacing w:after="0"/>
        <w:tabs>
          <w:tab w:leader="none" w:pos="264"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75" w:lineRule="exact"/>
        <w:rPr>
          <w:sz w:val="20"/>
          <w:szCs w:val="20"/>
          <w:color w:val="auto"/>
        </w:rPr>
      </w:pPr>
    </w:p>
    <w:p>
      <w:pPr>
        <w:ind w:left="264" w:hanging="264"/>
        <w:spacing w:after="0"/>
        <w:tabs>
          <w:tab w:leader="none" w:pos="26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4" w:right="160" w:hanging="4"/>
        <w:spacing w:after="0" w:line="260" w:lineRule="auto"/>
        <w:tabs>
          <w:tab w:leader="none" w:pos="21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450" w:name="page451"/>
    <w:bookmarkEnd w:id="450"/>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7" w:lineRule="exact"/>
        <w:rPr>
          <w:sz w:val="20"/>
          <w:szCs w:val="20"/>
          <w:color w:val="auto"/>
        </w:rPr>
      </w:pPr>
    </w:p>
    <w:p>
      <w:pPr>
        <w:ind w:left="704" w:hanging="264"/>
        <w:spacing w:after="0"/>
        <w:tabs>
          <w:tab w:leader="none" w:pos="704" w:val="left"/>
        </w:tabs>
        <w:numPr>
          <w:ilvl w:val="0"/>
          <w:numId w:val="35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128" w:lineRule="exact"/>
        <w:rPr>
          <w:rFonts w:ascii="Arial" w:cs="Arial" w:eastAsia="Arial" w:hAnsi="Arial"/>
          <w:sz w:val="17"/>
          <w:szCs w:val="17"/>
          <w:b w:val="1"/>
          <w:bCs w:val="1"/>
          <w:color w:val="auto"/>
        </w:rPr>
      </w:pPr>
    </w:p>
    <w:p>
      <w:pPr>
        <w:ind w:left="704" w:hanging="264"/>
        <w:spacing w:after="0"/>
        <w:tabs>
          <w:tab w:leader="none" w:pos="704"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117" w:lineRule="exact"/>
        <w:rPr>
          <w:rFonts w:ascii="Arial" w:cs="Arial" w:eastAsia="Arial" w:hAnsi="Arial"/>
          <w:sz w:val="18"/>
          <w:szCs w:val="18"/>
          <w:b w:val="1"/>
          <w:bCs w:val="1"/>
          <w:color w:val="auto"/>
        </w:rPr>
      </w:pPr>
    </w:p>
    <w:p>
      <w:pPr>
        <w:ind w:left="4" w:right="360" w:firstLine="436"/>
        <w:spacing w:after="0" w:line="263" w:lineRule="auto"/>
        <w:tabs>
          <w:tab w:leader="none" w:pos="68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ind w:left="4" w:right="140" w:firstLine="436"/>
        <w:spacing w:after="0" w:line="257" w:lineRule="auto"/>
        <w:tabs>
          <w:tab w:leader="none" w:pos="70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79" w:lineRule="exact"/>
        <w:rPr>
          <w:rFonts w:ascii="Arial" w:cs="Arial" w:eastAsia="Arial" w:hAnsi="Arial"/>
          <w:sz w:val="18"/>
          <w:szCs w:val="18"/>
          <w:b w:val="1"/>
          <w:bCs w:val="1"/>
          <w:color w:val="auto"/>
        </w:rPr>
      </w:pPr>
    </w:p>
    <w:p>
      <w:pPr>
        <w:ind w:left="4" w:right="320" w:firstLine="436"/>
        <w:spacing w:after="0" w:line="308" w:lineRule="auto"/>
        <w:tabs>
          <w:tab w:leader="none" w:pos="689" w:val="left"/>
        </w:tabs>
        <w:numPr>
          <w:ilvl w:val="0"/>
          <w:numId w:val="35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38" w:lineRule="exact"/>
        <w:rPr>
          <w:rFonts w:ascii="Arial" w:cs="Arial" w:eastAsia="Arial" w:hAnsi="Arial"/>
          <w:sz w:val="17"/>
          <w:szCs w:val="17"/>
          <w:b w:val="1"/>
          <w:bCs w:val="1"/>
          <w:color w:val="auto"/>
        </w:rPr>
      </w:pPr>
    </w:p>
    <w:p>
      <w:pPr>
        <w:ind w:left="4" w:firstLine="436"/>
        <w:spacing w:after="0" w:line="263" w:lineRule="auto"/>
        <w:tabs>
          <w:tab w:leader="none" w:pos="66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75" w:lineRule="exact"/>
        <w:rPr>
          <w:rFonts w:ascii="Arial" w:cs="Arial" w:eastAsia="Arial" w:hAnsi="Arial"/>
          <w:sz w:val="18"/>
          <w:szCs w:val="18"/>
          <w:b w:val="1"/>
          <w:bCs w:val="1"/>
          <w:color w:val="auto"/>
        </w:rPr>
      </w:pPr>
    </w:p>
    <w:p>
      <w:pPr>
        <w:ind w:left="4" w:right="40" w:firstLine="436"/>
        <w:spacing w:after="0" w:line="263" w:lineRule="auto"/>
        <w:tabs>
          <w:tab w:leader="none" w:pos="69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75" w:lineRule="exact"/>
        <w:rPr>
          <w:rFonts w:ascii="Arial" w:cs="Arial" w:eastAsia="Arial" w:hAnsi="Arial"/>
          <w:sz w:val="18"/>
          <w:szCs w:val="18"/>
          <w:b w:val="1"/>
          <w:bCs w:val="1"/>
          <w:color w:val="auto"/>
        </w:rPr>
      </w:pPr>
    </w:p>
    <w:p>
      <w:pPr>
        <w:ind w:left="4" w:right="40" w:firstLine="436"/>
        <w:spacing w:after="0" w:line="293" w:lineRule="auto"/>
        <w:tabs>
          <w:tab w:leader="none" w:pos="709" w:val="left"/>
        </w:tabs>
        <w:numPr>
          <w:ilvl w:val="0"/>
          <w:numId w:val="352"/>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451" w:name="page452"/>
    <w:bookmarkEnd w:id="451"/>
    <w:p>
      <w:pPr>
        <w:ind w:left="-20" w:right="20" w:firstLine="436"/>
        <w:spacing w:after="0" w:line="269" w:lineRule="auto"/>
        <w:tabs>
          <w:tab w:leader="none" w:pos="635"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77" w:lineRule="exact"/>
        <w:rPr>
          <w:rFonts w:ascii="Arial" w:cs="Arial" w:eastAsia="Arial" w:hAnsi="Arial"/>
          <w:sz w:val="17"/>
          <w:szCs w:val="17"/>
          <w:b w:val="1"/>
          <w:bCs w:val="1"/>
          <w:color w:val="auto"/>
        </w:rPr>
      </w:pPr>
    </w:p>
    <w:p>
      <w:pPr>
        <w:ind w:left="-20" w:right="100" w:firstLine="436"/>
        <w:spacing w:after="0" w:line="263" w:lineRule="auto"/>
        <w:tabs>
          <w:tab w:leader="none" w:pos="645"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75" w:lineRule="exact"/>
        <w:rPr>
          <w:rFonts w:ascii="Arial" w:cs="Arial" w:eastAsia="Arial" w:hAnsi="Arial"/>
          <w:sz w:val="18"/>
          <w:szCs w:val="18"/>
          <w:b w:val="1"/>
          <w:bCs w:val="1"/>
          <w:color w:val="auto"/>
        </w:rPr>
      </w:pPr>
    </w:p>
    <w:p>
      <w:pPr>
        <w:ind w:left="-20" w:firstLine="987"/>
        <w:spacing w:after="0" w:line="287" w:lineRule="auto"/>
        <w:tabs>
          <w:tab w:leader="none" w:pos="1186"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452" w:name="page453"/>
    <w:bookmarkEnd w:id="452"/>
    <w:p>
      <w:pPr>
        <w:ind w:right="200" w:firstLine="987"/>
        <w:spacing w:after="0" w:line="273" w:lineRule="auto"/>
        <w:tabs>
          <w:tab w:leader="none" w:pos="1256" w:val="left"/>
        </w:tabs>
        <w:numPr>
          <w:ilvl w:val="0"/>
          <w:numId w:val="35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9" w:lineRule="exact"/>
        <w:rPr>
          <w:rFonts w:ascii="Arial" w:cs="Arial" w:eastAsia="Arial" w:hAnsi="Arial"/>
          <w:sz w:val="17"/>
          <w:szCs w:val="17"/>
          <w:b w:val="1"/>
          <w:bCs w:val="1"/>
          <w:color w:val="auto"/>
        </w:rPr>
      </w:pPr>
    </w:p>
    <w:p>
      <w:pPr>
        <w:ind w:right="160" w:firstLine="987"/>
        <w:spacing w:after="0" w:line="257" w:lineRule="auto"/>
        <w:tabs>
          <w:tab w:leader="none" w:pos="1306"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9" w:lineRule="exact"/>
        <w:rPr>
          <w:rFonts w:ascii="Arial" w:cs="Arial" w:eastAsia="Arial" w:hAnsi="Arial"/>
          <w:sz w:val="18"/>
          <w:szCs w:val="18"/>
          <w:b w:val="1"/>
          <w:bCs w:val="1"/>
          <w:color w:val="auto"/>
        </w:rPr>
      </w:pPr>
    </w:p>
    <w:p>
      <w:pPr>
        <w:ind w:right="140" w:firstLine="987"/>
        <w:spacing w:after="0" w:line="279" w:lineRule="auto"/>
        <w:tabs>
          <w:tab w:leader="none" w:pos="1296" w:val="left"/>
        </w:tabs>
        <w:numPr>
          <w:ilvl w:val="0"/>
          <w:numId w:val="354"/>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63"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68" w:lineRule="exact"/>
        <w:rPr>
          <w:sz w:val="20"/>
          <w:szCs w:val="20"/>
          <w:color w:val="auto"/>
        </w:rPr>
      </w:pPr>
    </w:p>
    <w:p>
      <w:pPr>
        <w:ind w:left="700" w:hanging="264"/>
        <w:spacing w:after="0"/>
        <w:tabs>
          <w:tab w:leader="none" w:pos="70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firstLine="436"/>
        <w:spacing w:after="0" w:line="277" w:lineRule="auto"/>
        <w:tabs>
          <w:tab w:leader="none" w:pos="655"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Directors to whom authority has been delegated by the Board or Compensation Committee in accordance with the Plan.</w:t>
      </w:r>
    </w:p>
    <w:p>
      <w:pPr>
        <w:spacing w:after="0" w:line="62" w:lineRule="exact"/>
        <w:rPr>
          <w:rFonts w:ascii="Arial" w:cs="Arial" w:eastAsia="Arial" w:hAnsi="Arial"/>
          <w:sz w:val="18"/>
          <w:szCs w:val="18"/>
          <w:b w:val="1"/>
          <w:bCs w:val="1"/>
          <w:color w:val="auto"/>
        </w:rPr>
      </w:pPr>
    </w:p>
    <w:p>
      <w:pPr>
        <w:ind w:left="760" w:hanging="324"/>
        <w:spacing w:after="0"/>
        <w:tabs>
          <w:tab w:leader="none" w:pos="76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Lexeo Therapeutics, Inc., a Delaware corporation.</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117" w:lineRule="exact"/>
        <w:rPr>
          <w:rFonts w:ascii="Arial" w:cs="Arial" w:eastAsia="Arial" w:hAnsi="Arial"/>
          <w:sz w:val="18"/>
          <w:szCs w:val="18"/>
          <w:b w:val="1"/>
          <w:bCs w:val="1"/>
          <w:color w:val="auto"/>
        </w:rPr>
      </w:pPr>
    </w:p>
    <w:p>
      <w:pPr>
        <w:ind w:right="60" w:firstLine="436"/>
        <w:spacing w:after="0" w:line="259" w:lineRule="auto"/>
        <w:tabs>
          <w:tab w:leader="none" w:pos="705"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53" w:name="page454"/>
    <w:bookmarkEnd w:id="45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2" w:lineRule="exact"/>
        <w:rPr>
          <w:sz w:val="20"/>
          <w:szCs w:val="20"/>
          <w:color w:val="auto"/>
        </w:rPr>
      </w:pPr>
    </w:p>
    <w:p>
      <w:pPr>
        <w:ind w:firstLine="436"/>
        <w:spacing w:after="0" w:line="268" w:lineRule="auto"/>
        <w:tabs>
          <w:tab w:leader="none" w:pos="705"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3" w:lineRule="exact"/>
        <w:rPr>
          <w:rFonts w:ascii="Arial" w:cs="Arial" w:eastAsia="Arial" w:hAnsi="Arial"/>
          <w:sz w:val="17"/>
          <w:szCs w:val="17"/>
          <w:b w:val="1"/>
          <w:bCs w:val="1"/>
          <w:color w:val="auto"/>
        </w:rPr>
      </w:pPr>
    </w:p>
    <w:p>
      <w:pPr>
        <w:ind w:right="440" w:firstLine="436"/>
        <w:spacing w:after="0" w:line="277" w:lineRule="auto"/>
        <w:tabs>
          <w:tab w:leader="none" w:pos="685"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1200" w:hanging="213"/>
        <w:spacing w:after="0"/>
        <w:tabs>
          <w:tab w:leader="none" w:pos="1200" w:val="left"/>
        </w:tabs>
        <w:numPr>
          <w:ilvl w:val="1"/>
          <w:numId w:val="356"/>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of the consolidated assets of the Company and its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Subsidiaries;</w:t>
      </w:r>
    </w:p>
    <w:p>
      <w:pPr>
        <w:spacing w:after="0" w:line="102" w:lineRule="exact"/>
        <w:rPr>
          <w:rFonts w:ascii="Arial" w:cs="Arial" w:eastAsia="Arial" w:hAnsi="Arial"/>
          <w:sz w:val="17"/>
          <w:szCs w:val="17"/>
          <w:b w:val="1"/>
          <w:bCs w:val="1"/>
          <w:color w:val="auto"/>
        </w:rPr>
      </w:pPr>
    </w:p>
    <w:p>
      <w:pPr>
        <w:ind w:left="1260" w:hanging="273"/>
        <w:spacing w:after="0"/>
        <w:tabs>
          <w:tab w:leader="none" w:pos="1260"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right="260" w:firstLine="987"/>
        <w:spacing w:after="0" w:line="263" w:lineRule="auto"/>
        <w:tabs>
          <w:tab w:leader="none" w:pos="1296"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54" w:name="page455"/>
    <w:bookmarkEnd w:id="454"/>
    <w:p>
      <w:pPr>
        <w:ind w:left="680" w:hanging="244"/>
        <w:spacing w:after="0"/>
        <w:tabs>
          <w:tab w:leader="none" w:pos="68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117" w:lineRule="exact"/>
        <w:rPr>
          <w:rFonts w:ascii="Arial" w:cs="Arial" w:eastAsia="Arial" w:hAnsi="Arial"/>
          <w:sz w:val="18"/>
          <w:szCs w:val="18"/>
          <w:b w:val="1"/>
          <w:bCs w:val="1"/>
          <w:color w:val="auto"/>
        </w:rPr>
      </w:pPr>
    </w:p>
    <w:p>
      <w:pPr>
        <w:jc w:val="both"/>
        <w:ind w:right="340" w:firstLine="436"/>
        <w:spacing w:after="0" w:line="259" w:lineRule="auto"/>
        <w:tabs>
          <w:tab w:leader="none" w:pos="705"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78" w:lineRule="exact"/>
        <w:rPr>
          <w:rFonts w:ascii="Arial" w:cs="Arial" w:eastAsia="Arial" w:hAnsi="Arial"/>
          <w:sz w:val="18"/>
          <w:szCs w:val="18"/>
          <w:b w:val="1"/>
          <w:bCs w:val="1"/>
          <w:color w:val="auto"/>
        </w:rPr>
      </w:pPr>
    </w:p>
    <w:p>
      <w:pPr>
        <w:ind w:left="700" w:hanging="264"/>
        <w:spacing w:after="0"/>
        <w:tabs>
          <w:tab w:leader="none" w:pos="700"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this Plan is approved by the Company’s stockholders prior to the IPO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b w:val="1"/>
          <w:bCs w:val="1"/>
          <w:color w:val="auto"/>
        </w:rPr>
      </w:pPr>
    </w:p>
    <w:p>
      <w:pPr>
        <w:ind w:right="60" w:firstLine="436"/>
        <w:spacing w:after="0" w:line="277" w:lineRule="auto"/>
        <w:tabs>
          <w:tab w:leader="none" w:pos="735"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700" w:hanging="264"/>
        <w:spacing w:after="0"/>
        <w:tabs>
          <w:tab w:leader="none" w:pos="70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80" w:hanging="244"/>
        <w:spacing w:after="0"/>
        <w:tabs>
          <w:tab w:leader="none" w:pos="680" w:val="left"/>
        </w:tabs>
        <w:numPr>
          <w:ilvl w:val="0"/>
          <w:numId w:val="35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 w:firstLine="436"/>
        <w:spacing w:after="0" w:line="254" w:lineRule="auto"/>
        <w:tabs>
          <w:tab w:leader="none" w:pos="78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83" w:lineRule="exact"/>
        <w:rPr>
          <w:rFonts w:ascii="Arial" w:cs="Arial" w:eastAsia="Arial" w:hAnsi="Arial"/>
          <w:sz w:val="18"/>
          <w:szCs w:val="18"/>
          <w:b w:val="1"/>
          <w:bCs w:val="1"/>
          <w:color w:val="auto"/>
        </w:rPr>
      </w:pPr>
    </w:p>
    <w:p>
      <w:pPr>
        <w:ind w:right="80" w:firstLine="436"/>
        <w:spacing w:after="0" w:line="277" w:lineRule="auto"/>
        <w:tabs>
          <w:tab w:leader="none" w:pos="805"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06"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455" w:name="page456"/>
    <w:bookmarkEnd w:id="455"/>
    <w:p>
      <w:pPr>
        <w:ind w:left="-20" w:right="300" w:firstLine="987"/>
        <w:spacing w:after="0" w:line="277" w:lineRule="auto"/>
        <w:tabs>
          <w:tab w:leader="none" w:pos="1236"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left="-20" w:right="600" w:firstLine="987"/>
        <w:spacing w:after="0" w:line="277" w:lineRule="auto"/>
        <w:tabs>
          <w:tab w:leader="none" w:pos="1286"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left="-20" w:firstLine="436"/>
        <w:spacing w:after="0" w:line="255" w:lineRule="auto"/>
        <w:tabs>
          <w:tab w:leader="none" w:pos="745"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84" w:lineRule="exact"/>
        <w:rPr>
          <w:rFonts w:ascii="Arial" w:cs="Arial" w:eastAsia="Arial" w:hAnsi="Arial"/>
          <w:sz w:val="18"/>
          <w:szCs w:val="18"/>
          <w:b w:val="1"/>
          <w:bCs w:val="1"/>
          <w:color w:val="auto"/>
        </w:rPr>
      </w:pPr>
    </w:p>
    <w:p>
      <w:pPr>
        <w:jc w:val="both"/>
        <w:ind w:left="-20" w:right="200" w:firstLine="436"/>
        <w:spacing w:after="0" w:line="286" w:lineRule="auto"/>
        <w:tabs>
          <w:tab w:leader="none" w:pos="785" w:val="left"/>
        </w:tabs>
        <w:numPr>
          <w:ilvl w:val="0"/>
          <w:numId w:val="36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57" w:lineRule="exact"/>
        <w:rPr>
          <w:rFonts w:ascii="Arial" w:cs="Arial" w:eastAsia="Arial" w:hAnsi="Arial"/>
          <w:sz w:val="17"/>
          <w:szCs w:val="17"/>
          <w:b w:val="1"/>
          <w:bCs w:val="1"/>
          <w:color w:val="auto"/>
        </w:rPr>
      </w:pPr>
    </w:p>
    <w:p>
      <w:pPr>
        <w:ind w:left="-20" w:right="360" w:firstLine="436"/>
        <w:spacing w:after="0" w:line="277" w:lineRule="auto"/>
        <w:tabs>
          <w:tab w:leader="none" w:pos="745"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62" w:lineRule="exact"/>
        <w:rPr>
          <w:rFonts w:ascii="Arial" w:cs="Arial" w:eastAsia="Arial" w:hAnsi="Arial"/>
          <w:sz w:val="18"/>
          <w:szCs w:val="18"/>
          <w:b w:val="1"/>
          <w:bCs w:val="1"/>
          <w:color w:val="auto"/>
        </w:rPr>
      </w:pPr>
    </w:p>
    <w:p>
      <w:pPr>
        <w:ind w:left="-20" w:right="160" w:firstLine="436"/>
        <w:spacing w:after="0" w:line="277" w:lineRule="auto"/>
        <w:tabs>
          <w:tab w:leader="none" w:pos="705"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62" w:lineRule="exact"/>
        <w:rPr>
          <w:rFonts w:ascii="Arial" w:cs="Arial" w:eastAsia="Arial" w:hAnsi="Arial"/>
          <w:sz w:val="18"/>
          <w:szCs w:val="18"/>
          <w:b w:val="1"/>
          <w:bCs w:val="1"/>
          <w:color w:val="auto"/>
        </w:rPr>
      </w:pPr>
    </w:p>
    <w:p>
      <w:pPr>
        <w:ind w:left="-20" w:right="100" w:firstLine="436"/>
        <w:spacing w:after="0" w:line="290" w:lineRule="auto"/>
        <w:tabs>
          <w:tab w:leader="none" w:pos="765" w:val="left"/>
        </w:tabs>
        <w:numPr>
          <w:ilvl w:val="0"/>
          <w:numId w:val="3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456" w:name="page457"/>
    <w:bookmarkEnd w:id="456"/>
    <w:p>
      <w:pPr>
        <w:ind w:left="4" w:right="120" w:firstLine="436"/>
        <w:spacing w:after="0" w:line="285" w:lineRule="auto"/>
        <w:tabs>
          <w:tab w:leader="none" w:pos="809" w:val="left"/>
        </w:tabs>
        <w:numPr>
          <w:ilvl w:val="1"/>
          <w:numId w:val="36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102" w:lineRule="exact"/>
        <w:rPr>
          <w:rFonts w:ascii="Arial" w:cs="Arial" w:eastAsia="Arial" w:hAnsi="Arial"/>
          <w:sz w:val="18"/>
          <w:szCs w:val="18"/>
          <w:color w:val="auto"/>
        </w:rPr>
      </w:pPr>
    </w:p>
    <w:p>
      <w:pPr>
        <w:ind w:left="4" w:firstLine="436"/>
        <w:spacing w:after="0" w:line="263" w:lineRule="auto"/>
        <w:tabs>
          <w:tab w:leader="none" w:pos="709"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75" w:lineRule="exact"/>
        <w:rPr>
          <w:rFonts w:ascii="Arial" w:cs="Arial" w:eastAsia="Arial" w:hAnsi="Arial"/>
          <w:sz w:val="18"/>
          <w:szCs w:val="18"/>
          <w:b w:val="1"/>
          <w:bCs w:val="1"/>
          <w:color w:val="auto"/>
        </w:rPr>
      </w:pPr>
    </w:p>
    <w:p>
      <w:pPr>
        <w:ind w:left="4" w:right="620" w:firstLine="436"/>
        <w:spacing w:after="0" w:line="277" w:lineRule="auto"/>
        <w:tabs>
          <w:tab w:leader="none" w:pos="729"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62" w:lineRule="exact"/>
        <w:rPr>
          <w:rFonts w:ascii="Arial" w:cs="Arial" w:eastAsia="Arial" w:hAnsi="Arial"/>
          <w:sz w:val="18"/>
          <w:szCs w:val="18"/>
          <w:b w:val="1"/>
          <w:bCs w:val="1"/>
          <w:color w:val="auto"/>
        </w:rPr>
      </w:pPr>
    </w:p>
    <w:p>
      <w:pPr>
        <w:jc w:val="both"/>
        <w:ind w:left="4" w:right="20" w:firstLine="436"/>
        <w:spacing w:after="0" w:line="275" w:lineRule="auto"/>
        <w:tabs>
          <w:tab w:leader="none" w:pos="809" w:val="left"/>
        </w:tabs>
        <w:numPr>
          <w:ilvl w:val="1"/>
          <w:numId w:val="3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68" w:lineRule="exact"/>
        <w:rPr>
          <w:rFonts w:ascii="Arial" w:cs="Arial" w:eastAsia="Arial" w:hAnsi="Arial"/>
          <w:sz w:val="17"/>
          <w:szCs w:val="17"/>
          <w:b w:val="1"/>
          <w:bCs w:val="1"/>
          <w:color w:val="auto"/>
        </w:rPr>
      </w:pPr>
    </w:p>
    <w:p>
      <w:pPr>
        <w:ind w:left="704" w:hanging="264"/>
        <w:spacing w:after="0"/>
        <w:tabs>
          <w:tab w:leader="none" w:pos="704"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 Option.</w:t>
      </w:r>
    </w:p>
    <w:p>
      <w:pPr>
        <w:spacing w:after="0" w:line="140" w:lineRule="exact"/>
        <w:rPr>
          <w:rFonts w:ascii="Arial" w:cs="Arial" w:eastAsia="Arial" w:hAnsi="Arial"/>
          <w:sz w:val="16"/>
          <w:szCs w:val="16"/>
          <w:b w:val="1"/>
          <w:bCs w:val="1"/>
          <w:color w:val="auto"/>
        </w:rPr>
      </w:pPr>
    </w:p>
    <w:p>
      <w:pPr>
        <w:ind w:left="904" w:hanging="464"/>
        <w:spacing w:after="0"/>
        <w:tabs>
          <w:tab w:leader="none" w:pos="904"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804" w:hanging="364"/>
        <w:spacing w:after="0"/>
        <w:tabs>
          <w:tab w:leader="none" w:pos="804"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b w:val="1"/>
          <w:bCs w:val="1"/>
          <w:color w:val="auto"/>
        </w:rPr>
      </w:pPr>
    </w:p>
    <w:p>
      <w:pPr>
        <w:ind w:left="4" w:right="160" w:firstLine="436"/>
        <w:spacing w:after="0" w:line="259" w:lineRule="auto"/>
        <w:tabs>
          <w:tab w:leader="none" w:pos="789"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78" w:lineRule="exact"/>
        <w:rPr>
          <w:rFonts w:ascii="Arial" w:cs="Arial" w:eastAsia="Arial" w:hAnsi="Arial"/>
          <w:sz w:val="18"/>
          <w:szCs w:val="18"/>
          <w:b w:val="1"/>
          <w:bCs w:val="1"/>
          <w:color w:val="auto"/>
        </w:rPr>
      </w:pPr>
    </w:p>
    <w:p>
      <w:pPr>
        <w:ind w:left="4" w:right="660" w:firstLine="436"/>
        <w:spacing w:after="0" w:line="277" w:lineRule="auto"/>
        <w:tabs>
          <w:tab w:leader="none" w:pos="809"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4"/>
          </w:cols>
          <w:pgMar w:left="436" w:top="274" w:right="499" w:bottom="1440" w:gutter="0" w:footer="0" w:header="0"/>
        </w:sectPr>
      </w:pPr>
    </w:p>
    <w:bookmarkStart w:id="457" w:name="page458"/>
    <w:bookmarkEnd w:id="457"/>
    <w:p>
      <w:pPr>
        <w:ind w:left="-40" w:right="360" w:firstLine="436"/>
        <w:spacing w:after="0" w:line="277" w:lineRule="auto"/>
        <w:tabs>
          <w:tab w:leader="none" w:pos="765"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 award based in whole or in part by reference to the Common Stock which is granted pursuant to the terms and conditions of Section 5(c).</w:t>
      </w:r>
    </w:p>
    <w:p>
      <w:pPr>
        <w:spacing w:after="0" w:line="62" w:lineRule="exact"/>
        <w:rPr>
          <w:rFonts w:ascii="Arial" w:cs="Arial" w:eastAsia="Arial" w:hAnsi="Arial"/>
          <w:sz w:val="18"/>
          <w:szCs w:val="18"/>
          <w:b w:val="1"/>
          <w:bCs w:val="1"/>
          <w:color w:val="auto"/>
        </w:rPr>
      </w:pPr>
    </w:p>
    <w:p>
      <w:pPr>
        <w:ind w:left="-40" w:right="440" w:firstLine="436"/>
        <w:spacing w:after="0" w:line="308" w:lineRule="auto"/>
        <w:tabs>
          <w:tab w:leader="none" w:pos="725" w:val="left"/>
        </w:tabs>
        <w:numPr>
          <w:ilvl w:val="0"/>
          <w:numId w:val="3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 Agreement</w:t>
      </w:r>
      <w:r>
        <w:rPr>
          <w:rFonts w:ascii="Arial" w:cs="Arial" w:eastAsia="Arial" w:hAnsi="Arial"/>
          <w:sz w:val="17"/>
          <w:szCs w:val="17"/>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38" w:lineRule="exact"/>
        <w:rPr>
          <w:rFonts w:ascii="Arial" w:cs="Arial" w:eastAsia="Arial" w:hAnsi="Arial"/>
          <w:sz w:val="17"/>
          <w:szCs w:val="17"/>
          <w:b w:val="1"/>
          <w:bCs w:val="1"/>
          <w:color w:val="auto"/>
        </w:rPr>
      </w:pPr>
    </w:p>
    <w:p>
      <w:pPr>
        <w:ind w:left="-40" w:right="120" w:firstLine="436"/>
        <w:spacing w:after="0" w:line="311" w:lineRule="auto"/>
        <w:tabs>
          <w:tab w:leader="none" w:pos="705"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40" w:lineRule="exact"/>
        <w:rPr>
          <w:rFonts w:ascii="Arial" w:cs="Arial" w:eastAsia="Arial" w:hAnsi="Arial"/>
          <w:sz w:val="16"/>
          <w:szCs w:val="16"/>
          <w:b w:val="1"/>
          <w:bCs w:val="1"/>
          <w:color w:val="auto"/>
        </w:rPr>
      </w:pPr>
    </w:p>
    <w:p>
      <w:pPr>
        <w:ind w:left="-40" w:right="400" w:firstLine="436"/>
        <w:spacing w:after="0" w:line="277" w:lineRule="auto"/>
        <w:tabs>
          <w:tab w:leader="none" w:pos="685"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62" w:lineRule="exact"/>
        <w:rPr>
          <w:rFonts w:ascii="Arial" w:cs="Arial" w:eastAsia="Arial" w:hAnsi="Arial"/>
          <w:sz w:val="18"/>
          <w:szCs w:val="18"/>
          <w:b w:val="1"/>
          <w:bCs w:val="1"/>
          <w:color w:val="auto"/>
        </w:rPr>
      </w:pPr>
    </w:p>
    <w:p>
      <w:pPr>
        <w:ind w:left="-40" w:right="80" w:firstLine="436"/>
        <w:spacing w:after="0" w:line="296" w:lineRule="auto"/>
        <w:tabs>
          <w:tab w:leader="none" w:pos="765"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53" w:lineRule="exact"/>
        <w:rPr>
          <w:rFonts w:ascii="Arial" w:cs="Arial" w:eastAsia="Arial" w:hAnsi="Arial"/>
          <w:sz w:val="16"/>
          <w:szCs w:val="16"/>
          <w:b w:val="1"/>
          <w:bCs w:val="1"/>
          <w:color w:val="auto"/>
        </w:rPr>
      </w:pPr>
    </w:p>
    <w:p>
      <w:pPr>
        <w:ind w:left="-40" w:right="240" w:firstLine="436"/>
        <w:spacing w:after="0" w:line="263" w:lineRule="auto"/>
        <w:tabs>
          <w:tab w:leader="none" w:pos="745"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75" w:lineRule="exact"/>
        <w:rPr>
          <w:rFonts w:ascii="Arial" w:cs="Arial" w:eastAsia="Arial" w:hAnsi="Arial"/>
          <w:sz w:val="18"/>
          <w:szCs w:val="18"/>
          <w:b w:val="1"/>
          <w:bCs w:val="1"/>
          <w:color w:val="auto"/>
        </w:rPr>
      </w:pPr>
    </w:p>
    <w:p>
      <w:pPr>
        <w:ind w:left="-40" w:firstLine="436"/>
        <w:spacing w:after="0" w:line="288" w:lineRule="auto"/>
        <w:tabs>
          <w:tab w:leader="none" w:pos="825" w:val="left"/>
        </w:tabs>
        <w:numPr>
          <w:ilvl w:val="0"/>
          <w:numId w:val="3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80" w:top="274" w:right="499" w:bottom="1440" w:gutter="0" w:footer="0" w:header="0"/>
        </w:sectPr>
      </w:pPr>
    </w:p>
    <w:bookmarkStart w:id="458" w:name="page459"/>
    <w:bookmarkEnd w:id="45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58" w:lineRule="exact"/>
        <w:rPr>
          <w:sz w:val="20"/>
          <w:szCs w:val="20"/>
          <w:color w:val="auto"/>
        </w:rPr>
      </w:pPr>
    </w:p>
    <w:p>
      <w:pPr>
        <w:ind w:right="120" w:firstLine="436"/>
        <w:spacing w:after="0" w:line="263" w:lineRule="auto"/>
        <w:tabs>
          <w:tab w:leader="none" w:pos="785"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75" w:lineRule="exact"/>
        <w:rPr>
          <w:rFonts w:ascii="Arial" w:cs="Arial" w:eastAsia="Arial" w:hAnsi="Arial"/>
          <w:sz w:val="18"/>
          <w:szCs w:val="18"/>
          <w:b w:val="1"/>
          <w:bCs w:val="1"/>
          <w:color w:val="auto"/>
        </w:rPr>
      </w:pPr>
    </w:p>
    <w:p>
      <w:pPr>
        <w:ind w:left="780" w:hanging="344"/>
        <w:spacing w:after="0"/>
        <w:tabs>
          <w:tab w:leader="none" w:pos="78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Lexeo Therapeutics, Inc. 2023 Equity Incentive Plan, as amended from time to time.</w:t>
      </w:r>
    </w:p>
    <w:p>
      <w:pPr>
        <w:spacing w:after="0" w:line="117" w:lineRule="exact"/>
        <w:rPr>
          <w:rFonts w:ascii="Arial" w:cs="Arial" w:eastAsia="Arial" w:hAnsi="Arial"/>
          <w:sz w:val="18"/>
          <w:szCs w:val="18"/>
          <w:b w:val="1"/>
          <w:bCs w:val="1"/>
          <w:color w:val="auto"/>
        </w:rPr>
      </w:pPr>
    </w:p>
    <w:p>
      <w:pPr>
        <w:ind w:right="240" w:firstLine="436"/>
        <w:spacing w:after="0" w:line="277" w:lineRule="auto"/>
        <w:tabs>
          <w:tab w:leader="none" w:pos="765"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62" w:lineRule="exact"/>
        <w:rPr>
          <w:sz w:val="20"/>
          <w:szCs w:val="20"/>
          <w:color w:val="auto"/>
        </w:rPr>
      </w:pPr>
    </w:p>
    <w:p>
      <w:pPr>
        <w:ind w:right="100" w:firstLine="436"/>
        <w:spacing w:after="0" w:line="277" w:lineRule="auto"/>
        <w:tabs>
          <w:tab w:leader="none" w:pos="875"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62" w:lineRule="exact"/>
        <w:rPr>
          <w:rFonts w:ascii="Arial" w:cs="Arial" w:eastAsia="Arial" w:hAnsi="Arial"/>
          <w:sz w:val="18"/>
          <w:szCs w:val="18"/>
          <w:b w:val="1"/>
          <w:bCs w:val="1"/>
          <w:color w:val="auto"/>
        </w:rPr>
      </w:pPr>
    </w:p>
    <w:p>
      <w:pPr>
        <w:ind w:left="900" w:hanging="464"/>
        <w:spacing w:after="0"/>
        <w:tabs>
          <w:tab w:leader="none" w:pos="900"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Plan’s Available Reserve</w:t>
      </w:r>
      <w:r>
        <w:rPr>
          <w:rFonts w:ascii="Arial" w:cs="Arial" w:eastAsia="Arial" w:hAnsi="Arial"/>
          <w:sz w:val="16"/>
          <w:szCs w:val="16"/>
          <w:color w:val="auto"/>
        </w:rPr>
        <w:t>” means the number of shares available for the grant of new awards under the Prior Plan as of the Effective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b w:val="1"/>
          <w:bCs w:val="1"/>
          <w:color w:val="auto"/>
        </w:rPr>
      </w:pPr>
    </w:p>
    <w:p>
      <w:pPr>
        <w:ind w:left="840" w:hanging="404"/>
        <w:spacing w:after="0"/>
        <w:tabs>
          <w:tab w:leader="none" w:pos="840" w:val="left"/>
        </w:tabs>
        <w:numPr>
          <w:ilvl w:val="0"/>
          <w:numId w:val="3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means the Lexeo Therapeutics, Inc. 2021 Equity Incentive Plan, as amended from time to time.</w:t>
      </w:r>
    </w:p>
    <w:p>
      <w:pPr>
        <w:spacing w:after="0" w:line="128" w:lineRule="exact"/>
        <w:rPr>
          <w:rFonts w:ascii="Arial" w:cs="Arial" w:eastAsia="Arial" w:hAnsi="Arial"/>
          <w:sz w:val="17"/>
          <w:szCs w:val="17"/>
          <w:b w:val="1"/>
          <w:bCs w:val="1"/>
          <w:color w:val="auto"/>
        </w:rPr>
      </w:pPr>
    </w:p>
    <w:p>
      <w:pPr>
        <w:ind w:left="900" w:hanging="464"/>
        <w:spacing w:after="0"/>
        <w:tabs>
          <w:tab w:leader="none" w:pos="90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document containing the Plan information specified in Section 10(a) of the Securities Act.</w:t>
      </w:r>
    </w:p>
    <w:p>
      <w:pPr>
        <w:spacing w:after="0" w:line="117" w:lineRule="exact"/>
        <w:rPr>
          <w:rFonts w:ascii="Arial" w:cs="Arial" w:eastAsia="Arial" w:hAnsi="Arial"/>
          <w:sz w:val="18"/>
          <w:szCs w:val="18"/>
          <w:b w:val="1"/>
          <w:bCs w:val="1"/>
          <w:color w:val="auto"/>
        </w:rPr>
      </w:pPr>
    </w:p>
    <w:p>
      <w:pPr>
        <w:ind w:right="160" w:firstLine="436"/>
        <w:spacing w:after="0" w:line="308" w:lineRule="auto"/>
        <w:tabs>
          <w:tab w:leader="none" w:pos="845" w:val="left"/>
        </w:tabs>
        <w:numPr>
          <w:ilvl w:val="0"/>
          <w:numId w:val="3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RSA</w:t>
      </w:r>
      <w:r>
        <w:rPr>
          <w:rFonts w:ascii="Arial" w:cs="Arial" w:eastAsia="Arial" w:hAnsi="Arial"/>
          <w:sz w:val="17"/>
          <w:szCs w:val="17"/>
          <w:color w:val="auto"/>
        </w:rPr>
        <w:t>” means an Award of shares of Common Stock which is granted pursuant to the terms and conditions of Section 5(a).</w:t>
      </w:r>
    </w:p>
    <w:p>
      <w:pPr>
        <w:spacing w:after="0" w:line="38" w:lineRule="exact"/>
        <w:rPr>
          <w:rFonts w:ascii="Arial" w:cs="Arial" w:eastAsia="Arial" w:hAnsi="Arial"/>
          <w:sz w:val="17"/>
          <w:szCs w:val="17"/>
          <w:b w:val="1"/>
          <w:bCs w:val="1"/>
          <w:color w:val="auto"/>
        </w:rPr>
      </w:pPr>
    </w:p>
    <w:p>
      <w:pPr>
        <w:ind w:right="20" w:firstLine="436"/>
        <w:spacing w:after="0" w:line="301" w:lineRule="auto"/>
        <w:tabs>
          <w:tab w:leader="none" w:pos="785"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59" w:name="page460"/>
    <w:bookmarkEnd w:id="459"/>
    <w:p>
      <w:pPr>
        <w:ind w:left="880" w:hanging="444"/>
        <w:spacing w:after="0"/>
        <w:tabs>
          <w:tab w:leader="none" w:pos="880"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means shares subject to outstanding stock awards granted under the Prior Plan and that following the Effective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68" w:lineRule="exact"/>
        <w:rPr>
          <w:sz w:val="20"/>
          <w:szCs w:val="20"/>
          <w:color w:val="auto"/>
        </w:rPr>
      </w:pPr>
    </w:p>
    <w:p>
      <w:pPr>
        <w:ind w:right="60" w:firstLine="436"/>
        <w:spacing w:after="0" w:line="277" w:lineRule="auto"/>
        <w:tabs>
          <w:tab w:leader="none" w:pos="905"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 which is granted pursuant to the terms and conditions of Section 5(a).</w:t>
      </w:r>
    </w:p>
    <w:p>
      <w:pPr>
        <w:spacing w:after="0" w:line="62" w:lineRule="exact"/>
        <w:rPr>
          <w:rFonts w:ascii="Arial" w:cs="Arial" w:eastAsia="Arial" w:hAnsi="Arial"/>
          <w:sz w:val="18"/>
          <w:szCs w:val="18"/>
          <w:b w:val="1"/>
          <w:bCs w:val="1"/>
          <w:color w:val="auto"/>
        </w:rPr>
      </w:pPr>
    </w:p>
    <w:p>
      <w:pPr>
        <w:ind w:right="140" w:firstLine="436"/>
        <w:spacing w:after="0" w:line="259" w:lineRule="auto"/>
        <w:tabs>
          <w:tab w:leader="none" w:pos="755"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78" w:lineRule="exact"/>
        <w:rPr>
          <w:rFonts w:ascii="Arial" w:cs="Arial" w:eastAsia="Arial" w:hAnsi="Arial"/>
          <w:sz w:val="18"/>
          <w:szCs w:val="18"/>
          <w:b w:val="1"/>
          <w:bCs w:val="1"/>
          <w:color w:val="auto"/>
        </w:rPr>
      </w:pPr>
    </w:p>
    <w:p>
      <w:pPr>
        <w:ind w:left="780" w:hanging="344"/>
        <w:spacing w:after="0"/>
        <w:tabs>
          <w:tab w:leader="none" w:pos="780"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28" w:lineRule="exact"/>
        <w:rPr>
          <w:rFonts w:ascii="Arial" w:cs="Arial" w:eastAsia="Arial" w:hAnsi="Arial"/>
          <w:sz w:val="17"/>
          <w:szCs w:val="17"/>
          <w:b w:val="1"/>
          <w:bCs w:val="1"/>
          <w:color w:val="auto"/>
        </w:rPr>
      </w:pPr>
    </w:p>
    <w:p>
      <w:pPr>
        <w:ind w:left="900" w:hanging="464"/>
        <w:spacing w:after="0"/>
        <w:tabs>
          <w:tab w:leader="none" w:pos="90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7" w:lineRule="exact"/>
        <w:rPr>
          <w:rFonts w:ascii="Arial" w:cs="Arial" w:eastAsia="Arial" w:hAnsi="Arial"/>
          <w:sz w:val="18"/>
          <w:szCs w:val="18"/>
          <w:b w:val="1"/>
          <w:bCs w:val="1"/>
          <w:color w:val="auto"/>
        </w:rPr>
      </w:pPr>
    </w:p>
    <w:p>
      <w:pPr>
        <w:ind w:left="760" w:hanging="324"/>
        <w:spacing w:after="0"/>
        <w:tabs>
          <w:tab w:leader="none" w:pos="76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117" w:lineRule="exact"/>
        <w:rPr>
          <w:rFonts w:ascii="Arial" w:cs="Arial" w:eastAsia="Arial" w:hAnsi="Arial"/>
          <w:sz w:val="18"/>
          <w:szCs w:val="18"/>
          <w:b w:val="1"/>
          <w:bCs w:val="1"/>
          <w:color w:val="auto"/>
        </w:rPr>
      </w:pPr>
    </w:p>
    <w:p>
      <w:pPr>
        <w:ind w:right="360" w:firstLine="436"/>
        <w:spacing w:after="0" w:line="263" w:lineRule="auto"/>
        <w:tabs>
          <w:tab w:leader="none" w:pos="1055"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75" w:lineRule="exact"/>
        <w:rPr>
          <w:rFonts w:ascii="Arial" w:cs="Arial" w:eastAsia="Arial" w:hAnsi="Arial"/>
          <w:sz w:val="18"/>
          <w:szCs w:val="18"/>
          <w:b w:val="1"/>
          <w:bCs w:val="1"/>
          <w:color w:val="auto"/>
        </w:rPr>
      </w:pPr>
    </w:p>
    <w:p>
      <w:pPr>
        <w:ind w:left="900" w:hanging="464"/>
        <w:spacing w:after="0"/>
        <w:tabs>
          <w:tab w:leader="none" w:pos="90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880" w:hanging="444"/>
        <w:spacing w:after="0"/>
        <w:tabs>
          <w:tab w:leader="none" w:pos="880"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means the number of shares available for issuance under the Plan as set forth in Section 2(a).</w:t>
      </w:r>
    </w:p>
    <w:p>
      <w:pPr>
        <w:spacing w:after="0" w:line="128" w:lineRule="exact"/>
        <w:rPr>
          <w:rFonts w:ascii="Arial" w:cs="Arial" w:eastAsia="Arial" w:hAnsi="Arial"/>
          <w:sz w:val="17"/>
          <w:szCs w:val="17"/>
          <w:b w:val="1"/>
          <w:bCs w:val="1"/>
          <w:color w:val="auto"/>
        </w:rPr>
      </w:pPr>
    </w:p>
    <w:p>
      <w:pPr>
        <w:ind w:firstLine="436"/>
        <w:spacing w:after="0" w:line="277" w:lineRule="auto"/>
        <w:tabs>
          <w:tab w:leader="none" w:pos="905"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62" w:lineRule="exact"/>
        <w:rPr>
          <w:rFonts w:ascii="Arial" w:cs="Arial" w:eastAsia="Arial" w:hAnsi="Arial"/>
          <w:sz w:val="18"/>
          <w:szCs w:val="18"/>
          <w:b w:val="1"/>
          <w:bCs w:val="1"/>
          <w:color w:val="auto"/>
        </w:rPr>
      </w:pPr>
    </w:p>
    <w:p>
      <w:pPr>
        <w:ind w:right="60" w:firstLine="436"/>
        <w:spacing w:after="0" w:line="259" w:lineRule="auto"/>
        <w:tabs>
          <w:tab w:leader="none" w:pos="905"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60" w:name="page461"/>
    <w:bookmarkEnd w:id="460"/>
    <w:p>
      <w:pPr>
        <w:ind w:left="-40" w:right="220" w:firstLine="436"/>
        <w:spacing w:after="0" w:line="275" w:lineRule="auto"/>
        <w:tabs>
          <w:tab w:leader="none" w:pos="805"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68" w:lineRule="exact"/>
        <w:rPr>
          <w:rFonts w:ascii="Arial" w:cs="Arial" w:eastAsia="Arial" w:hAnsi="Arial"/>
          <w:sz w:val="17"/>
          <w:szCs w:val="17"/>
          <w:b w:val="1"/>
          <w:bCs w:val="1"/>
          <w:color w:val="auto"/>
        </w:rPr>
      </w:pPr>
    </w:p>
    <w:p>
      <w:pPr>
        <w:ind w:left="-40" w:right="60" w:firstLine="436"/>
        <w:spacing w:after="0" w:line="342" w:lineRule="auto"/>
        <w:tabs>
          <w:tab w:leader="none" w:pos="775" w:val="left"/>
        </w:tabs>
        <w:numPr>
          <w:ilvl w:val="0"/>
          <w:numId w:val="3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any Affiliate.</w:t>
      </w:r>
    </w:p>
    <w:p>
      <w:pPr>
        <w:spacing w:after="0" w:line="15" w:lineRule="exact"/>
        <w:rPr>
          <w:rFonts w:ascii="Arial" w:cs="Arial" w:eastAsia="Arial" w:hAnsi="Arial"/>
          <w:sz w:val="16"/>
          <w:szCs w:val="16"/>
          <w:b w:val="1"/>
          <w:bCs w:val="1"/>
          <w:color w:val="auto"/>
        </w:rPr>
      </w:pPr>
    </w:p>
    <w:p>
      <w:pPr>
        <w:ind w:left="-40" w:right="140" w:firstLine="436"/>
        <w:spacing w:after="0" w:line="308" w:lineRule="auto"/>
        <w:tabs>
          <w:tab w:leader="none" w:pos="745"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38" w:lineRule="exact"/>
        <w:rPr>
          <w:rFonts w:ascii="Arial" w:cs="Arial" w:eastAsia="Arial" w:hAnsi="Arial"/>
          <w:sz w:val="17"/>
          <w:szCs w:val="17"/>
          <w:b w:val="1"/>
          <w:bCs w:val="1"/>
          <w:color w:val="auto"/>
        </w:rPr>
      </w:pPr>
    </w:p>
    <w:p>
      <w:pPr>
        <w:ind w:left="-40" w:right="340" w:firstLine="436"/>
        <w:spacing w:after="0" w:line="277" w:lineRule="auto"/>
        <w:tabs>
          <w:tab w:leader="none" w:pos="865"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62" w:lineRule="exact"/>
        <w:rPr>
          <w:rFonts w:ascii="Arial" w:cs="Arial" w:eastAsia="Arial" w:hAnsi="Arial"/>
          <w:sz w:val="18"/>
          <w:szCs w:val="18"/>
          <w:b w:val="1"/>
          <w:bCs w:val="1"/>
          <w:color w:val="auto"/>
        </w:rPr>
      </w:pPr>
    </w:p>
    <w:p>
      <w:pPr>
        <w:ind w:left="-40" w:firstLine="436"/>
        <w:spacing w:after="0" w:line="277" w:lineRule="auto"/>
        <w:tabs>
          <w:tab w:leader="none" w:pos="835"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80" w:top="274" w:right="479" w:bottom="1440" w:gutter="0" w:footer="0" w:header="0"/>
        </w:sectPr>
      </w:pPr>
    </w:p>
    <w:bookmarkStart w:id="461" w:name="page462"/>
    <w:bookmarkEnd w:id="4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Lexeo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273431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55"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color w:val="auto"/>
        </w:rPr>
        <w:t>[Incentive Stock Option] OR [Nonstatutory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7"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Subject to the Optionholder’s Continuous Service through each applicable vesting date, the Option will vest as follows:</w:t>
      </w:r>
    </w:p>
    <w:p>
      <w:pPr>
        <w:spacing w:after="0" w:line="10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1" w:lineRule="exact"/>
        <w:rPr>
          <w:sz w:val="20"/>
          <w:szCs w:val="20"/>
          <w:color w:val="auto"/>
        </w:rPr>
      </w:pPr>
    </w:p>
    <w:p>
      <w:pPr>
        <w:ind w:left="960" w:right="80" w:hanging="424"/>
        <w:spacing w:after="0" w:line="259"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2"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[If the Option is an Incentive Stock Option, it (plus other outstanding Incentive Stock Options granted to you)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89"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9" w:lineRule="exact"/>
        <w:rPr>
          <w:rFonts w:ascii="Arial" w:cs="Arial" w:eastAsia="Arial" w:hAnsi="Arial"/>
          <w:sz w:val="18"/>
          <w:szCs w:val="18"/>
          <w:color w:val="auto"/>
        </w:rPr>
      </w:pPr>
    </w:p>
    <w:p>
      <w:pPr>
        <w:jc w:val="both"/>
        <w:ind w:left="960" w:right="80" w:hanging="424"/>
        <w:spacing w:after="0" w:line="263"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ectPr>
          <w:pgSz w:w="11900" w:h="16838" w:orient="portrait"/>
          <w:cols w:equalWidth="0" w:num="1">
            <w:col w:w="11000"/>
          </w:cols>
          <w:pgMar w:left="440" w:top="270" w:right="459" w:bottom="1440" w:gutter="0" w:footer="0" w:header="0"/>
        </w:sectPr>
      </w:pPr>
    </w:p>
    <w:bookmarkStart w:id="462" w:name="page463"/>
    <w:bookmarkEnd w:id="462"/>
    <w:p>
      <w:pPr>
        <w:ind w:left="960" w:right="100" w:hanging="424"/>
        <w:spacing w:after="0" w:line="301" w:lineRule="auto"/>
        <w:tabs>
          <w:tab w:leader="none" w:pos="960" w:val="left"/>
        </w:tabs>
        <w:numPr>
          <w:ilvl w:val="0"/>
          <w:numId w:val="3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62" w:lineRule="exact"/>
        <w:rPr>
          <w:rFonts w:ascii="Arial" w:cs="Arial" w:eastAsia="Arial" w:hAnsi="Arial"/>
          <w:sz w:val="16"/>
          <w:szCs w:val="16"/>
          <w:color w:val="auto"/>
        </w:rPr>
      </w:pPr>
    </w:p>
    <w:p>
      <w:pPr>
        <w:jc w:val="both"/>
        <w:ind w:left="960" w:right="280" w:hanging="424"/>
        <w:spacing w:after="0" w:line="286" w:lineRule="auto"/>
        <w:tabs>
          <w:tab w:leader="none" w:pos="96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462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Signature</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Stock Option Agreement, 2023 Equity Incentive Plan, Notice of Exercise</w:t>
      </w:r>
    </w:p>
    <w:p>
      <w:pPr>
        <w:sectPr>
          <w:pgSz w:w="11900" w:h="16838" w:orient="portrait"/>
          <w:cols w:equalWidth="0" w:num="1">
            <w:col w:w="11020"/>
          </w:cols>
          <w:pgMar w:left="440" w:top="274" w:right="439" w:bottom="1440" w:gutter="0" w:footer="0" w:header="0"/>
        </w:sectPr>
      </w:pPr>
    </w:p>
    <w:bookmarkStart w:id="463" w:name="page464"/>
    <w:bookmarkEnd w:id="4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464" w:name="page465"/>
    <w:bookmarkEnd w:id="4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As reflected by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Lexeo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2023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a number of shares of Common Stock at the exercise price indicated in your Grant Notice (the</w:t>
      </w:r>
    </w:p>
    <w:p>
      <w:pPr>
        <w:jc w:val="both"/>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113" w:lineRule="exact"/>
        <w:rPr>
          <w:sz w:val="20"/>
          <w:szCs w:val="20"/>
          <w:color w:val="auto"/>
        </w:rPr>
      </w:pPr>
    </w:p>
    <w:p>
      <w:pPr>
        <w:ind w:left="620" w:hanging="184"/>
        <w:spacing w:after="0"/>
        <w:tabs>
          <w:tab w:leader="none" w:pos="62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including but not limited to the provisions in:</w:t>
      </w:r>
    </w:p>
    <w:p>
      <w:pPr>
        <w:spacing w:after="0" w:line="121" w:lineRule="exact"/>
        <w:rPr>
          <w:rFonts w:ascii="Arial" w:cs="Arial" w:eastAsia="Arial" w:hAnsi="Arial"/>
          <w:sz w:val="18"/>
          <w:szCs w:val="18"/>
          <w:b w:val="1"/>
          <w:bCs w:val="1"/>
          <w:color w:val="auto"/>
        </w:rPr>
      </w:pPr>
    </w:p>
    <w:p>
      <w:pPr>
        <w:ind w:left="1160" w:hanging="173"/>
        <w:spacing w:after="0"/>
        <w:tabs>
          <w:tab w:leader="none" w:pos="1160" w:val="left"/>
        </w:tabs>
        <w:numPr>
          <w:ilvl w:val="1"/>
          <w:numId w:val="371"/>
        </w:numPr>
        <w:rPr>
          <w:rFonts w:ascii="Arial" w:cs="Arial" w:eastAsia="Arial" w:hAnsi="Arial"/>
          <w:sz w:val="17"/>
          <w:szCs w:val="17"/>
          <w:b w:val="1"/>
          <w:bCs w:val="1"/>
          <w:color w:val="auto"/>
        </w:rPr>
      </w:pPr>
      <w:r>
        <w:rPr>
          <w:rFonts w:ascii="Arial" w:cs="Arial" w:eastAsia="Arial" w:hAnsi="Arial"/>
          <w:sz w:val="17"/>
          <w:szCs w:val="17"/>
          <w:color w:val="auto"/>
        </w:rPr>
        <w:t>Section 6 regarding the impact of a Capitalization Adjustment, dissolution, liquidation, or Corporate Transaction on your Option;</w:t>
      </w:r>
    </w:p>
    <w:p>
      <w:pPr>
        <w:spacing w:after="0" w:line="128" w:lineRule="exact"/>
        <w:rPr>
          <w:rFonts w:ascii="Arial" w:cs="Arial" w:eastAsia="Arial" w:hAnsi="Arial"/>
          <w:sz w:val="17"/>
          <w:szCs w:val="17"/>
          <w:b w:val="1"/>
          <w:bCs w:val="1"/>
          <w:color w:val="auto"/>
        </w:rPr>
      </w:pPr>
    </w:p>
    <w:p>
      <w:pPr>
        <w:ind w:left="1180" w:hanging="193"/>
        <w:spacing w:after="0"/>
        <w:tabs>
          <w:tab w:leader="none" w:pos="1180" w:val="left"/>
        </w:tabs>
        <w:numPr>
          <w:ilvl w:val="1"/>
          <w:numId w:val="371"/>
        </w:numPr>
        <w:rPr>
          <w:rFonts w:ascii="Arial" w:cs="Arial" w:eastAsia="Arial" w:hAnsi="Arial"/>
          <w:sz w:val="16"/>
          <w:szCs w:val="16"/>
          <w:b w:val="1"/>
          <w:bCs w:val="1"/>
          <w:color w:val="auto"/>
        </w:rPr>
      </w:pPr>
      <w:r>
        <w:rPr>
          <w:rFonts w:ascii="Arial" w:cs="Arial" w:eastAsia="Arial" w:hAnsi="Arial"/>
          <w:sz w:val="16"/>
          <w:szCs w:val="16"/>
          <w:color w:val="auto"/>
        </w:rPr>
        <w:t>Section 9(e) regarding the Company’s retained rights to terminate your Continuous Service notwithstanding the grant of the Option; and</w:t>
      </w:r>
    </w:p>
    <w:p>
      <w:pPr>
        <w:spacing w:after="0" w:line="140" w:lineRule="exact"/>
        <w:rPr>
          <w:rFonts w:ascii="Arial" w:cs="Arial" w:eastAsia="Arial" w:hAnsi="Arial"/>
          <w:sz w:val="16"/>
          <w:szCs w:val="16"/>
          <w:b w:val="1"/>
          <w:bCs w:val="1"/>
          <w:color w:val="auto"/>
        </w:rPr>
      </w:pPr>
    </w:p>
    <w:p>
      <w:pPr>
        <w:ind w:left="1160" w:hanging="173"/>
        <w:spacing w:after="0"/>
        <w:tabs>
          <w:tab w:leader="none" w:pos="1160"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Section 8(c) regarding the tax consequences of your Option.</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 w:lineRule="exact"/>
        <w:rPr>
          <w:sz w:val="20"/>
          <w:szCs w:val="20"/>
          <w:color w:val="auto"/>
        </w:rPr>
      </w:pPr>
    </w:p>
    <w:p>
      <w:pPr>
        <w:ind w:right="60" w:firstLine="436"/>
        <w:spacing w:after="0" w:line="282" w:lineRule="auto"/>
        <w:tabs>
          <w:tab w:leader="none" w:pos="62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will vest as provided in your Grant Notice, subject to the provisions contained herein and the terms of the Plan.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will cease upon the termination of your Continuous Service.</w:t>
      </w:r>
    </w:p>
    <w:p>
      <w:pPr>
        <w:spacing w:after="0" w:line="57" w:lineRule="exact"/>
        <w:rPr>
          <w:rFonts w:ascii="Arial" w:cs="Arial" w:eastAsia="Arial" w:hAnsi="Arial"/>
          <w:sz w:val="18"/>
          <w:szCs w:val="18"/>
          <w:b w:val="1"/>
          <w:bCs w:val="1"/>
          <w:color w:val="auto"/>
        </w:rPr>
      </w:pPr>
    </w:p>
    <w:p>
      <w:pPr>
        <w:ind w:left="620" w:hanging="184"/>
        <w:spacing w:after="0"/>
        <w:tabs>
          <w:tab w:leader="none" w:pos="6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87"/>
        <w:spacing w:after="0" w:line="279" w:lineRule="auto"/>
        <w:tabs>
          <w:tab w:leader="none" w:pos="1171" w:val="left"/>
        </w:tabs>
        <w:numPr>
          <w:ilvl w:val="1"/>
          <w:numId w:val="372"/>
        </w:numPr>
        <w:rPr>
          <w:rFonts w:ascii="Arial" w:cs="Arial" w:eastAsia="Arial" w:hAnsi="Arial"/>
          <w:sz w:val="17"/>
          <w:szCs w:val="17"/>
          <w:b w:val="1"/>
          <w:bCs w:val="1"/>
          <w:color w:val="auto"/>
        </w:rPr>
      </w:pPr>
      <w:r>
        <w:rPr>
          <w:rFonts w:ascii="Arial" w:cs="Arial" w:eastAsia="Arial" w:hAnsi="Arial"/>
          <w:sz w:val="17"/>
          <w:szCs w:val="17"/>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63" w:lineRule="exact"/>
        <w:rPr>
          <w:rFonts w:ascii="Arial" w:cs="Arial" w:eastAsia="Arial" w:hAnsi="Arial"/>
          <w:sz w:val="17"/>
          <w:szCs w:val="17"/>
          <w:b w:val="1"/>
          <w:bCs w:val="1"/>
          <w:color w:val="auto"/>
        </w:rPr>
      </w:pPr>
    </w:p>
    <w:p>
      <w:pPr>
        <w:ind w:left="1180" w:hanging="193"/>
        <w:spacing w:after="0"/>
        <w:tabs>
          <w:tab w:leader="none" w:pos="118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ectPr>
          <w:pgSz w:w="11900" w:h="16838" w:orient="portrait"/>
          <w:cols w:equalWidth="0" w:num="1">
            <w:col w:w="10980"/>
          </w:cols>
          <w:pgMar w:left="440" w:top="270" w:right="479" w:bottom="1440" w:gutter="0" w:footer="0" w:header="0"/>
        </w:sectPr>
      </w:pPr>
    </w:p>
    <w:bookmarkStart w:id="465" w:name="page466"/>
    <w:bookmarkEnd w:id="465"/>
    <w:p>
      <w:pPr>
        <w:ind w:left="1620" w:hanging="192"/>
        <w:spacing w:after="0"/>
        <w:tabs>
          <w:tab w:leader="none" w:pos="1620" w:val="left"/>
        </w:tabs>
        <w:numPr>
          <w:ilvl w:val="2"/>
          <w:numId w:val="3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check, bank draft or money order;</w:t>
      </w:r>
    </w:p>
    <w:p>
      <w:pPr>
        <w:spacing w:after="0" w:line="117" w:lineRule="exact"/>
        <w:rPr>
          <w:rFonts w:ascii="Arial" w:cs="Arial" w:eastAsia="Arial" w:hAnsi="Arial"/>
          <w:sz w:val="18"/>
          <w:szCs w:val="18"/>
          <w:b w:val="1"/>
          <w:bCs w:val="1"/>
          <w:color w:val="auto"/>
        </w:rPr>
      </w:pPr>
    </w:p>
    <w:p>
      <w:pPr>
        <w:ind w:right="700" w:firstLine="1428"/>
        <w:spacing w:after="0" w:line="277" w:lineRule="auto"/>
        <w:tabs>
          <w:tab w:leader="none" w:pos="1627" w:val="left"/>
        </w:tabs>
        <w:numPr>
          <w:ilvl w:val="2"/>
          <w:numId w:val="373"/>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as further described in Section 4(c)(ii) of the Plan if at the time of exercise the Common Stock is publicly traded;</w:t>
      </w:r>
    </w:p>
    <w:p>
      <w:pPr>
        <w:spacing w:after="0" w:line="62" w:lineRule="exact"/>
        <w:rPr>
          <w:rFonts w:ascii="Arial" w:cs="Arial" w:eastAsia="Arial" w:hAnsi="Arial"/>
          <w:sz w:val="18"/>
          <w:szCs w:val="18"/>
          <w:b w:val="1"/>
          <w:bCs w:val="1"/>
          <w:color w:val="auto"/>
        </w:rPr>
      </w:pPr>
    </w:p>
    <w:p>
      <w:pPr>
        <w:ind w:right="80" w:firstLine="1428"/>
        <w:spacing w:after="0" w:line="277" w:lineRule="auto"/>
        <w:tabs>
          <w:tab w:leader="none" w:pos="1627" w:val="left"/>
        </w:tabs>
        <w:numPr>
          <w:ilvl w:val="2"/>
          <w:numId w:val="373"/>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by delivery of previously owned shares of Common Stock as further described in Section 4(c)(iii) of the Plan; or</w:t>
      </w:r>
    </w:p>
    <w:p>
      <w:pPr>
        <w:spacing w:after="0" w:line="62" w:lineRule="exact"/>
        <w:rPr>
          <w:rFonts w:ascii="Arial" w:cs="Arial" w:eastAsia="Arial" w:hAnsi="Arial"/>
          <w:sz w:val="18"/>
          <w:szCs w:val="18"/>
          <w:b w:val="1"/>
          <w:bCs w:val="1"/>
          <w:color w:val="auto"/>
        </w:rPr>
      </w:pPr>
    </w:p>
    <w:p>
      <w:pPr>
        <w:ind w:right="340" w:firstLine="1428"/>
        <w:spacing w:after="0" w:line="277" w:lineRule="auto"/>
        <w:tabs>
          <w:tab w:leader="none" w:pos="1627" w:val="left"/>
        </w:tabs>
        <w:numPr>
          <w:ilvl w:val="2"/>
          <w:numId w:val="373"/>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if the Option is a Nonstatutory Stock Option, by a “net exercise” arrangement as further described in Section 4(c)(iv) of the Plan.</w:t>
      </w:r>
    </w:p>
    <w:p>
      <w:pPr>
        <w:spacing w:after="0" w:line="62" w:lineRule="exact"/>
        <w:rPr>
          <w:rFonts w:ascii="Arial" w:cs="Arial" w:eastAsia="Arial" w:hAnsi="Arial"/>
          <w:sz w:val="18"/>
          <w:szCs w:val="18"/>
          <w:b w:val="1"/>
          <w:bCs w:val="1"/>
          <w:color w:val="auto"/>
        </w:rPr>
      </w:pPr>
    </w:p>
    <w:p>
      <w:pPr>
        <w:ind w:firstLine="987"/>
        <w:spacing w:after="0" w:line="269" w:lineRule="auto"/>
        <w:tabs>
          <w:tab w:leader="none" w:pos="1161" w:val="left"/>
        </w:tabs>
        <w:numPr>
          <w:ilvl w:val="1"/>
          <w:numId w:val="374"/>
        </w:numPr>
        <w:rPr>
          <w:rFonts w:ascii="Arial" w:cs="Arial" w:eastAsia="Arial" w:hAnsi="Arial"/>
          <w:sz w:val="17"/>
          <w:szCs w:val="17"/>
          <w:b w:val="1"/>
          <w:bCs w:val="1"/>
          <w:color w:val="auto"/>
        </w:rPr>
      </w:pPr>
      <w:r>
        <w:rPr>
          <w:rFonts w:ascii="Arial" w:cs="Arial" w:eastAsia="Arial" w:hAnsi="Arial"/>
          <w:sz w:val="17"/>
          <w:szCs w:val="17"/>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spacing w:after="0" w:line="69" w:lineRule="exact"/>
        <w:rPr>
          <w:rFonts w:ascii="Arial" w:cs="Arial" w:eastAsia="Arial" w:hAnsi="Arial"/>
          <w:sz w:val="17"/>
          <w:szCs w:val="17"/>
          <w:b w:val="1"/>
          <w:bCs w:val="1"/>
          <w:color w:val="auto"/>
        </w:rPr>
      </w:pPr>
    </w:p>
    <w:p>
      <w:pPr>
        <w:ind w:right="140" w:firstLine="436"/>
        <w:spacing w:after="0" w:line="282" w:lineRule="auto"/>
        <w:tabs>
          <w:tab w:leader="none" w:pos="62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of its term or after its term expires. The term of your Option commences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and expires upon the earliest of the following:</w:t>
      </w:r>
    </w:p>
    <w:p>
      <w:pPr>
        <w:spacing w:after="0" w:line="57" w:lineRule="exact"/>
        <w:rPr>
          <w:rFonts w:ascii="Arial" w:cs="Arial" w:eastAsia="Arial" w:hAnsi="Arial"/>
          <w:sz w:val="18"/>
          <w:szCs w:val="18"/>
          <w:b w:val="1"/>
          <w:bCs w:val="1"/>
          <w:color w:val="auto"/>
        </w:rPr>
      </w:pPr>
    </w:p>
    <w:p>
      <w:pPr>
        <w:ind w:left="1160" w:hanging="173"/>
        <w:spacing w:after="0"/>
        <w:tabs>
          <w:tab w:leader="none" w:pos="1160"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left="1180" w:hanging="193"/>
        <w:spacing w:after="0"/>
        <w:tabs>
          <w:tab w:leader="none" w:pos="1180"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three months after the termination of your Continuous Service for any reason other than Cause, Disability or death;</w:t>
      </w:r>
    </w:p>
    <w:p>
      <w:pPr>
        <w:spacing w:after="0" w:line="117" w:lineRule="exact"/>
        <w:rPr>
          <w:rFonts w:ascii="Arial" w:cs="Arial" w:eastAsia="Arial" w:hAnsi="Arial"/>
          <w:sz w:val="18"/>
          <w:szCs w:val="18"/>
          <w:b w:val="1"/>
          <w:bCs w:val="1"/>
          <w:color w:val="auto"/>
        </w:rPr>
      </w:pPr>
    </w:p>
    <w:p>
      <w:pPr>
        <w:ind w:left="1160" w:hanging="173"/>
        <w:spacing w:after="0"/>
        <w:tabs>
          <w:tab w:leader="none" w:pos="1160"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 due to your Disability;</w:t>
      </w:r>
    </w:p>
    <w:p>
      <w:pPr>
        <w:spacing w:after="0" w:line="117" w:lineRule="exact"/>
        <w:rPr>
          <w:rFonts w:ascii="Arial" w:cs="Arial" w:eastAsia="Arial" w:hAnsi="Arial"/>
          <w:sz w:val="18"/>
          <w:szCs w:val="18"/>
          <w:b w:val="1"/>
          <w:bCs w:val="1"/>
          <w:color w:val="auto"/>
        </w:rPr>
      </w:pPr>
    </w:p>
    <w:p>
      <w:pPr>
        <w:ind w:left="1180" w:hanging="193"/>
        <w:spacing w:after="0"/>
        <w:tabs>
          <w:tab w:leader="none" w:pos="1180"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during your Continuous Service;</w:t>
      </w:r>
    </w:p>
    <w:p>
      <w:pPr>
        <w:spacing w:after="0" w:line="117" w:lineRule="exact"/>
        <w:rPr>
          <w:rFonts w:ascii="Arial" w:cs="Arial" w:eastAsia="Arial" w:hAnsi="Arial"/>
          <w:sz w:val="18"/>
          <w:szCs w:val="18"/>
          <w:b w:val="1"/>
          <w:bCs w:val="1"/>
          <w:color w:val="auto"/>
        </w:rPr>
      </w:pPr>
    </w:p>
    <w:p>
      <w:pPr>
        <w:ind w:left="1160" w:hanging="173"/>
        <w:spacing w:after="0"/>
        <w:tabs>
          <w:tab w:leader="none" w:pos="1160" w:val="left"/>
        </w:tabs>
        <w:numPr>
          <w:ilvl w:val="1"/>
          <w:numId w:val="375"/>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 Corporate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ectPr>
          <w:pgSz w:w="11900" w:h="16838" w:orient="portrait"/>
          <w:cols w:equalWidth="0" w:num="1">
            <w:col w:w="11000"/>
          </w:cols>
          <w:pgMar w:left="440" w:top="274" w:right="459" w:bottom="1440" w:gutter="0" w:footer="0" w:header="0"/>
        </w:sectPr>
      </w:pPr>
    </w:p>
    <w:bookmarkStart w:id="466" w:name="page467"/>
    <w:bookmarkEnd w:id="466"/>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Arial" w:cs="Arial" w:eastAsia="Arial" w:hAnsi="Arial"/>
          <w:sz w:val="18"/>
          <w:szCs w:val="18"/>
          <w:color w:val="auto"/>
        </w:rPr>
        <w:t>the Expiration Date indicated in your Grant Notice; 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the day before the 10th anniversary of the Date of Grant.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Notwithstanding the foregoing, if you die during the period provided in Section 4(b) or 4(c)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76" w:lineRule="exact"/>
        <w:rPr>
          <w:sz w:val="20"/>
          <w:szCs w:val="20"/>
          <w:color w:val="auto"/>
        </w:rPr>
      </w:pPr>
    </w:p>
    <w:p>
      <w:pPr>
        <w:ind w:right="140" w:firstLine="436"/>
        <w:spacing w:after="0" w:line="270" w:lineRule="auto"/>
        <w:tabs>
          <w:tab w:leader="none" w:pos="620"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further provided in Section 8 of the Plan: (a) you may not exercise your Option unless the applicable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68" w:lineRule="exact"/>
        <w:rPr>
          <w:rFonts w:ascii="Arial" w:cs="Arial" w:eastAsia="Arial" w:hAnsi="Arial"/>
          <w:sz w:val="17"/>
          <w:szCs w:val="17"/>
          <w:b w:val="1"/>
          <w:bCs w:val="1"/>
          <w:color w:val="auto"/>
        </w:rPr>
      </w:pPr>
    </w:p>
    <w:p>
      <w:pPr>
        <w:ind w:firstLine="436"/>
        <w:spacing w:after="0" w:line="289" w:lineRule="auto"/>
        <w:tabs>
          <w:tab w:leader="none" w:pos="620"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NCENTIVE</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ISPOSITION</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EQUIREMENT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Option is an Incentive Stock Option, you must notify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49" w:lineRule="exact"/>
        <w:rPr>
          <w:rFonts w:ascii="Arial" w:cs="Arial" w:eastAsia="Arial" w:hAnsi="Arial"/>
          <w:sz w:val="17"/>
          <w:szCs w:val="17"/>
          <w:b w:val="1"/>
          <w:bCs w:val="1"/>
          <w:color w:val="auto"/>
        </w:rPr>
      </w:pPr>
    </w:p>
    <w:p>
      <w:pPr>
        <w:ind w:right="680" w:firstLine="436"/>
        <w:spacing w:after="0" w:line="282" w:lineRule="auto"/>
        <w:tabs>
          <w:tab w:leader="none" w:pos="62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Section 4(e) of the Plan, your Option is not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of descent and distribution, and is exercisable during your life only by you.</w:t>
      </w:r>
    </w:p>
    <w:p>
      <w:pPr>
        <w:sectPr>
          <w:pgSz w:w="11900" w:h="16838" w:orient="portrait"/>
          <w:cols w:equalWidth="0" w:num="1">
            <w:col w:w="11000"/>
          </w:cols>
          <w:pgMar w:left="440" w:top="270" w:right="459" w:bottom="1440" w:gutter="0" w:footer="0" w:header="0"/>
        </w:sectPr>
      </w:pPr>
    </w:p>
    <w:bookmarkStart w:id="467" w:name="page468"/>
    <w:bookmarkEnd w:id="467"/>
    <w:p>
      <w:pPr>
        <w:ind w:left="-436" w:right="20" w:firstLine="436"/>
        <w:spacing w:after="0" w:line="266" w:lineRule="auto"/>
        <w:tabs>
          <w:tab w:leader="none" w:pos="184"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the terms of any agreement governing a Corporate Transaction involving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67" w:lineRule="exact"/>
        <w:rPr>
          <w:rFonts w:ascii="Arial" w:cs="Arial" w:eastAsia="Arial" w:hAnsi="Arial"/>
          <w:sz w:val="18"/>
          <w:szCs w:val="18"/>
          <w:b w:val="1"/>
          <w:bCs w:val="1"/>
          <w:color w:val="auto"/>
        </w:rPr>
      </w:pPr>
    </w:p>
    <w:p>
      <w:pPr>
        <w:ind w:left="-436" w:firstLine="436"/>
        <w:spacing w:after="0" w:line="291" w:lineRule="auto"/>
        <w:tabs>
          <w:tab w:leader="none" w:pos="184" w:val="left"/>
        </w:tabs>
        <w:numPr>
          <w:ilvl w:val="0"/>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color w:val="auto"/>
        </w:rPr>
        <w:t>. 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51" w:lineRule="exact"/>
        <w:rPr>
          <w:rFonts w:ascii="Arial" w:cs="Arial" w:eastAsia="Arial" w:hAnsi="Arial"/>
          <w:sz w:val="16"/>
          <w:szCs w:val="16"/>
          <w:b w:val="1"/>
          <w:bCs w:val="1"/>
          <w:color w:val="auto"/>
        </w:rPr>
      </w:pPr>
    </w:p>
    <w:p>
      <w:pPr>
        <w:jc w:val="both"/>
        <w:ind w:left="-436" w:right="40" w:firstLine="436"/>
        <w:spacing w:after="0" w:line="281" w:lineRule="auto"/>
        <w:tabs>
          <w:tab w:leader="none" w:pos="274"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color w:val="auto"/>
        </w:rPr>
        <w:t>. If any part of this Option Agreement or the Plan is declared by any court or governmental authority to be unlawful or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56" w:lineRule="exact"/>
        <w:rPr>
          <w:rFonts w:ascii="Arial" w:cs="Arial" w:eastAsia="Arial" w:hAnsi="Arial"/>
          <w:sz w:val="17"/>
          <w:szCs w:val="17"/>
          <w:b w:val="1"/>
          <w:bCs w:val="1"/>
          <w:color w:val="auto"/>
        </w:rPr>
      </w:pPr>
    </w:p>
    <w:p>
      <w:pPr>
        <w:ind w:left="-436" w:right="80" w:firstLine="436"/>
        <w:spacing w:after="0" w:line="347" w:lineRule="auto"/>
        <w:tabs>
          <w:tab w:leader="none" w:pos="264" w:val="left"/>
        </w:tabs>
        <w:numPr>
          <w:ilvl w:val="0"/>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7" w:lineRule="exact"/>
        <w:rPr>
          <w:rFonts w:ascii="Arial" w:cs="Arial" w:eastAsia="Arial" w:hAnsi="Arial"/>
          <w:sz w:val="16"/>
          <w:szCs w:val="16"/>
          <w:b w:val="1"/>
          <w:bCs w:val="1"/>
          <w:color w:val="auto"/>
        </w:rPr>
      </w:pPr>
    </w:p>
    <w:p>
      <w:pPr>
        <w:ind w:left="-436" w:right="200" w:firstLine="436"/>
        <w:spacing w:after="0" w:line="282" w:lineRule="auto"/>
        <w:tabs>
          <w:tab w:leader="none" w:pos="274"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Option,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165" w:lineRule="exact"/>
        <w:rPr>
          <w:rFonts w:ascii="Arial" w:cs="Arial" w:eastAsia="Arial" w:hAnsi="Arial"/>
          <w:sz w:val="18"/>
          <w:szCs w:val="18"/>
          <w:b w:val="1"/>
          <w:bCs w:val="1"/>
          <w:color w:val="auto"/>
        </w:rPr>
      </w:pPr>
    </w:p>
    <w:p>
      <w:pPr>
        <w:ind w:left="264" w:hanging="264"/>
        <w:spacing w:after="0"/>
        <w:tabs>
          <w:tab w:leader="none" w:pos="26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 * *</w:t>
      </w:r>
    </w:p>
    <w:p>
      <w:pPr>
        <w:sectPr>
          <w:pgSz w:w="11900" w:h="16838" w:orient="portrait"/>
          <w:cols w:equalWidth="0" w:num="1">
            <w:col w:w="10564"/>
          </w:cols>
          <w:pgMar w:left="876" w:top="270" w:right="459" w:bottom="1440" w:gutter="0" w:footer="0" w:header="0"/>
        </w:sectPr>
      </w:pPr>
    </w:p>
    <w:bookmarkStart w:id="468" w:name="page469"/>
    <w:bookmarkEnd w:id="4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70" w:right="1440"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Lexeo Therapeutics, Inc.</w:t>
      </w:r>
    </w:p>
    <w:p>
      <w:pPr>
        <w:spacing w:after="0" w:line="193" w:lineRule="auto"/>
        <w:rPr>
          <w:sz w:val="20"/>
          <w:szCs w:val="20"/>
          <w:color w:val="auto"/>
        </w:rPr>
      </w:pPr>
      <w:r>
        <w:rPr>
          <w:rFonts w:ascii="Arial" w:cs="Arial" w:eastAsia="Arial" w:hAnsi="Arial"/>
          <w:sz w:val="18"/>
          <w:szCs w:val="18"/>
          <w:color w:val="auto"/>
        </w:rPr>
        <w:t>345 Park Avenue South, 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09"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Date of Exercise: _______________</w:t>
      </w:r>
    </w:p>
    <w:p>
      <w:pPr>
        <w:spacing w:after="0" w:line="24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This constitutes notice to Lexeo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by exercising my Option for the price set forth below. Capitalized terms not explicitly defined in this Notice of Exercise but defined in the Grant Notice, Option Agreement or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meanings set forth in the Grant Notice, Option Agreement or Plan, as applicable. Use of certain payment methods is subject to Company and/or Committee consent and certain additional requirements set forth in the Option Agreement and the Plan.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Type of option (check one):</w:t>
            </w:r>
          </w:p>
        </w:tc>
        <w:tc>
          <w:tcPr>
            <w:tcW w:w="1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250"/>
              <w:spacing w:after="0" w:line="207" w:lineRule="exact"/>
              <w:rPr>
                <w:sz w:val="20"/>
                <w:szCs w:val="20"/>
                <w:color w:val="auto"/>
              </w:rPr>
            </w:pPr>
            <w:r>
              <w:rPr>
                <w:rFonts w:ascii="Arial" w:cs="Arial" w:eastAsia="Arial" w:hAnsi="Arial"/>
                <w:sz w:val="18"/>
                <w:szCs w:val="18"/>
                <w:color w:val="auto"/>
              </w:rPr>
              <w:t>Incentive    </w:t>
            </w:r>
            <w:r>
              <w:rPr>
                <w:rFonts w:ascii="MS PGothic" w:cs="MS PGothic" w:eastAsia="MS PGothic" w:hAnsi="MS PGothic"/>
                <w:sz w:val="18"/>
                <w:szCs w:val="18"/>
                <w:color w:val="auto"/>
              </w:rPr>
              <w:t>☐</w:t>
            </w:r>
          </w:p>
        </w:tc>
        <w:tc>
          <w:tcPr>
            <w:tcW w:w="1900" w:type="dxa"/>
            <w:vAlign w:val="bottom"/>
            <w:shd w:val="clear" w:color="auto" w:fill="CCEEFF"/>
          </w:tcPr>
          <w:p>
            <w:pPr>
              <w:ind w:left="340"/>
              <w:spacing w:after="0" w:line="207" w:lineRule="exact"/>
              <w:rPr>
                <w:sz w:val="20"/>
                <w:szCs w:val="20"/>
                <w:color w:val="auto"/>
              </w:rPr>
            </w:pPr>
            <w:r>
              <w:rPr>
                <w:rFonts w:ascii="Arial" w:cs="Arial" w:eastAsia="Arial" w:hAnsi="Arial"/>
                <w:sz w:val="18"/>
                <w:szCs w:val="18"/>
                <w:color w:val="auto"/>
                <w:w w:val="93"/>
              </w:rPr>
              <w:t>Nonstatutory   </w:t>
            </w:r>
            <w:r>
              <w:rPr>
                <w:rFonts w:ascii="MS PGothic" w:cs="MS PGothic" w:eastAsia="MS PGothic" w:hAnsi="MS PGothic"/>
                <w:sz w:val="18"/>
                <w:szCs w:val="18"/>
                <w:color w:val="auto"/>
                <w:w w:val="93"/>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Date of Grant:</w:t>
            </w:r>
          </w:p>
        </w:tc>
        <w:tc>
          <w:tcPr>
            <w:tcW w:w="132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w w:val="88"/>
              </w:rPr>
              <w:t>________________</w:t>
            </w:r>
          </w:p>
        </w:tc>
        <w:tc>
          <w:tcPr>
            <w:tcW w:w="19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as to which Option is exercised:</w:t>
            </w: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8"/>
              </w:rPr>
              <w:t>________________</w:t>
            </w:r>
          </w:p>
        </w:tc>
        <w:tc>
          <w:tcPr>
            <w:tcW w:w="19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132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w w:val="88"/>
              </w:rPr>
              <w:t>________________</w:t>
            </w:r>
          </w:p>
        </w:tc>
        <w:tc>
          <w:tcPr>
            <w:tcW w:w="19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exercise price: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______________</w:t>
            </w:r>
          </w:p>
        </w:tc>
        <w:tc>
          <w:tcPr>
            <w:tcW w:w="1900" w:type="dxa"/>
            <w:vAlign w:val="bottom"/>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Cash, check, bank draft or money order delivered herewith:</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______________</w:t>
            </w:r>
          </w:p>
        </w:tc>
        <w:tc>
          <w:tcPr>
            <w:tcW w:w="1900" w:type="dxa"/>
            <w:vAlign w:val="bottom"/>
          </w:tcPr>
          <w:p>
            <w:pPr>
              <w:spacing w:after="0"/>
              <w:rPr>
                <w:sz w:val="18"/>
                <w:szCs w:val="18"/>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________ Shares delivered herewith:</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______________</w:t>
            </w:r>
          </w:p>
        </w:tc>
        <w:tc>
          <w:tcPr>
            <w:tcW w:w="1900" w:type="dxa"/>
            <w:vAlign w:val="bottom"/>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Regulation T Program (cashless exercise)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_____________</w:t>
            </w:r>
          </w:p>
        </w:tc>
        <w:tc>
          <w:tcPr>
            <w:tcW w:w="1900" w:type="dxa"/>
            <w:vAlign w:val="bottom"/>
          </w:tcPr>
          <w:p>
            <w:pPr>
              <w:spacing w:after="0"/>
              <w:rPr>
                <w:sz w:val="18"/>
                <w:szCs w:val="18"/>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_______ Shares pursuant to net exercise: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_____________</w:t>
            </w:r>
          </w:p>
        </w:tc>
        <w:tc>
          <w:tcPr>
            <w:tcW w:w="1900" w:type="dxa"/>
            <w:vAlign w:val="bottom"/>
            <w:shd w:val="clear" w:color="auto" w:fill="CCEEFF"/>
          </w:tcPr>
          <w:p>
            <w:pPr>
              <w:spacing w:after="0"/>
              <w:rPr>
                <w:sz w:val="18"/>
                <w:szCs w:val="18"/>
                <w:color w:val="auto"/>
              </w:rPr>
            </w:pPr>
          </w:p>
        </w:tc>
      </w:tr>
    </w:tbl>
    <w:p>
      <w:pPr>
        <w:sectPr>
          <w:pgSz w:w="11900" w:h="16838" w:orient="portrait"/>
          <w:cols w:equalWidth="0" w:num="1">
            <w:col w:w="11020"/>
          </w:cols>
          <w:pgMar w:left="440" w:top="270" w:right="439" w:bottom="1440" w:gutter="0" w:footer="0" w:header="0"/>
        </w:sectPr>
      </w:pPr>
    </w:p>
    <w:bookmarkStart w:id="471" w:name="page472"/>
    <w:bookmarkEnd w:id="471"/>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further agree that I will not sell, dispose of, transfer, make any short sale of, grant any option for the purchase of, or enter into any hedging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similar transaction with the same economic effect as a sale with respect to any shares of Common Stock or other securities of the Company that I hold,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period of 180 days following the effective date of a registration statement of the Company filed under the Securities Act or such longer period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or the Company will request to facilitate compliance with FINRA Rule 2241 or any successor or similar rules or regulation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paragraph will prevent the exercise of a repurchase option, if any, in favor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during the Lock-Up Period. I further agree to execute and deliver such other agreements as may be reasonably requested by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that are consistent with the foregoing or that are necessary to give further effect thereto. I further agree that in order to enforce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foregoing covenant, the Company may impose stop-transfer instructions with respect to shares of Common Stock that I hold until the end of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period. I also agree that any transferee of any shares of Common Stock (or other securities) of the Company that I hold will be bound by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paragraph. The underwriters of the Company’s stock are intended third party beneficiaries of this paragraph and will have the right, power and authority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enforce the provisions hereof as though they were a party hereto.</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Lexeo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Company’s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15"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00037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00037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00037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00037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5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the Participant’s Continuous Service through each applicable vesting date, the RSU Award will vest as follows:</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113" w:lineRule="exact"/>
        <w:rPr>
          <w:sz w:val="20"/>
          <w:szCs w:val="20"/>
          <w:color w:val="auto"/>
        </w:rPr>
      </w:pPr>
    </w:p>
    <w:p>
      <w:pPr>
        <w:ind w:left="1760" w:right="340" w:hanging="1767"/>
        <w:spacing w:after="0" w:line="277" w:lineRule="auto"/>
        <w:tabs>
          <w:tab w:leader="none" w:pos="17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for each restricted stock unit which vests at the time set forth in Section 6 of the Agreement.</w:t>
      </w:r>
    </w:p>
    <w:p>
      <w:pPr>
        <w:spacing w:after="0" w:line="17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1" w:lineRule="exact"/>
        <w:rPr>
          <w:sz w:val="20"/>
          <w:szCs w:val="20"/>
          <w:color w:val="auto"/>
        </w:rPr>
      </w:pPr>
    </w:p>
    <w:p>
      <w:pPr>
        <w:ind w:left="960" w:right="40" w:hanging="424"/>
        <w:spacing w:after="0" w:line="259" w:lineRule="auto"/>
        <w:tabs>
          <w:tab w:leader="none" w:pos="9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2" w:lineRule="exact"/>
        <w:rPr>
          <w:rFonts w:ascii="Arial" w:cs="Arial" w:eastAsia="Arial" w:hAnsi="Arial"/>
          <w:sz w:val="18"/>
          <w:szCs w:val="18"/>
          <w:color w:val="auto"/>
        </w:rPr>
      </w:pPr>
    </w:p>
    <w:p>
      <w:pPr>
        <w:ind w:left="960" w:right="100" w:hanging="424"/>
        <w:spacing w:after="0" w:line="342" w:lineRule="auto"/>
        <w:tabs>
          <w:tab w:leader="none" w:pos="96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29" w:lineRule="exact"/>
        <w:rPr>
          <w:rFonts w:ascii="Arial" w:cs="Arial" w:eastAsia="Arial" w:hAnsi="Arial"/>
          <w:sz w:val="16"/>
          <w:szCs w:val="16"/>
          <w:color w:val="auto"/>
        </w:rPr>
      </w:pPr>
    </w:p>
    <w:p>
      <w:pPr>
        <w:jc w:val="both"/>
        <w:ind w:left="960" w:right="40" w:hanging="424"/>
        <w:spacing w:after="0" w:line="301" w:lineRule="auto"/>
        <w:tabs>
          <w:tab w:leader="none" w:pos="96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60" w:type="dxa"/>
            <w:vAlign w:val="bottom"/>
            <w:gridSpan w:val="3"/>
          </w:tcPr>
          <w:p>
            <w:pPr>
              <w:ind w:left="100"/>
              <w:spacing w:after="0"/>
              <w:rPr>
                <w:sz w:val="20"/>
                <w:szCs w:val="20"/>
                <w:color w:val="auto"/>
              </w:rPr>
            </w:pPr>
            <w:r>
              <w:rPr>
                <w:rFonts w:ascii="Arial" w:cs="Arial" w:eastAsia="Arial" w:hAnsi="Arial"/>
                <w:sz w:val="18"/>
                <w:szCs w:val="18"/>
                <w:b w:val="1"/>
                <w:bCs w:val="1"/>
                <w:color w:val="auto"/>
              </w:rPr>
              <w:t>     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By:      </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7"/>
              </w:rPr>
              <w:t>A</w:t>
            </w:r>
            <w:r>
              <w:rPr>
                <w:rFonts w:ascii="Arial" w:cs="Arial" w:eastAsia="Arial" w:hAnsi="Arial"/>
                <w:sz w:val="14"/>
                <w:szCs w:val="14"/>
                <w:b w:val="1"/>
                <w:bCs w:val="1"/>
                <w:color w:val="auto"/>
                <w:w w:val="97"/>
              </w:rPr>
              <w:t>TTACHMENTS</w:t>
            </w:r>
            <w:r>
              <w:rPr>
                <w:rFonts w:ascii="Arial" w:cs="Arial" w:eastAsia="Arial" w:hAnsi="Arial"/>
                <w:sz w:val="18"/>
                <w:szCs w:val="18"/>
                <w:color w:val="auto"/>
                <w:w w:val="97"/>
              </w:rPr>
              <w:t>: RSU Award Agreement, 2023 Equity Incentive Plan</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73" w:name="page474"/>
    <w:bookmarkEnd w:id="47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(RSU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As reflected by your Restricted Stock Unit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Lexeo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RSU Award under its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Defined terms not explicitly defined in this Agreement but defined in the Grant Notice or the Plan shall have the same definitions as in the Grant Notice or Plan, as applicable.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RSU Award is subject to all the provisions of the Plan, including but not limited to the provisions in:</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6 of the Plan regarding the impact of a Capitalization Adjustment, dissolution, liquidation, or Corporate Transaction on your RSU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Section 9(e) of the Plan regarding the Company’s retained rights to terminate your Continuous Service notwithstanding the grant of the RSU Award;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8(c) of the Plan regarding the tax consequences of your RSU Award.</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80"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 THE</w:t>
      </w:r>
      <w:r>
        <w:rPr>
          <w:rFonts w:ascii="Arial" w:cs="Arial" w:eastAsia="Arial" w:hAnsi="Arial"/>
          <w:sz w:val="17"/>
          <w:szCs w:val="17"/>
          <w:b w:val="1"/>
          <w:bCs w:val="1"/>
          <w:color w:val="auto"/>
        </w:rPr>
        <w:t xml:space="preserve"> RSU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RSU Award represents your right to be issued on a future date the number of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3" w:lineRule="exact"/>
        <w:rPr>
          <w:sz w:val="20"/>
          <w:szCs w:val="20"/>
          <w:color w:val="auto"/>
        </w:rPr>
      </w:pPr>
    </w:p>
    <w:p>
      <w:pPr>
        <w:ind w:right="300" w:firstLine="440"/>
        <w:spacing w:after="0" w:line="312" w:lineRule="auto"/>
        <w:rPr>
          <w:sz w:val="20"/>
          <w:szCs w:val="20"/>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color w:val="auto"/>
        </w:rPr>
        <w:t>Your Restricted Stock Units will vest, if at all, in accordance with the vesting schedule provided in the Grant Notice,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contained herein and the terms of the Plan. Vesting will cease upon the termination of your Continuous Service.</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474" w:name="page475"/>
    <w:bookmarkEnd w:id="474"/>
    <w:p>
      <w:pPr>
        <w:ind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become entitled to receive payments equal to any cash dividends and other distributions paid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Arial" w:cs="Arial" w:eastAsia="Arial" w:hAnsi="Arial"/>
          <w:sz w:val="18"/>
          <w:szCs w:val="18"/>
          <w:b w:val="1"/>
          <w:bCs w:val="1"/>
          <w:i w:val="1"/>
          <w:iCs w:val="1"/>
          <w:color w:val="auto"/>
        </w:rPr>
        <w:t>Dividend Units</w:t>
      </w:r>
      <w:r>
        <w:rPr>
          <w:rFonts w:ascii="Arial" w:cs="Arial" w:eastAsia="Arial" w:hAnsi="Arial"/>
          <w:sz w:val="18"/>
          <w:szCs w:val="18"/>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92" w:lineRule="exact"/>
        <w:rPr>
          <w:sz w:val="20"/>
          <w:szCs w:val="20"/>
          <w:color w:val="auto"/>
        </w:rPr>
      </w:pPr>
    </w:p>
    <w:p>
      <w:pPr>
        <w:ind w:right="260" w:firstLine="440"/>
        <w:spacing w:after="0" w:line="292"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ITHHOLDING</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further provided in Section 8 of the Plan, you hereby authorize withholding from payroll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spacing w:after="0" w:line="176"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In addition, the following provisions shall apply to the extent applicable at a vesting date when shares of Common Stock are registered under the Securities Act, unless otherwise determined by the Company. If:</w:t>
      </w:r>
    </w:p>
    <w:p>
      <w:pPr>
        <w:spacing w:after="0" w:line="170"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 or under such other policy expressly approved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75" w:name="page476"/>
    <w:bookmarkEnd w:id="475"/>
    <w:p>
      <w:pPr>
        <w:jc w:val="both"/>
        <w:ind w:right="10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you on the applicable vest date will not be delivered on such applicable vest date and will instead be delivered on the first business day when you are not prohibited from selling shares of the Company’s Common Stock in the open public market or on such other date determined by the Company, but in no event later than the Issuance Deadline.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Issuance Deadline</w:t>
      </w:r>
      <w:r>
        <w:rPr>
          <w:rFonts w:ascii="Arial" w:cs="Arial" w:eastAsia="Arial" w:hAnsi="Arial"/>
          <w:sz w:val="17"/>
          <w:szCs w:val="17"/>
          <w:color w:val="auto"/>
        </w:rPr>
        <w:t>” means (a) December 31 of the calendar year in which the applicable vest date occurs (that is, the last day of your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taxable year in which the applicable vest date occurs), or (b) if and only if permitted in a manner that complies with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-19050</wp:posOffset>
            </wp:positionV>
            <wp:extent cx="62166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3">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Section 1.409A-1(b)(4), no later than the date that is the 15th day of the third calendar month of the applicable year following the year in which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issuable as a result of the applicable vest date under this Award are no longer subject to a “substantial risk of forfeiture”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meaning of Treasury Regulations Section 1.409A-1(d).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the extent the RSU Award is a Non-Exempt Award, the provisions of Section 11 of the Plan shall apply.</w:t>
      </w:r>
    </w:p>
    <w:p>
      <w:pPr>
        <w:spacing w:after="0" w:line="2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OCK</w:t>
      </w:r>
      <w:r>
        <w:rPr>
          <w:rFonts w:ascii="Arial" w:cs="Arial" w:eastAsia="Arial" w:hAnsi="Arial"/>
          <w:sz w:val="16"/>
          <w:szCs w:val="16"/>
          <w:b w:val="1"/>
          <w:bCs w:val="1"/>
          <w:color w:val="auto"/>
        </w:rPr>
        <w:t>-U</w:t>
      </w:r>
      <w:r>
        <w:rPr>
          <w:rFonts w:ascii="Arial" w:cs="Arial" w:eastAsia="Arial" w:hAnsi="Arial"/>
          <w:sz w:val="12"/>
          <w:szCs w:val="12"/>
          <w:b w:val="1"/>
          <w:bCs w:val="1"/>
          <w:color w:val="auto"/>
        </w:rPr>
        <w:t>P</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ERIOD</w:t>
      </w:r>
      <w:r>
        <w:rPr>
          <w:rFonts w:ascii="Arial" w:cs="Arial" w:eastAsia="Arial" w:hAnsi="Arial"/>
          <w:sz w:val="16"/>
          <w:szCs w:val="16"/>
          <w:color w:val="auto"/>
        </w:rPr>
        <w:t>. By accepting your RSU Award, you agree that you will not sell, dispose of, transfer, make any short sale of, grant any option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76" w:name="page477"/>
    <w:bookmarkEnd w:id="476"/>
    <w:p>
      <w:pPr>
        <w:ind w:left="4" w:right="2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RSU Award is not transferable, except by will or by the applicable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w:t>
      </w:r>
    </w:p>
    <w:p>
      <w:pPr>
        <w:spacing w:after="0" w:line="162"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6" w:lineRule="exact"/>
        <w:rPr>
          <w:sz w:val="20"/>
          <w:szCs w:val="20"/>
          <w:color w:val="auto"/>
        </w:rPr>
      </w:pPr>
    </w:p>
    <w:p>
      <w:pPr>
        <w:ind w:left="4" w:right="240" w:firstLine="440"/>
        <w:spacing w:after="0" w:line="293"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color w:val="auto"/>
        </w:rPr>
        <w:t>. As a condition to accepting the RSU Award, you hereby (a) agree to not make any claim against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Officers, Directors, Employees or Affiliates related to tax liabilities arising from the RSU Award or other Company compensation and</w:t>
      </w:r>
    </w:p>
    <w:p>
      <w:pPr>
        <w:spacing w:after="0" w:line="1" w:lineRule="exact"/>
        <w:rPr>
          <w:sz w:val="20"/>
          <w:szCs w:val="20"/>
          <w:color w:val="auto"/>
        </w:rPr>
      </w:pPr>
    </w:p>
    <w:p>
      <w:pPr>
        <w:ind w:left="4" w:right="140" w:hanging="4"/>
        <w:spacing w:after="0" w:line="260" w:lineRule="auto"/>
        <w:tabs>
          <w:tab w:leader="none" w:pos="25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1"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color w:val="auto"/>
        </w:rPr>
        <w:t>. If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You hereby acknowledge receipt of or the right to receive a document providing the information required by Rule 428(b)</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(1) promulgated under the Securities Act, which includes the Prospectus. In addition, you acknowledge receipt of the Company’s Trading Policy.</w:t>
      </w:r>
    </w:p>
    <w:p>
      <w:pPr>
        <w:spacing w:after="0" w:line="218"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RSU Award,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69" w:right="49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EXEO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2023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13, 2023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13, 2023</w:t>
      </w:r>
    </w:p>
    <w:p>
      <w:pPr>
        <w:spacing w:after="0" w:line="207" w:lineRule="exact"/>
        <w:rPr>
          <w:sz w:val="20"/>
          <w:szCs w:val="20"/>
          <w:color w:val="auto"/>
        </w:rPr>
      </w:pPr>
    </w:p>
    <w:p>
      <w:pPr>
        <w:ind w:left="184" w:hanging="184"/>
        <w:spacing w:after="0"/>
        <w:tabs>
          <w:tab w:leader="none" w:pos="18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40" w:firstLine="436"/>
        <w:spacing w:after="0" w:line="263" w:lineRule="auto"/>
        <w:tabs>
          <w:tab w:leader="none" w:pos="699"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83" w:lineRule="exact"/>
        <w:rPr>
          <w:rFonts w:ascii="Arial" w:cs="Arial" w:eastAsia="Arial" w:hAnsi="Arial"/>
          <w:sz w:val="18"/>
          <w:szCs w:val="18"/>
          <w:b w:val="1"/>
          <w:bCs w:val="1"/>
          <w:color w:val="auto"/>
        </w:rPr>
      </w:pPr>
    </w:p>
    <w:p>
      <w:pPr>
        <w:ind w:left="4" w:right="20" w:firstLine="436"/>
        <w:spacing w:after="0" w:line="308" w:lineRule="auto"/>
        <w:tabs>
          <w:tab w:leader="none" w:pos="709" w:val="left"/>
        </w:tabs>
        <w:numPr>
          <w:ilvl w:val="1"/>
          <w:numId w:val="380"/>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50" w:lineRule="exact"/>
        <w:rPr>
          <w:rFonts w:ascii="Arial" w:cs="Arial" w:eastAsia="Arial" w:hAnsi="Arial"/>
          <w:sz w:val="17"/>
          <w:szCs w:val="17"/>
          <w:b w:val="1"/>
          <w:bCs w:val="1"/>
          <w:color w:val="auto"/>
        </w:rPr>
      </w:pPr>
    </w:p>
    <w:p>
      <w:pPr>
        <w:ind w:left="164" w:hanging="164"/>
        <w:spacing w:after="0"/>
        <w:tabs>
          <w:tab w:leader="none" w:pos="16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77" w:lineRule="auto"/>
        <w:tabs>
          <w:tab w:leader="none" w:pos="699"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704" w:hanging="264"/>
        <w:spacing w:after="0"/>
        <w:tabs>
          <w:tab w:leader="none" w:pos="704" w:val="left"/>
        </w:tabs>
        <w:numPr>
          <w:ilvl w:val="1"/>
          <w:numId w:val="380"/>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80"/>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1264" w:hanging="273"/>
        <w:spacing w:after="0"/>
        <w:tabs>
          <w:tab w:leader="none" w:pos="1264"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225" w:lineRule="exact"/>
        <w:rPr>
          <w:rFonts w:ascii="Arial" w:cs="Arial" w:eastAsia="Arial" w:hAnsi="Arial"/>
          <w:sz w:val="18"/>
          <w:szCs w:val="18"/>
          <w:b w:val="1"/>
          <w:bCs w:val="1"/>
          <w:color w:val="auto"/>
        </w:rPr>
      </w:pPr>
    </w:p>
    <w:p>
      <w:pPr>
        <w:jc w:val="both"/>
        <w:ind w:left="4" w:right="20" w:firstLine="987"/>
        <w:spacing w:after="0" w:line="263" w:lineRule="auto"/>
        <w:tabs>
          <w:tab w:leader="none" w:pos="1310"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3" w:lineRule="exact"/>
        <w:rPr>
          <w:rFonts w:ascii="Arial" w:cs="Arial" w:eastAsia="Arial" w:hAnsi="Arial"/>
          <w:sz w:val="18"/>
          <w:szCs w:val="18"/>
          <w:b w:val="1"/>
          <w:bCs w:val="1"/>
          <w:color w:val="auto"/>
        </w:rPr>
      </w:pPr>
    </w:p>
    <w:p>
      <w:pPr>
        <w:ind w:left="1304" w:hanging="313"/>
        <w:spacing w:after="0"/>
        <w:tabs>
          <w:tab w:leader="none" w:pos="1304"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304" w:hanging="313"/>
        <w:spacing w:after="0"/>
        <w:tabs>
          <w:tab w:leader="none" w:pos="1304"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ind w:left="4" w:right="300" w:firstLine="987"/>
        <w:spacing w:after="0" w:line="342" w:lineRule="auto"/>
        <w:tabs>
          <w:tab w:leader="none" w:pos="1350" w:val="left"/>
        </w:tabs>
        <w:numPr>
          <w:ilvl w:val="2"/>
          <w:numId w:val="380"/>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23" w:lineRule="exact"/>
        <w:rPr>
          <w:rFonts w:ascii="Arial" w:cs="Arial" w:eastAsia="Arial" w:hAnsi="Arial"/>
          <w:sz w:val="16"/>
          <w:szCs w:val="16"/>
          <w:b w:val="1"/>
          <w:bCs w:val="1"/>
          <w:color w:val="auto"/>
        </w:rPr>
      </w:pPr>
    </w:p>
    <w:p>
      <w:pPr>
        <w:ind w:left="4" w:right="320" w:firstLine="987"/>
        <w:spacing w:after="0" w:line="277" w:lineRule="auto"/>
        <w:tabs>
          <w:tab w:leader="none" w:pos="1400"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the United States.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78" w:name="page479"/>
    <w:bookmarkEnd w:id="478"/>
    <w:p>
      <w:pPr>
        <w:ind w:left="4" w:firstLine="436"/>
        <w:spacing w:after="0" w:line="271" w:lineRule="auto"/>
        <w:tabs>
          <w:tab w:leader="none" w:pos="689" w:val="left"/>
        </w:tabs>
        <w:numPr>
          <w:ilvl w:val="1"/>
          <w:numId w:val="38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8" w:lineRule="exact"/>
        <w:rPr>
          <w:rFonts w:ascii="Arial" w:cs="Arial" w:eastAsia="Arial" w:hAnsi="Arial"/>
          <w:sz w:val="17"/>
          <w:szCs w:val="17"/>
          <w:b w:val="1"/>
          <w:bCs w:val="1"/>
          <w:color w:val="auto"/>
        </w:rPr>
      </w:pPr>
    </w:p>
    <w:p>
      <w:pPr>
        <w:ind w:left="4" w:right="160" w:firstLine="436"/>
        <w:spacing w:after="0" w:line="277" w:lineRule="auto"/>
        <w:tabs>
          <w:tab w:leader="none" w:pos="709"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274" w:lineRule="auto"/>
        <w:tabs>
          <w:tab w:leader="none" w:pos="699" w:val="left"/>
        </w:tabs>
        <w:numPr>
          <w:ilvl w:val="1"/>
          <w:numId w:val="382"/>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238,600 shares of Common Stock, plus the number of shares of Common Stock that are automatically added on January 1st of each year for a period of up to ten years, commencing on the first January 1 following the IPO Date and ending on (and including) January 1, 2033, in an amount equal to the lesser of (i) one percent (1%) of the total number of shares of Capital Stock outstanding on December 31st of the preceding calendar year, and (ii) 477,200 shares of Common Stock. Notwithstanding the foregoing, the Board may act prior to the first day of any calendar year to provide that there will be no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65" w:lineRule="exact"/>
        <w:rPr>
          <w:rFonts w:ascii="Arial" w:cs="Arial" w:eastAsia="Arial" w:hAnsi="Arial"/>
          <w:sz w:val="16"/>
          <w:szCs w:val="16"/>
          <w:b w:val="1"/>
          <w:bCs w:val="1"/>
          <w:color w:val="auto"/>
        </w:rPr>
      </w:pPr>
    </w:p>
    <w:p>
      <w:pPr>
        <w:ind w:left="4" w:right="340" w:firstLine="436"/>
        <w:spacing w:after="0" w:line="277" w:lineRule="auto"/>
        <w:tabs>
          <w:tab w:leader="none" w:pos="709"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4" w:right="80" w:firstLine="436"/>
        <w:spacing w:after="0" w:line="277" w:lineRule="auto"/>
        <w:tabs>
          <w:tab w:leader="none" w:pos="689"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291" w:lineRule="auto"/>
        <w:tabs>
          <w:tab w:leader="none" w:pos="699" w:val="left"/>
        </w:tabs>
        <w:numPr>
          <w:ilvl w:val="1"/>
          <w:numId w:val="382"/>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479" w:name="page480"/>
    <w:bookmarkEnd w:id="479"/>
    <w:p>
      <w:pPr>
        <w:ind w:left="4" w:right="280" w:firstLine="436"/>
        <w:spacing w:after="0" w:line="257" w:lineRule="auto"/>
        <w:tabs>
          <w:tab w:leader="none" w:pos="709" w:val="left"/>
        </w:tabs>
        <w:numPr>
          <w:ilvl w:val="1"/>
          <w:numId w:val="38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ind w:left="4" w:right="160" w:firstLine="436"/>
        <w:spacing w:after="0" w:line="279" w:lineRule="auto"/>
        <w:tabs>
          <w:tab w:leader="none" w:pos="689" w:val="left"/>
        </w:tabs>
        <w:numPr>
          <w:ilvl w:val="1"/>
          <w:numId w:val="383"/>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75" w:lineRule="exact"/>
        <w:rPr>
          <w:rFonts w:ascii="Arial" w:cs="Arial" w:eastAsia="Arial" w:hAnsi="Arial"/>
          <w:sz w:val="17"/>
          <w:szCs w:val="17"/>
          <w:b w:val="1"/>
          <w:bCs w:val="1"/>
          <w:color w:val="auto"/>
        </w:rPr>
      </w:pPr>
    </w:p>
    <w:p>
      <w:pPr>
        <w:ind w:left="184" w:hanging="184"/>
        <w:spacing w:after="0"/>
        <w:tabs>
          <w:tab w:leader="none" w:pos="184"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72" w:lineRule="auto"/>
        <w:tabs>
          <w:tab w:leader="none" w:pos="699" w:val="left"/>
        </w:tabs>
        <w:numPr>
          <w:ilvl w:val="1"/>
          <w:numId w:val="384"/>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77" w:lineRule="exact"/>
        <w:rPr>
          <w:rFonts w:ascii="Arial" w:cs="Arial" w:eastAsia="Arial" w:hAnsi="Arial"/>
          <w:sz w:val="17"/>
          <w:szCs w:val="17"/>
          <w:b w:val="1"/>
          <w:bCs w:val="1"/>
          <w:color w:val="auto"/>
        </w:rPr>
      </w:pPr>
    </w:p>
    <w:p>
      <w:pPr>
        <w:ind w:left="4" w:right="280" w:firstLine="436"/>
        <w:spacing w:after="0" w:line="279" w:lineRule="auto"/>
        <w:tabs>
          <w:tab w:leader="none" w:pos="706" w:val="left"/>
        </w:tabs>
        <w:numPr>
          <w:ilvl w:val="1"/>
          <w:numId w:val="384"/>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1" w:lineRule="exact"/>
        <w:rPr>
          <w:rFonts w:ascii="Arial" w:cs="Arial" w:eastAsia="Arial" w:hAnsi="Arial"/>
          <w:sz w:val="17"/>
          <w:szCs w:val="17"/>
          <w:b w:val="1"/>
          <w:bCs w:val="1"/>
          <w:color w:val="auto"/>
        </w:rPr>
      </w:pPr>
    </w:p>
    <w:p>
      <w:pPr>
        <w:ind w:left="4" w:right="600" w:firstLine="987"/>
        <w:spacing w:after="0" w:line="277" w:lineRule="auto"/>
        <w:tabs>
          <w:tab w:leader="none" w:pos="1210" w:val="left"/>
        </w:tabs>
        <w:numPr>
          <w:ilvl w:val="2"/>
          <w:numId w:val="384"/>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264" w:hanging="273"/>
        <w:spacing w:after="0"/>
        <w:tabs>
          <w:tab w:leader="none" w:pos="1264" w:val="left"/>
        </w:tabs>
        <w:numPr>
          <w:ilvl w:val="2"/>
          <w:numId w:val="384"/>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left="4" w:right="140" w:firstLine="987"/>
        <w:spacing w:after="0" w:line="277" w:lineRule="auto"/>
        <w:tabs>
          <w:tab w:leader="none" w:pos="1310" w:val="left"/>
        </w:tabs>
        <w:numPr>
          <w:ilvl w:val="2"/>
          <w:numId w:val="384"/>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left="4" w:right="100" w:firstLine="436"/>
        <w:spacing w:after="0" w:line="301" w:lineRule="auto"/>
        <w:tabs>
          <w:tab w:leader="none" w:pos="689" w:val="left"/>
        </w:tabs>
        <w:numPr>
          <w:ilvl w:val="1"/>
          <w:numId w:val="384"/>
        </w:numPr>
        <w:rPr>
          <w:rFonts w:ascii="Arial" w:cs="Arial" w:eastAsia="Arial" w:hAnsi="Arial"/>
          <w:sz w:val="16"/>
          <w:szCs w:val="16"/>
          <w:b w:val="1"/>
          <w:bCs w:val="1"/>
          <w:color w:val="auto"/>
        </w:rPr>
      </w:pPr>
      <w:r>
        <w:rPr>
          <w:rFonts w:ascii="Arial" w:cs="Arial" w:eastAsia="Arial" w:hAnsi="Arial"/>
          <w:sz w:val="16"/>
          <w:szCs w:val="16"/>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sectPr>
      </w:pPr>
    </w:p>
    <w:bookmarkStart w:id="480" w:name="page481"/>
    <w:bookmarkEnd w:id="480"/>
    <w:p>
      <w:pPr>
        <w:ind w:left="4" w:right="40" w:firstLine="436"/>
        <w:spacing w:after="0" w:line="275" w:lineRule="auto"/>
        <w:tabs>
          <w:tab w:leader="none" w:pos="709" w:val="left"/>
        </w:tabs>
        <w:numPr>
          <w:ilvl w:val="1"/>
          <w:numId w:val="38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6" w:lineRule="exact"/>
        <w:rPr>
          <w:rFonts w:ascii="Arial" w:cs="Arial" w:eastAsia="Arial" w:hAnsi="Arial"/>
          <w:sz w:val="17"/>
          <w:szCs w:val="17"/>
          <w:b w:val="1"/>
          <w:bCs w:val="1"/>
          <w:color w:val="auto"/>
        </w:rPr>
      </w:pPr>
    </w:p>
    <w:p>
      <w:pPr>
        <w:ind w:left="4" w:right="20" w:firstLine="436"/>
        <w:spacing w:after="0" w:line="263" w:lineRule="auto"/>
        <w:tabs>
          <w:tab w:leader="none" w:pos="689" w:val="left"/>
        </w:tabs>
        <w:numPr>
          <w:ilvl w:val="1"/>
          <w:numId w:val="385"/>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287" w:lineRule="exact"/>
        <w:rPr>
          <w:rFonts w:ascii="Arial" w:cs="Arial" w:eastAsia="Arial" w:hAnsi="Arial"/>
          <w:sz w:val="18"/>
          <w:szCs w:val="18"/>
          <w:b w:val="1"/>
          <w:bCs w:val="1"/>
          <w:color w:val="auto"/>
        </w:rPr>
      </w:pPr>
    </w:p>
    <w:p>
      <w:pPr>
        <w:ind w:left="184" w:hanging="184"/>
        <w:spacing w:after="0"/>
        <w:tabs>
          <w:tab w:leader="none" w:pos="184"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7" w:lineRule="auto"/>
        <w:tabs>
          <w:tab w:leader="none" w:pos="699"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7" w:lineRule="exact"/>
        <w:rPr>
          <w:rFonts w:ascii="Arial" w:cs="Arial" w:eastAsia="Arial" w:hAnsi="Arial"/>
          <w:sz w:val="18"/>
          <w:szCs w:val="18"/>
          <w:b w:val="1"/>
          <w:bCs w:val="1"/>
          <w:color w:val="auto"/>
        </w:rPr>
      </w:pPr>
    </w:p>
    <w:p>
      <w:pPr>
        <w:ind w:left="4" w:right="80" w:firstLine="436"/>
        <w:spacing w:after="0" w:line="277" w:lineRule="auto"/>
        <w:tabs>
          <w:tab w:leader="none" w:pos="709"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4" w:firstLine="436"/>
        <w:spacing w:after="0" w:line="254" w:lineRule="auto"/>
        <w:tabs>
          <w:tab w:leader="none" w:pos="689"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94" w:lineRule="exact"/>
        <w:rPr>
          <w:rFonts w:ascii="Arial" w:cs="Arial" w:eastAsia="Arial" w:hAnsi="Arial"/>
          <w:sz w:val="18"/>
          <w:szCs w:val="18"/>
          <w:b w:val="1"/>
          <w:bCs w:val="1"/>
          <w:color w:val="auto"/>
        </w:rPr>
      </w:pPr>
    </w:p>
    <w:p>
      <w:pPr>
        <w:ind w:left="704" w:hanging="264"/>
        <w:spacing w:after="0"/>
        <w:tabs>
          <w:tab w:leader="none" w:pos="704"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225"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8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2"/>
          <w:numId w:val="38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3" w:right="459" w:bottom="1440" w:gutter="0" w:footer="0" w:header="0"/>
        </w:sectPr>
      </w:pPr>
    </w:p>
    <w:bookmarkStart w:id="481" w:name="page482"/>
    <w:bookmarkEnd w:id="481"/>
    <w:p>
      <w:pPr>
        <w:ind w:left="184" w:hanging="184"/>
        <w:spacing w:after="0"/>
        <w:tabs>
          <w:tab w:leader="none" w:pos="184"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53" w:lineRule="auto"/>
        <w:tabs>
          <w:tab w:leader="none" w:pos="699"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Arial" w:cs="Arial" w:eastAsia="Arial" w:hAnsi="Arial"/>
          <w:sz w:val="18"/>
          <w:szCs w:val="18"/>
          <w:b w:val="1"/>
          <w:bCs w:val="1"/>
          <w:color w:val="auto"/>
        </w:rPr>
      </w:pPr>
    </w:p>
    <w:p>
      <w:pPr>
        <w:ind w:left="4" w:right="20" w:firstLine="436"/>
        <w:spacing w:after="0" w:line="273" w:lineRule="auto"/>
        <w:tabs>
          <w:tab w:leader="none" w:pos="709" w:val="left"/>
        </w:tabs>
        <w:numPr>
          <w:ilvl w:val="1"/>
          <w:numId w:val="387"/>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4" w:right="40" w:firstLine="436"/>
        <w:spacing w:after="0" w:line="259" w:lineRule="auto"/>
        <w:tabs>
          <w:tab w:leader="none" w:pos="689"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86" w:lineRule="exact"/>
        <w:rPr>
          <w:rFonts w:ascii="Arial" w:cs="Arial" w:eastAsia="Arial" w:hAnsi="Arial"/>
          <w:sz w:val="18"/>
          <w:szCs w:val="18"/>
          <w:b w:val="1"/>
          <w:bCs w:val="1"/>
          <w:color w:val="auto"/>
        </w:rPr>
      </w:pPr>
    </w:p>
    <w:p>
      <w:pPr>
        <w:jc w:val="both"/>
        <w:ind w:left="4" w:right="620" w:firstLine="436"/>
        <w:spacing w:after="0" w:line="263" w:lineRule="auto"/>
        <w:tabs>
          <w:tab w:leader="none" w:pos="709"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684" w:hanging="244"/>
        <w:spacing w:after="0"/>
        <w:tabs>
          <w:tab w:leader="none" w:pos="684" w:val="left"/>
        </w:tabs>
        <w:numPr>
          <w:ilvl w:val="1"/>
          <w:numId w:val="387"/>
        </w:numPr>
        <w:rPr>
          <w:rFonts w:ascii="Arial" w:cs="Arial" w:eastAsia="Arial" w:hAnsi="Arial"/>
          <w:sz w:val="16"/>
          <w:szCs w:val="16"/>
          <w:b w:val="1"/>
          <w:bCs w:val="1"/>
          <w:color w:val="auto"/>
        </w:rPr>
      </w:pPr>
      <w:r>
        <w:rPr>
          <w:rFonts w:ascii="Arial" w:cs="Arial" w:eastAsia="Arial" w:hAnsi="Arial"/>
          <w:sz w:val="16"/>
          <w:szCs w:val="16"/>
          <w:color w:val="auto"/>
        </w:rPr>
        <w:t>Unless otherwise specified in the Offering or required by applicable law, the Company will have no obligation to pay interest on Contributions.</w:t>
      </w:r>
    </w:p>
    <w:p>
      <w:pPr>
        <w:spacing w:after="0" w:line="352" w:lineRule="exact"/>
        <w:rPr>
          <w:rFonts w:ascii="Arial" w:cs="Arial" w:eastAsia="Arial" w:hAnsi="Arial"/>
          <w:sz w:val="16"/>
          <w:szCs w:val="16"/>
          <w:b w:val="1"/>
          <w:bCs w:val="1"/>
          <w:color w:val="auto"/>
        </w:rPr>
      </w:pPr>
    </w:p>
    <w:p>
      <w:pPr>
        <w:ind w:left="184" w:hanging="184"/>
        <w:spacing w:after="0"/>
        <w:tabs>
          <w:tab w:leader="none" w:pos="184"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60" w:firstLine="436"/>
        <w:spacing w:after="0" w:line="263" w:lineRule="auto"/>
        <w:tabs>
          <w:tab w:leader="none" w:pos="699"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4" w:firstLine="436"/>
        <w:spacing w:after="0" w:line="271" w:lineRule="auto"/>
        <w:tabs>
          <w:tab w:leader="none" w:pos="709" w:val="left"/>
        </w:tabs>
        <w:numPr>
          <w:ilvl w:val="1"/>
          <w:numId w:val="387"/>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35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69" w:right="459" w:bottom="1440" w:gutter="0" w:footer="0" w:header="0"/>
        </w:sectPr>
      </w:pPr>
    </w:p>
    <w:bookmarkStart w:id="482" w:name="page483"/>
    <w:bookmarkEnd w:id="482"/>
    <w:p>
      <w:pPr>
        <w:ind w:left="4" w:right="20" w:firstLine="436"/>
        <w:spacing w:after="0" w:line="271" w:lineRule="auto"/>
        <w:tabs>
          <w:tab w:leader="none" w:pos="689" w:val="left"/>
        </w:tabs>
        <w:numPr>
          <w:ilvl w:val="1"/>
          <w:numId w:val="38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282" w:lineRule="exact"/>
        <w:rPr>
          <w:rFonts w:ascii="Arial" w:cs="Arial" w:eastAsia="Arial" w:hAnsi="Arial"/>
          <w:sz w:val="17"/>
          <w:szCs w:val="17"/>
          <w:b w:val="1"/>
          <w:bCs w:val="1"/>
          <w:color w:val="auto"/>
        </w:rPr>
      </w:pPr>
    </w:p>
    <w:p>
      <w:pPr>
        <w:ind w:left="184" w:hanging="184"/>
        <w:spacing w:after="0"/>
        <w:tabs>
          <w:tab w:leader="none" w:pos="184"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82" w:lineRule="exact"/>
        <w:rPr>
          <w:sz w:val="20"/>
          <w:szCs w:val="20"/>
          <w:color w:val="auto"/>
        </w:rPr>
      </w:pPr>
    </w:p>
    <w:p>
      <w:pPr>
        <w:ind w:left="264" w:hanging="264"/>
        <w:spacing w:after="0"/>
        <w:tabs>
          <w:tab w:leader="none" w:pos="264"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80" w:firstLine="436"/>
        <w:spacing w:after="0" w:line="259" w:lineRule="auto"/>
        <w:tabs>
          <w:tab w:leader="none" w:pos="699"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4" w:firstLine="436"/>
        <w:spacing w:after="0" w:line="275" w:lineRule="auto"/>
        <w:tabs>
          <w:tab w:leader="none" w:pos="709" w:val="left"/>
        </w:tabs>
        <w:numPr>
          <w:ilvl w:val="1"/>
          <w:numId w:val="390"/>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80" w:lineRule="exact"/>
        <w:rPr>
          <w:rFonts w:ascii="Arial" w:cs="Arial" w:eastAsia="Arial" w:hAnsi="Arial"/>
          <w:sz w:val="17"/>
          <w:szCs w:val="17"/>
          <w:b w:val="1"/>
          <w:bCs w:val="1"/>
          <w:color w:val="auto"/>
        </w:rPr>
      </w:pPr>
    </w:p>
    <w:p>
      <w:pPr>
        <w:ind w:left="264" w:hanging="264"/>
        <w:spacing w:after="0"/>
        <w:tabs>
          <w:tab w:leader="none" w:pos="264"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75" w:lineRule="auto"/>
        <w:tabs>
          <w:tab w:leader="none" w:pos="699" w:val="left"/>
        </w:tabs>
        <w:numPr>
          <w:ilvl w:val="1"/>
          <w:numId w:val="390"/>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3" w:right="479" w:bottom="1440" w:gutter="0" w:footer="0" w:header="0"/>
        </w:sectPr>
      </w:pPr>
    </w:p>
    <w:bookmarkStart w:id="483" w:name="page484"/>
    <w:bookmarkEnd w:id="483"/>
    <w:p>
      <w:pPr>
        <w:ind w:left="4" w:right="280" w:firstLine="436"/>
        <w:spacing w:after="0" w:line="293" w:lineRule="auto"/>
        <w:tabs>
          <w:tab w:leader="none" w:pos="709" w:val="left"/>
        </w:tabs>
        <w:numPr>
          <w:ilvl w:val="1"/>
          <w:numId w:val="39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68" w:lineRule="exact"/>
        <w:rPr>
          <w:rFonts w:ascii="Arial" w:cs="Arial" w:eastAsia="Arial" w:hAnsi="Arial"/>
          <w:sz w:val="16"/>
          <w:szCs w:val="16"/>
          <w:b w:val="1"/>
          <w:bCs w:val="1"/>
          <w:color w:val="auto"/>
        </w:rPr>
      </w:pPr>
    </w:p>
    <w:p>
      <w:pPr>
        <w:ind w:left="264" w:hanging="264"/>
        <w:spacing w:after="0"/>
        <w:tabs>
          <w:tab w:leader="none" w:pos="264"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540" w:firstLine="436"/>
        <w:spacing w:after="0" w:line="263" w:lineRule="auto"/>
        <w:tabs>
          <w:tab w:leader="none" w:pos="699" w:val="left"/>
        </w:tabs>
        <w:numPr>
          <w:ilvl w:val="1"/>
          <w:numId w:val="392"/>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w:t>
      </w:r>
    </w:p>
    <w:p>
      <w:pPr>
        <w:spacing w:after="0" w:line="183" w:lineRule="exact"/>
        <w:rPr>
          <w:rFonts w:ascii="Arial" w:cs="Arial" w:eastAsia="Arial" w:hAnsi="Arial"/>
          <w:sz w:val="18"/>
          <w:szCs w:val="18"/>
          <w:b w:val="1"/>
          <w:bCs w:val="1"/>
          <w:color w:val="auto"/>
        </w:rPr>
      </w:pPr>
    </w:p>
    <w:p>
      <w:pPr>
        <w:ind w:left="4" w:right="140" w:firstLine="436"/>
        <w:spacing w:after="0" w:line="277" w:lineRule="auto"/>
        <w:tabs>
          <w:tab w:leader="none" w:pos="709" w:val="left"/>
        </w:tabs>
        <w:numPr>
          <w:ilvl w:val="1"/>
          <w:numId w:val="392"/>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4" w:right="20" w:firstLine="436"/>
        <w:spacing w:after="0" w:line="271" w:lineRule="auto"/>
        <w:tabs>
          <w:tab w:leader="none" w:pos="689" w:val="left"/>
        </w:tabs>
        <w:numPr>
          <w:ilvl w:val="1"/>
          <w:numId w:val="392"/>
        </w:numPr>
        <w:rPr>
          <w:rFonts w:ascii="Arial" w:cs="Arial" w:eastAsia="Arial" w:hAnsi="Arial"/>
          <w:sz w:val="17"/>
          <w:szCs w:val="17"/>
          <w:b w:val="1"/>
          <w:bCs w:val="1"/>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78"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3" w:right="499" w:bottom="1440" w:gutter="0" w:footer="0" w:header="0"/>
        </w:sectPr>
      </w:pPr>
    </w:p>
    <w:bookmarkStart w:id="484" w:name="page485"/>
    <w:bookmarkEnd w:id="484"/>
    <w:p>
      <w:pPr>
        <w:ind w:left="264" w:hanging="264"/>
        <w:spacing w:after="0"/>
        <w:tabs>
          <w:tab w:leader="none" w:pos="264"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8" w:lineRule="exact"/>
        <w:rPr>
          <w:sz w:val="20"/>
          <w:szCs w:val="20"/>
          <w:color w:val="auto"/>
        </w:rPr>
      </w:pPr>
    </w:p>
    <w:p>
      <w:pPr>
        <w:ind w:left="264" w:hanging="264"/>
        <w:spacing w:after="0"/>
        <w:tabs>
          <w:tab w:leader="none" w:pos="264"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4" w:hanging="264"/>
        <w:spacing w:after="0"/>
        <w:tabs>
          <w:tab w:leader="none" w:pos="704"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25" w:lineRule="exact"/>
        <w:rPr>
          <w:rFonts w:ascii="Arial" w:cs="Arial" w:eastAsia="Arial" w:hAnsi="Arial"/>
          <w:sz w:val="18"/>
          <w:szCs w:val="18"/>
          <w:b w:val="1"/>
          <w:bCs w:val="1"/>
          <w:color w:val="auto"/>
        </w:rPr>
      </w:pPr>
    </w:p>
    <w:p>
      <w:pPr>
        <w:ind w:left="4" w:right="120" w:firstLine="436"/>
        <w:spacing w:after="0" w:line="263" w:lineRule="auto"/>
        <w:tabs>
          <w:tab w:leader="none" w:pos="709"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4" w:right="80" w:firstLine="436"/>
        <w:spacing w:after="0" w:line="311" w:lineRule="auto"/>
        <w:tabs>
          <w:tab w:leader="none" w:pos="689" w:val="left"/>
        </w:tabs>
        <w:numPr>
          <w:ilvl w:val="1"/>
          <w:numId w:val="394"/>
        </w:numPr>
        <w:rPr>
          <w:rFonts w:ascii="Arial" w:cs="Arial" w:eastAsia="Arial" w:hAnsi="Arial"/>
          <w:sz w:val="16"/>
          <w:szCs w:val="16"/>
          <w:b w:val="1"/>
          <w:bCs w:val="1"/>
          <w:color w:val="auto"/>
        </w:rPr>
      </w:pPr>
      <w:r>
        <w:rPr>
          <w:rFonts w:ascii="Arial" w:cs="Arial" w:eastAsia="Arial" w:hAnsi="Arial"/>
          <w:sz w:val="16"/>
          <w:szCs w:val="16"/>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48" w:lineRule="exact"/>
        <w:rPr>
          <w:rFonts w:ascii="Arial" w:cs="Arial" w:eastAsia="Arial" w:hAnsi="Arial"/>
          <w:sz w:val="16"/>
          <w:szCs w:val="16"/>
          <w:b w:val="1"/>
          <w:bCs w:val="1"/>
          <w:color w:val="auto"/>
        </w:rPr>
      </w:pPr>
    </w:p>
    <w:p>
      <w:pPr>
        <w:ind w:left="704" w:hanging="264"/>
        <w:spacing w:after="0"/>
        <w:tabs>
          <w:tab w:leader="none" w:pos="704" w:val="left"/>
        </w:tabs>
        <w:numPr>
          <w:ilvl w:val="1"/>
          <w:numId w:val="394"/>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 of laws rules.</w:t>
      </w:r>
    </w:p>
    <w:p>
      <w:pPr>
        <w:spacing w:after="0" w:line="340" w:lineRule="exact"/>
        <w:rPr>
          <w:rFonts w:ascii="Arial" w:cs="Arial" w:eastAsia="Arial" w:hAnsi="Arial"/>
          <w:sz w:val="17"/>
          <w:szCs w:val="17"/>
          <w:b w:val="1"/>
          <w:bCs w:val="1"/>
          <w:color w:val="auto"/>
        </w:rPr>
      </w:pPr>
    </w:p>
    <w:p>
      <w:pPr>
        <w:ind w:left="264" w:hanging="264"/>
        <w:spacing w:after="0"/>
        <w:tabs>
          <w:tab w:leader="none" w:pos="264"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left="704" w:hanging="264"/>
        <w:spacing w:after="0"/>
        <w:tabs>
          <w:tab w:leader="none" w:pos="704"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704" w:hanging="264"/>
        <w:spacing w:after="0"/>
        <w:tabs>
          <w:tab w:leader="none" w:pos="704"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225" w:lineRule="exact"/>
        <w:rPr>
          <w:rFonts w:ascii="Arial" w:cs="Arial" w:eastAsia="Arial" w:hAnsi="Arial"/>
          <w:sz w:val="18"/>
          <w:szCs w:val="18"/>
          <w:b w:val="1"/>
          <w:bCs w:val="1"/>
          <w:color w:val="auto"/>
        </w:rPr>
      </w:pPr>
    </w:p>
    <w:p>
      <w:pPr>
        <w:ind w:left="4" w:right="60" w:firstLine="436"/>
        <w:spacing w:after="0" w:line="293" w:lineRule="auto"/>
        <w:tabs>
          <w:tab w:leader="none" w:pos="689" w:val="left"/>
        </w:tabs>
        <w:numPr>
          <w:ilvl w:val="0"/>
          <w:numId w:val="39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704" w:hanging="264"/>
        <w:spacing w:after="0"/>
        <w:tabs>
          <w:tab w:leader="none" w:pos="704"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b w:val="1"/>
          <w:bCs w:val="1"/>
          <w:color w:val="auto"/>
        </w:rPr>
      </w:pPr>
    </w:p>
    <w:p>
      <w:pPr>
        <w:ind w:left="4" w:firstLine="436"/>
        <w:spacing w:after="0" w:line="277" w:lineRule="auto"/>
        <w:tabs>
          <w:tab w:leader="none" w:pos="689"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69" w:right="479" w:bottom="1440" w:gutter="0" w:footer="0" w:header="0"/>
        </w:sectPr>
      </w:pPr>
    </w:p>
    <w:bookmarkStart w:id="485" w:name="page486"/>
    <w:bookmarkEnd w:id="485"/>
    <w:p>
      <w:pPr>
        <w:ind w:left="620" w:hanging="224"/>
        <w:spacing w:after="0"/>
        <w:tabs>
          <w:tab w:leader="none" w:pos="62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w:t>
      </w:r>
    </w:p>
    <w:p>
      <w:pPr>
        <w:spacing w:after="0" w:line="225" w:lineRule="exact"/>
        <w:rPr>
          <w:rFonts w:ascii="Arial" w:cs="Arial" w:eastAsia="Arial" w:hAnsi="Arial"/>
          <w:sz w:val="18"/>
          <w:szCs w:val="18"/>
          <w:b w:val="1"/>
          <w:bCs w:val="1"/>
          <w:color w:val="auto"/>
        </w:rPr>
      </w:pPr>
    </w:p>
    <w:p>
      <w:pPr>
        <w:ind w:left="660" w:hanging="264"/>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Lexeo Therapeutics, Inc., a Delaware corporation.</w:t>
      </w:r>
    </w:p>
    <w:p>
      <w:pPr>
        <w:spacing w:after="0" w:line="225" w:lineRule="exact"/>
        <w:rPr>
          <w:rFonts w:ascii="Arial" w:cs="Arial" w:eastAsia="Arial" w:hAnsi="Arial"/>
          <w:sz w:val="18"/>
          <w:szCs w:val="18"/>
          <w:b w:val="1"/>
          <w:bCs w:val="1"/>
          <w:color w:val="auto"/>
        </w:rPr>
      </w:pPr>
    </w:p>
    <w:p>
      <w:pPr>
        <w:ind w:left="-40" w:right="100" w:firstLine="436"/>
        <w:spacing w:after="0" w:line="259" w:lineRule="auto"/>
        <w:tabs>
          <w:tab w:leader="none" w:pos="665"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86" w:lineRule="exact"/>
        <w:rPr>
          <w:rFonts w:ascii="Arial" w:cs="Arial" w:eastAsia="Arial" w:hAnsi="Arial"/>
          <w:sz w:val="18"/>
          <w:szCs w:val="18"/>
          <w:b w:val="1"/>
          <w:bCs w:val="1"/>
          <w:color w:val="auto"/>
        </w:rPr>
      </w:pPr>
    </w:p>
    <w:p>
      <w:pPr>
        <w:ind w:left="-40" w:right="420" w:firstLine="436"/>
        <w:spacing w:after="0" w:line="277" w:lineRule="auto"/>
        <w:tabs>
          <w:tab w:leader="none" w:pos="615"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40" w:right="180" w:firstLine="987"/>
        <w:spacing w:after="0" w:line="277" w:lineRule="auto"/>
        <w:tabs>
          <w:tab w:leader="none" w:pos="1166"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220" w:hanging="273"/>
        <w:spacing w:after="0"/>
        <w:tabs>
          <w:tab w:leader="none" w:pos="1220"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260" w:hanging="313"/>
        <w:spacing w:after="0"/>
        <w:tabs>
          <w:tab w:leader="none" w:pos="1260"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left="-40" w:right="200" w:firstLine="987"/>
        <w:spacing w:after="0" w:line="263" w:lineRule="auto"/>
        <w:tabs>
          <w:tab w:leader="none" w:pos="1256"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620" w:hanging="224"/>
        <w:spacing w:after="0"/>
        <w:tabs>
          <w:tab w:leader="none" w:pos="62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40" w:right="260" w:firstLine="436"/>
        <w:spacing w:after="0" w:line="342" w:lineRule="auto"/>
        <w:tabs>
          <w:tab w:leader="none" w:pos="665" w:val="left"/>
        </w:tabs>
        <w:numPr>
          <w:ilvl w:val="0"/>
          <w:numId w:val="39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40" w:right="400" w:firstLine="436"/>
        <w:spacing w:after="0" w:line="263" w:lineRule="auto"/>
        <w:tabs>
          <w:tab w:leader="none" w:pos="615"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40" w:firstLine="436"/>
        <w:spacing w:after="0" w:line="277" w:lineRule="auto"/>
        <w:tabs>
          <w:tab w:leader="none" w:pos="715"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660" w:hanging="264"/>
        <w:spacing w:after="0"/>
        <w:tabs>
          <w:tab w:leader="none" w:pos="660" w:val="left"/>
        </w:tabs>
        <w:numPr>
          <w:ilvl w:val="0"/>
          <w:numId w:val="39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660" w:hanging="264"/>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3" w:right="499" w:bottom="1440" w:gutter="0" w:footer="0" w:header="0"/>
        </w:sectPr>
      </w:pPr>
    </w:p>
    <w:bookmarkStart w:id="486" w:name="page487"/>
    <w:bookmarkEnd w:id="486"/>
    <w:p>
      <w:pPr>
        <w:ind w:right="100" w:firstLine="987"/>
        <w:spacing w:after="0" w:line="296" w:lineRule="auto"/>
        <w:tabs>
          <w:tab w:leader="none" w:pos="1206" w:val="left"/>
        </w:tabs>
        <w:numPr>
          <w:ilvl w:val="1"/>
          <w:numId w:val="39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right="660" w:firstLine="987"/>
        <w:spacing w:after="0" w:line="277" w:lineRule="auto"/>
        <w:tabs>
          <w:tab w:leader="none" w:pos="1256"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70" w:lineRule="exact"/>
        <w:rPr>
          <w:rFonts w:ascii="Arial" w:cs="Arial" w:eastAsia="Arial" w:hAnsi="Arial"/>
          <w:sz w:val="18"/>
          <w:szCs w:val="18"/>
          <w:b w:val="1"/>
          <w:bCs w:val="1"/>
          <w:color w:val="auto"/>
        </w:rPr>
      </w:pPr>
    </w:p>
    <w:p>
      <w:pPr>
        <w:ind w:right="140" w:firstLine="987"/>
        <w:spacing w:after="0" w:line="263" w:lineRule="auto"/>
        <w:tabs>
          <w:tab w:leader="none" w:pos="1306"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3" w:lineRule="exact"/>
        <w:rPr>
          <w:rFonts w:ascii="Arial" w:cs="Arial" w:eastAsia="Arial" w:hAnsi="Arial"/>
          <w:sz w:val="18"/>
          <w:szCs w:val="18"/>
          <w:b w:val="1"/>
          <w:bCs w:val="1"/>
          <w:color w:val="auto"/>
        </w:rPr>
      </w:pPr>
    </w:p>
    <w:p>
      <w:pPr>
        <w:ind w:firstLine="436"/>
        <w:spacing w:after="0" w:line="277" w:lineRule="auto"/>
        <w:tabs>
          <w:tab w:leader="none" w:pos="70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0" w:lineRule="exact"/>
        <w:rPr>
          <w:rFonts w:ascii="Arial" w:cs="Arial" w:eastAsia="Arial" w:hAnsi="Arial"/>
          <w:sz w:val="18"/>
          <w:szCs w:val="18"/>
          <w:b w:val="1"/>
          <w:bCs w:val="1"/>
          <w:color w:val="auto"/>
        </w:rPr>
      </w:pPr>
    </w:p>
    <w:p>
      <w:pPr>
        <w:jc w:val="both"/>
        <w:ind w:right="160" w:firstLine="436"/>
        <w:spacing w:after="0" w:line="263" w:lineRule="auto"/>
        <w:tabs>
          <w:tab w:leader="none" w:pos="70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680" w:hanging="244"/>
        <w:spacing w:after="0"/>
        <w:tabs>
          <w:tab w:leader="none" w:pos="68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39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8" w:lineRule="exact"/>
        <w:rPr>
          <w:rFonts w:ascii="Arial" w:cs="Arial" w:eastAsia="Arial" w:hAnsi="Arial"/>
          <w:sz w:val="16"/>
          <w:szCs w:val="16"/>
          <w:b w:val="1"/>
          <w:bCs w:val="1"/>
          <w:color w:val="auto"/>
        </w:rPr>
      </w:pPr>
    </w:p>
    <w:p>
      <w:pPr>
        <w:ind w:left="660" w:hanging="224"/>
        <w:spacing w:after="0"/>
        <w:tabs>
          <w:tab w:leader="none" w:pos="66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Lexeo Therapeutics, Inc. Employee Stock Purchase Plan, as amended from time to time.</w:t>
      </w:r>
    </w:p>
    <w:p>
      <w:pPr>
        <w:spacing w:after="0" w:line="225" w:lineRule="exact"/>
        <w:rPr>
          <w:rFonts w:ascii="Arial" w:cs="Arial" w:eastAsia="Arial" w:hAnsi="Arial"/>
          <w:sz w:val="18"/>
          <w:szCs w:val="18"/>
          <w:b w:val="1"/>
          <w:bCs w:val="1"/>
          <w:color w:val="auto"/>
        </w:rPr>
      </w:pPr>
    </w:p>
    <w:p>
      <w:pPr>
        <w:ind w:right="40" w:firstLine="436"/>
        <w:spacing w:after="0" w:line="277" w:lineRule="auto"/>
        <w:tabs>
          <w:tab w:leader="none" w:pos="69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right="80" w:firstLine="436"/>
        <w:spacing w:after="0" w:line="277" w:lineRule="auto"/>
        <w:tabs>
          <w:tab w:leader="none" w:pos="73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right="40" w:firstLine="436"/>
        <w:spacing w:after="0" w:line="277" w:lineRule="auto"/>
        <w:tabs>
          <w:tab w:leader="none" w:pos="69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680" w:hanging="244"/>
        <w:spacing w:after="0"/>
        <w:tabs>
          <w:tab w:leader="none" w:pos="68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487" w:name="page488"/>
    <w:bookmarkEnd w:id="487"/>
    <w:p>
      <w:pPr>
        <w:ind w:left="-60" w:firstLine="436"/>
        <w:spacing w:after="0" w:line="342" w:lineRule="auto"/>
        <w:tabs>
          <w:tab w:leader="none" w:pos="725" w:val="left"/>
        </w:tabs>
        <w:numPr>
          <w:ilvl w:val="0"/>
          <w:numId w:val="3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3" w:right="499"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172085</wp:posOffset>
            </wp:positionV>
            <wp:extent cx="805815" cy="3257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5">
                      <a:extLst>
                        <a:ext uri="{28A0092B-C50C-407E-A947-70E740481C1C}"/>
                      </a:extLst>
                    </a:blip>
                    <a:srcRect/>
                    <a:stretch>
                      <a:fillRect/>
                    </a:stretch>
                  </pic:blipFill>
                  <pic:spPr bwMode="auto">
                    <a:xfrm>
                      <a:off x="0" y="0"/>
                      <a:ext cx="805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New York, NY 10154-0102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consent to the use of our audit report dated March 31, 2023, with respect to the consolidated financial statements of Lexeo Therapeutics, Inc., included herein, and to the reference to our firm under the heading “Experts” in the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2023</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KPMG LLP, a Delaware limited liability partnership and a member firm of</w:t>
      </w:r>
    </w:p>
    <w:p>
      <w:pPr>
        <w:jc w:val="center"/>
        <w:spacing w:after="0" w:line="221" w:lineRule="auto"/>
        <w:rPr>
          <w:sz w:val="20"/>
          <w:szCs w:val="20"/>
          <w:color w:val="auto"/>
        </w:rPr>
      </w:pPr>
      <w:r>
        <w:rPr>
          <w:rFonts w:ascii="Arial" w:cs="Arial" w:eastAsia="Arial" w:hAnsi="Arial"/>
          <w:sz w:val="14"/>
          <w:szCs w:val="14"/>
          <w:color w:val="auto"/>
        </w:rPr>
        <w:t>the KPMG global organization of independent member firms affiliated with</w:t>
      </w:r>
    </w:p>
    <w:p>
      <w:pPr>
        <w:jc w:val="center"/>
        <w:spacing w:after="0"/>
        <w:rPr>
          <w:sz w:val="20"/>
          <w:szCs w:val="20"/>
          <w:color w:val="auto"/>
        </w:rPr>
      </w:pPr>
      <w:r>
        <w:rPr>
          <w:rFonts w:ascii="Arial" w:cs="Arial" w:eastAsia="Arial" w:hAnsi="Arial"/>
          <w:sz w:val="14"/>
          <w:szCs w:val="14"/>
          <w:color w:val="auto"/>
        </w:rPr>
        <w:t>KPMG International Limited, a private English company limited by guarantee.</w:t>
      </w:r>
    </w:p>
    <w:p>
      <w:pPr>
        <w:sectPr>
          <w:pgSz w:w="11900" w:h="16838" w:orient="portrait"/>
          <w:cols w:equalWidth="0" w:num="1">
            <w:col w:w="11020"/>
          </w:cols>
          <w:pgMar w:left="440" w:top="121" w:right="43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Lexeo 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20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Fee</w:t>
            </w:r>
          </w:p>
        </w:tc>
        <w:tc>
          <w:tcPr>
            <w:tcW w:w="10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54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Security</w:t>
            </w:r>
          </w:p>
        </w:tc>
        <w:tc>
          <w:tcPr>
            <w:tcW w:w="10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540" w:type="dxa"/>
            <w:vAlign w:val="bottom"/>
            <w:tcBorders>
              <w:right w:val="single" w:sz="8" w:color="auto"/>
            </w:tcBorders>
          </w:tcPr>
          <w:p>
            <w:pPr>
              <w:jc w:val="center"/>
              <w:ind w:left="22"/>
              <w:spacing w:after="0" w:line="135" w:lineRule="exact"/>
              <w:rPr>
                <w:sz w:val="20"/>
                <w:szCs w:val="20"/>
                <w:color w:val="auto"/>
              </w:rPr>
            </w:pPr>
            <w:r>
              <w:rPr>
                <w:rFonts w:ascii="Arial" w:cs="Arial" w:eastAsia="Arial" w:hAnsi="Arial"/>
                <w:sz w:val="13"/>
                <w:szCs w:val="13"/>
                <w:b w:val="1"/>
                <w:bCs w:val="1"/>
                <w:color w:val="auto"/>
                <w:w w:val="93"/>
              </w:rPr>
              <w:t>Maximum</w:t>
            </w:r>
          </w:p>
        </w:tc>
        <w:tc>
          <w:tcPr>
            <w:tcW w:w="128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20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5"/>
              </w:rPr>
              <w:t>Security</w:t>
            </w:r>
          </w:p>
        </w:tc>
        <w:tc>
          <w:tcPr>
            <w:tcW w:w="8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3"/>
              </w:rPr>
              <w:t>Forward</w:t>
            </w:r>
          </w:p>
        </w:tc>
        <w:tc>
          <w:tcPr>
            <w:tcW w:w="1020" w:type="dxa"/>
            <w:vAlign w:val="bottom"/>
            <w:tcBorders>
              <w:right w:val="single" w:sz="8" w:color="auto"/>
            </w:tcBorders>
          </w:tcPr>
          <w:p>
            <w:pPr>
              <w:ind w:left="300"/>
              <w:spacing w:after="0" w:line="126" w:lineRule="exact"/>
              <w:rPr>
                <w:sz w:val="20"/>
                <w:szCs w:val="20"/>
                <w:color w:val="auto"/>
              </w:rPr>
            </w:pPr>
            <w:r>
              <w:rPr>
                <w:rFonts w:ascii="Arial" w:cs="Arial" w:eastAsia="Arial" w:hAnsi="Arial"/>
                <w:sz w:val="13"/>
                <w:szCs w:val="13"/>
                <w:b w:val="1"/>
                <w:bCs w:val="1"/>
                <w:color w:val="auto"/>
              </w:rPr>
              <w:t>Amount</w:t>
            </w: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8"/>
              </w:rPr>
              <w:t>Price Per</w:t>
            </w:r>
          </w:p>
        </w:tc>
        <w:tc>
          <w:tcPr>
            <w:tcW w:w="1540" w:type="dxa"/>
            <w:vAlign w:val="bottom"/>
            <w:tcBorders>
              <w:right w:val="single" w:sz="8" w:color="auto"/>
            </w:tcBorders>
          </w:tcPr>
          <w:p>
            <w:pPr>
              <w:jc w:val="center"/>
              <w:ind w:left="42"/>
              <w:spacing w:after="0" w:line="126" w:lineRule="exact"/>
              <w:rPr>
                <w:sz w:val="20"/>
                <w:szCs w:val="20"/>
                <w:color w:val="auto"/>
              </w:rPr>
            </w:pPr>
            <w:r>
              <w:rPr>
                <w:rFonts w:ascii="Arial" w:cs="Arial" w:eastAsia="Arial" w:hAnsi="Arial"/>
                <w:sz w:val="13"/>
                <w:szCs w:val="13"/>
                <w:b w:val="1"/>
                <w:bCs w:val="1"/>
                <w:color w:val="auto"/>
                <w:w w:val="83"/>
              </w:rPr>
              <w:t>Aggregate</w:t>
            </w:r>
          </w:p>
        </w:tc>
        <w:tc>
          <w:tcPr>
            <w:tcW w:w="128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ind w:right="120"/>
              <w:spacing w:after="0" w:line="126"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 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Unit(2)</w:t>
            </w:r>
          </w:p>
        </w:tc>
        <w:tc>
          <w:tcPr>
            <w:tcW w:w="154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3"/>
                <w:szCs w:val="13"/>
                <w:b w:val="1"/>
                <w:bCs w:val="1"/>
                <w:color w:val="auto"/>
                <w:w w:val="90"/>
              </w:rPr>
              <w:t>Offering Price(3)</w:t>
            </w:r>
          </w:p>
        </w:tc>
        <w:tc>
          <w:tcPr>
            <w:tcW w:w="1280" w:type="dxa"/>
            <w:vAlign w:val="bottom"/>
            <w:tcBorders>
              <w:bottom w:val="single" w:sz="8" w:color="auto"/>
              <w:right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Fee Rate</w:t>
            </w:r>
          </w:p>
        </w:tc>
        <w:tc>
          <w:tcPr>
            <w:tcW w:w="1620" w:type="dxa"/>
            <w:vAlign w:val="bottom"/>
            <w:tcBorders>
              <w:bottom w:val="single" w:sz="8" w:color="auto"/>
              <w:right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8"/>
              </w:rPr>
              <w:t>Fee(4)</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Fees to Be</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020" w:type="dxa"/>
            <w:vAlign w:val="bottom"/>
            <w:tcBorders>
              <w:right w:val="single" w:sz="8" w:color="auto"/>
            </w:tcBorders>
          </w:tcPr>
          <w:p>
            <w:pPr>
              <w:jc w:val="right"/>
              <w:ind w:right="28"/>
              <w:spacing w:after="0"/>
              <w:rPr>
                <w:sz w:val="20"/>
                <w:szCs w:val="20"/>
                <w:color w:val="auto"/>
              </w:rPr>
            </w:pPr>
            <w:r>
              <w:rPr>
                <w:rFonts w:ascii="Arial" w:cs="Arial" w:eastAsia="Arial" w:hAnsi="Arial"/>
                <w:sz w:val="18"/>
                <w:szCs w:val="18"/>
                <w:color w:val="auto"/>
                <w:w w:val="99"/>
              </w:rPr>
              <w:t>10,350,000</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$15.00</w:t>
            </w:r>
          </w:p>
        </w:tc>
        <w:tc>
          <w:tcPr>
            <w:tcW w:w="1540" w:type="dxa"/>
            <w:vAlign w:val="bottom"/>
            <w:tcBorders>
              <w:right w:val="single" w:sz="8" w:color="auto"/>
            </w:tcBorders>
          </w:tcPr>
          <w:p>
            <w:pPr>
              <w:jc w:val="right"/>
              <w:ind w:right="2"/>
              <w:spacing w:after="0"/>
              <w:rPr>
                <w:sz w:val="20"/>
                <w:szCs w:val="20"/>
                <w:color w:val="auto"/>
              </w:rPr>
            </w:pPr>
            <w:r>
              <w:rPr>
                <w:rFonts w:ascii="Arial" w:cs="Arial" w:eastAsia="Arial" w:hAnsi="Arial"/>
                <w:sz w:val="18"/>
                <w:szCs w:val="18"/>
                <w:color w:val="auto"/>
              </w:rPr>
              <w:t>$155,250,000</w:t>
            </w:r>
          </w:p>
        </w:tc>
        <w:tc>
          <w:tcPr>
            <w:tcW w:w="128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0.0001476</w:t>
            </w:r>
          </w:p>
        </w:tc>
        <w:tc>
          <w:tcPr>
            <w:tcW w:w="1620" w:type="dxa"/>
            <w:vAlign w:val="bottom"/>
            <w:tcBorders>
              <w:right w:val="single" w:sz="8" w:color="auto"/>
            </w:tcBorders>
          </w:tcPr>
          <w:p>
            <w:pPr>
              <w:jc w:val="right"/>
              <w:ind w:right="160"/>
              <w:spacing w:after="0"/>
              <w:rPr>
                <w:sz w:val="20"/>
                <w:szCs w:val="20"/>
                <w:color w:val="auto"/>
              </w:rPr>
            </w:pPr>
            <w:r>
              <w:rPr>
                <w:rFonts w:ascii="Arial" w:cs="Arial" w:eastAsia="Arial" w:hAnsi="Arial"/>
                <w:sz w:val="18"/>
                <w:szCs w:val="18"/>
                <w:color w:val="auto"/>
              </w:rPr>
              <w:t>$22,914.90</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Paid</w:t>
            </w: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par</w:t>
            </w: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value</w:t>
            </w: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 per</w:t>
            </w:r>
          </w:p>
        </w:tc>
        <w:tc>
          <w:tcPr>
            <w:tcW w:w="8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8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48"/>
              <w:spacing w:after="0"/>
              <w:rPr>
                <w:sz w:val="20"/>
                <w:szCs w:val="20"/>
                <w:color w:val="auto"/>
              </w:rPr>
            </w:pPr>
            <w:r>
              <w:rPr>
                <w:rFonts w:ascii="Arial" w:cs="Arial" w:eastAsia="Arial" w:hAnsi="Arial"/>
                <w:sz w:val="18"/>
                <w:szCs w:val="18"/>
                <w:color w:val="auto"/>
                <w:w w:val="92"/>
              </w:rPr>
              <w:t>Total Offering Amounts</w:t>
            </w:r>
          </w:p>
        </w:tc>
        <w:tc>
          <w:tcPr>
            <w:tcW w:w="7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8"/>
                <w:szCs w:val="18"/>
                <w:color w:val="auto"/>
              </w:rPr>
              <w:t>$155,250,000</w:t>
            </w:r>
          </w:p>
        </w:tc>
        <w:tc>
          <w:tcPr>
            <w:tcW w:w="128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$22,914.90</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48"/>
              <w:spacing w:after="0"/>
              <w:rPr>
                <w:sz w:val="20"/>
                <w:szCs w:val="20"/>
                <w:color w:val="auto"/>
              </w:rPr>
            </w:pPr>
            <w:r>
              <w:rPr>
                <w:rFonts w:ascii="Arial" w:cs="Arial" w:eastAsia="Arial" w:hAnsi="Arial"/>
                <w:sz w:val="18"/>
                <w:szCs w:val="18"/>
                <w:color w:val="auto"/>
                <w:w w:val="89"/>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$11,020.00(5)</w:t>
            </w:r>
          </w:p>
        </w:tc>
        <w:tc>
          <w:tcPr>
            <w:tcW w:w="0" w:type="dxa"/>
            <w:vAlign w:val="bottom"/>
          </w:tcPr>
          <w:p>
            <w:pPr>
              <w:spacing w:after="0"/>
              <w:rPr>
                <w:sz w:val="1"/>
                <w:szCs w:val="1"/>
                <w:color w:val="auto"/>
              </w:rPr>
            </w:pPr>
          </w:p>
        </w:tc>
      </w:tr>
      <w:tr>
        <w:trPr>
          <w:trHeight w:val="236"/>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8"/>
                <w:szCs w:val="18"/>
                <w:color w:val="auto"/>
                <w:w w:val="89"/>
              </w:rPr>
              <w:t>Total Fee Offsets</w:t>
            </w:r>
          </w:p>
        </w:tc>
        <w:tc>
          <w:tcPr>
            <w:tcW w:w="10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8"/>
                <w:szCs w:val="18"/>
                <w:color w:val="auto"/>
                <w:w w:val="90"/>
              </w:rPr>
              <w:t>Net Fee Due</w:t>
            </w:r>
          </w:p>
        </w:tc>
        <w:tc>
          <w:tcPr>
            <w:tcW w:w="10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$11,894.90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Includes 1,350,000 shares that the underwriters have the option to purchase.</w:t>
      </w:r>
    </w:p>
    <w:p>
      <w:pPr>
        <w:spacing w:after="0" w:line="23" w:lineRule="exact"/>
        <w:rPr>
          <w:rFonts w:ascii="Arial" w:cs="Arial" w:eastAsia="Arial" w:hAnsi="Arial"/>
          <w:sz w:val="18"/>
          <w:szCs w:val="18"/>
          <w:color w:val="auto"/>
        </w:rPr>
      </w:pPr>
    </w:p>
    <w:p>
      <w:pPr>
        <w:ind w:left="424" w:right="80" w:hanging="424"/>
        <w:spacing w:after="0" w:line="250" w:lineRule="auto"/>
        <w:tabs>
          <w:tab w:leader="none" w:pos="42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in accordance with Rule 457(o) under the Securities Act of 1933, as amended, or the Securities Act.</w:t>
      </w:r>
    </w:p>
    <w:p>
      <w:pPr>
        <w:ind w:left="424" w:hanging="424"/>
        <w:spacing w:after="0"/>
        <w:tabs>
          <w:tab w:leader="none" w:pos="42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aggregate offering price includes 1,350,000 shares that the underwriters have the option to purchase.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0"/>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based on an estimate of the proposed maximum aggregate offering price.</w:t>
      </w:r>
    </w:p>
    <w:p>
      <w:pPr>
        <w:spacing w:after="0" w:line="20" w:lineRule="exact"/>
        <w:rPr>
          <w:rFonts w:ascii="Arial" w:cs="Arial" w:eastAsia="Arial" w:hAnsi="Arial"/>
          <w:sz w:val="17"/>
          <w:szCs w:val="17"/>
          <w:color w:val="auto"/>
        </w:rPr>
      </w:pPr>
    </w:p>
    <w:p>
      <w:pPr>
        <w:ind w:left="424" w:right="800" w:hanging="424"/>
        <w:spacing w:after="0" w:line="260" w:lineRule="auto"/>
        <w:tabs>
          <w:tab w:leader="none" w:pos="42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Registrant previously paid a filing fee of $11,020 in connection with the initial filing of this Registration Statement on Form S-1 on September 29,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3F09D8"/>
    <w:multiLevelType w:val="hybridMultilevel"/>
    <w:lvl w:ilvl="0">
      <w:lvlJc w:val="left"/>
      <w:lvlText w:val="(%1)"/>
      <w:numFmt w:val="decimal"/>
      <w:start w:val="1"/>
    </w:lvl>
  </w:abstractNum>
  <w:abstractNum w:abstractNumId="1">
    <w:nsid w:val="4B793735"/>
    <w:multiLevelType w:val="hybridMultilevel"/>
    <w:lvl w:ilvl="0">
      <w:lvlJc w:val="left"/>
      <w:lvlText w:val="•"/>
      <w:numFmt w:val="bullet"/>
      <w:start w:val="1"/>
    </w:lvl>
  </w:abstractNum>
  <w:abstractNum w:abstractNumId="2">
    <w:nsid w:val="4A10B4E8"/>
    <w:multiLevelType w:val="hybridMultilevel"/>
    <w:lvl w:ilvl="0">
      <w:lvlJc w:val="left"/>
      <w:lvlText w:val="•"/>
      <w:numFmt w:val="bullet"/>
      <w:start w:val="1"/>
    </w:lvl>
  </w:abstractNum>
  <w:abstractNum w:abstractNumId="3">
    <w:nsid w:val="43D3BCD4"/>
    <w:multiLevelType w:val="hybridMultilevel"/>
    <w:lvl w:ilvl="0">
      <w:lvlJc w:val="left"/>
      <w:lvlText w:val="•"/>
      <w:numFmt w:val="bullet"/>
      <w:start w:val="1"/>
    </w:lvl>
  </w:abstractNum>
  <w:abstractNum w:abstractNumId="4">
    <w:nsid w:val="4C2A7166"/>
    <w:multiLevelType w:val="hybridMultilevel"/>
    <w:lvl w:ilvl="0">
      <w:lvlJc w:val="left"/>
      <w:lvlText w:val="•"/>
      <w:numFmt w:val="bullet"/>
      <w:start w:val="1"/>
    </w:lvl>
  </w:abstractNum>
  <w:abstractNum w:abstractNumId="5">
    <w:nsid w:val="2E534A82"/>
    <w:multiLevelType w:val="hybridMultilevel"/>
    <w:lvl w:ilvl="0">
      <w:lvlJc w:val="left"/>
      <w:lvlText w:val="•"/>
      <w:numFmt w:val="bullet"/>
      <w:start w:val="1"/>
    </w:lvl>
  </w:abstractNum>
  <w:abstractNum w:abstractNumId="6">
    <w:nsid w:val="26F2D364"/>
    <w:multiLevelType w:val="hybridMultilevel"/>
    <w:lvl w:ilvl="0">
      <w:lvlJc w:val="left"/>
      <w:lvlText w:val="•"/>
      <w:numFmt w:val="bullet"/>
      <w:start w:val="1"/>
    </w:lvl>
  </w:abstractNum>
  <w:abstractNum w:abstractNumId="7">
    <w:nsid w:val="71C1AF98"/>
    <w:multiLevelType w:val="hybridMultilevel"/>
    <w:lvl w:ilvl="0">
      <w:lvlJc w:val="left"/>
      <w:lvlText w:val="•"/>
      <w:numFmt w:val="bullet"/>
      <w:start w:val="1"/>
    </w:lvl>
  </w:abstractNum>
  <w:abstractNum w:abstractNumId="8">
    <w:nsid w:val="3D00B9D9"/>
    <w:multiLevelType w:val="hybridMultilevel"/>
    <w:lvl w:ilvl="0">
      <w:lvlJc w:val="left"/>
      <w:lvlText w:val="•"/>
      <w:numFmt w:val="bullet"/>
      <w:start w:val="1"/>
    </w:lvl>
  </w:abstractNum>
  <w:abstractNum w:abstractNumId="9">
    <w:nsid w:val="15BCABA8"/>
    <w:multiLevelType w:val="hybridMultilevel"/>
    <w:lvl w:ilvl="0">
      <w:lvlJc w:val="left"/>
      <w:lvlText w:val="•"/>
      <w:numFmt w:val="bullet"/>
      <w:start w:val="1"/>
    </w:lvl>
  </w:abstractNum>
  <w:abstractNum w:abstractNumId="10">
    <w:nsid w:val="4E0B9A87"/>
    <w:multiLevelType w:val="hybridMultilevel"/>
    <w:lvl w:ilvl="0">
      <w:lvlJc w:val="left"/>
      <w:lvlText w:val="•"/>
      <w:numFmt w:val="bullet"/>
      <w:start w:val="1"/>
    </w:lvl>
  </w:abstractNum>
  <w:abstractNum w:abstractNumId="11">
    <w:nsid w:val="434BAE75"/>
    <w:multiLevelType w:val="hybridMultilevel"/>
    <w:lvl w:ilvl="0">
      <w:lvlJc w:val="left"/>
      <w:lvlText w:val="•"/>
      <w:numFmt w:val="bullet"/>
      <w:start w:val="1"/>
    </w:lvl>
  </w:abstractNum>
  <w:abstractNum w:abstractNumId="12">
    <w:nsid w:val="4F38F265"/>
    <w:multiLevelType w:val="hybridMultilevel"/>
    <w:lvl w:ilvl="0">
      <w:lvlJc w:val="left"/>
      <w:lvlText w:val="•"/>
      <w:numFmt w:val="bullet"/>
      <w:start w:val="1"/>
    </w:lvl>
  </w:abstractNum>
  <w:abstractNum w:abstractNumId="13">
    <w:nsid w:val="4C502870"/>
    <w:multiLevelType w:val="hybridMultilevel"/>
    <w:lvl w:ilvl="0">
      <w:lvlJc w:val="left"/>
      <w:lvlText w:val="•"/>
      <w:numFmt w:val="bullet"/>
      <w:start w:val="1"/>
    </w:lvl>
  </w:abstractNum>
  <w:abstractNum w:abstractNumId="14">
    <w:nsid w:val="1DE8725A"/>
    <w:multiLevelType w:val="hybridMultilevel"/>
    <w:lvl w:ilvl="0">
      <w:lvlJc w:val="left"/>
      <w:lvlText w:val="•"/>
      <w:numFmt w:val="bullet"/>
      <w:start w:val="1"/>
    </w:lvl>
  </w:abstractNum>
  <w:abstractNum w:abstractNumId="15">
    <w:nsid w:val="6A37288A"/>
    <w:multiLevelType w:val="hybridMultilevel"/>
    <w:lvl w:ilvl="0">
      <w:lvlJc w:val="left"/>
      <w:lvlText w:val="•"/>
      <w:numFmt w:val="bullet"/>
      <w:start w:val="1"/>
    </w:lvl>
  </w:abstractNum>
  <w:abstractNum w:abstractNumId="16">
    <w:nsid w:val="8F8B73F"/>
    <w:multiLevelType w:val="hybridMultilevel"/>
    <w:lvl w:ilvl="0">
      <w:lvlJc w:val="left"/>
      <w:lvlText w:val="•"/>
      <w:numFmt w:val="bullet"/>
      <w:start w:val="1"/>
    </w:lvl>
  </w:abstractNum>
  <w:abstractNum w:abstractNumId="17">
    <w:nsid w:val="CA6B462"/>
    <w:multiLevelType w:val="hybridMultilevel"/>
    <w:lvl w:ilvl="0">
      <w:lvlJc w:val="left"/>
      <w:lvlText w:val="(%1)"/>
      <w:numFmt w:val="decimal"/>
      <w:start w:val="1"/>
    </w:lvl>
  </w:abstractNum>
  <w:abstractNum w:abstractNumId="18">
    <w:nsid w:val="763CB680"/>
    <w:multiLevelType w:val="hybridMultilevel"/>
    <w:lvl w:ilvl="0">
      <w:lvlJc w:val="left"/>
      <w:lvlText w:val="(%1)"/>
      <w:numFmt w:val="decimal"/>
      <w:start w:val="1"/>
    </w:lvl>
  </w:abstractNum>
  <w:abstractNum w:abstractNumId="19">
    <w:nsid w:val="15B71329"/>
    <w:multiLevelType w:val="hybridMultilevel"/>
    <w:lvl w:ilvl="0">
      <w:lvlJc w:val="left"/>
      <w:lvlText w:val=" "/>
      <w:numFmt w:val="bullet"/>
      <w:start w:val="1"/>
    </w:lvl>
  </w:abstractNum>
  <w:abstractNum w:abstractNumId="20">
    <w:nsid w:val="3DA97044"/>
    <w:multiLevelType w:val="hybridMultilevel"/>
    <w:lvl w:ilvl="0">
      <w:lvlJc w:val="left"/>
      <w:lvlText w:val="(%1)"/>
      <w:numFmt w:val="decimal"/>
      <w:start w:val="3"/>
    </w:lvl>
  </w:abstractNum>
  <w:abstractNum w:abstractNumId="21">
    <w:nsid w:val="1CDCE2DE"/>
    <w:multiLevelType w:val="hybridMultilevel"/>
    <w:lvl w:ilvl="0">
      <w:lvlJc w:val="left"/>
      <w:lvlText w:val="•"/>
      <w:numFmt w:val="bullet"/>
      <w:start w:val="1"/>
    </w:lvl>
  </w:abstractNum>
  <w:abstractNum w:abstractNumId="22">
    <w:nsid w:val="69D3947C"/>
    <w:multiLevelType w:val="hybridMultilevel"/>
    <w:lvl w:ilvl="0">
      <w:lvlJc w:val="left"/>
      <w:lvlText w:val="•"/>
      <w:numFmt w:val="bullet"/>
      <w:start w:val="1"/>
    </w:lvl>
  </w:abstractNum>
  <w:abstractNum w:abstractNumId="23">
    <w:nsid w:val="2539DFA5"/>
    <w:multiLevelType w:val="hybridMultilevel"/>
    <w:lvl w:ilvl="0">
      <w:lvlJc w:val="left"/>
      <w:lvlText w:val="•"/>
      <w:numFmt w:val="bullet"/>
      <w:start w:val="1"/>
    </w:lvl>
  </w:abstractNum>
  <w:abstractNum w:abstractNumId="24">
    <w:nsid w:val="2DB88089"/>
    <w:multiLevelType w:val="hybridMultilevel"/>
    <w:lvl w:ilvl="0">
      <w:lvlJc w:val="left"/>
      <w:lvlText w:val="•"/>
      <w:numFmt w:val="bullet"/>
      <w:start w:val="1"/>
    </w:lvl>
  </w:abstractNum>
  <w:abstractNum w:abstractNumId="25">
    <w:nsid w:val="706B674E"/>
    <w:multiLevelType w:val="hybridMultilevel"/>
    <w:lvl w:ilvl="0">
      <w:lvlJc w:val="left"/>
      <w:lvlText w:val="•"/>
      <w:numFmt w:val="bullet"/>
      <w:start w:val="1"/>
    </w:lvl>
  </w:abstractNum>
  <w:abstractNum w:abstractNumId="26">
    <w:nsid w:val="2C106A57"/>
    <w:multiLevelType w:val="hybridMultilevel"/>
    <w:lvl w:ilvl="0">
      <w:lvlJc w:val="left"/>
      <w:lvlText w:val="•"/>
      <w:numFmt w:val="bullet"/>
      <w:start w:val="1"/>
    </w:lvl>
  </w:abstractNum>
  <w:abstractNum w:abstractNumId="27">
    <w:nsid w:val="684EED59"/>
    <w:multiLevelType w:val="hybridMultilevel"/>
    <w:lvl w:ilvl="0">
      <w:lvlJc w:val="left"/>
      <w:lvlText w:val="•"/>
      <w:numFmt w:val="bullet"/>
      <w:start w:val="1"/>
    </w:lvl>
  </w:abstractNum>
  <w:abstractNum w:abstractNumId="28">
    <w:nsid w:val="545EE5D3"/>
    <w:multiLevelType w:val="hybridMultilevel"/>
    <w:lvl w:ilvl="0">
      <w:lvlJc w:val="left"/>
      <w:lvlText w:val="•"/>
      <w:numFmt w:val="bullet"/>
      <w:start w:val="1"/>
    </w:lvl>
  </w:abstractNum>
  <w:abstractNum w:abstractNumId="29">
    <w:nsid w:val="4A66051"/>
    <w:multiLevelType w:val="hybridMultilevel"/>
    <w:lvl w:ilvl="0">
      <w:lvlJc w:val="left"/>
      <w:lvlText w:val="•"/>
      <w:numFmt w:val="bullet"/>
      <w:start w:val="1"/>
    </w:lvl>
  </w:abstractNum>
  <w:abstractNum w:abstractNumId="30">
    <w:nsid w:val="20F4BDAD"/>
    <w:multiLevelType w:val="hybridMultilevel"/>
    <w:lvl w:ilvl="0">
      <w:lvlJc w:val="left"/>
      <w:lvlText w:val="•"/>
      <w:numFmt w:val="bullet"/>
      <w:start w:val="1"/>
    </w:lvl>
  </w:abstractNum>
  <w:abstractNum w:abstractNumId="31">
    <w:nsid w:val="639DEFAC"/>
    <w:multiLevelType w:val="hybridMultilevel"/>
    <w:lvl w:ilvl="0">
      <w:lvlJc w:val="left"/>
      <w:lvlText w:val="•"/>
      <w:numFmt w:val="bullet"/>
      <w:start w:val="1"/>
    </w:lvl>
  </w:abstractNum>
  <w:abstractNum w:abstractNumId="32">
    <w:nsid w:val="501F9786"/>
    <w:multiLevelType w:val="hybridMultilevel"/>
    <w:lvl w:ilvl="0">
      <w:lvlJc w:val="left"/>
      <w:lvlText w:val="•"/>
      <w:numFmt w:val="bullet"/>
      <w:start w:val="1"/>
    </w:lvl>
  </w:abstractNum>
  <w:abstractNum w:abstractNumId="33">
    <w:nsid w:val="6B057295"/>
    <w:multiLevelType w:val="hybridMultilevel"/>
    <w:lvl w:ilvl="0">
      <w:lvlJc w:val="left"/>
      <w:lvlText w:val="•"/>
      <w:numFmt w:val="bullet"/>
      <w:start w:val="1"/>
    </w:lvl>
  </w:abstractNum>
  <w:abstractNum w:abstractNumId="34">
    <w:nsid w:val="2771AC80"/>
    <w:multiLevelType w:val="hybridMultilevel"/>
    <w:lvl w:ilvl="0">
      <w:lvlJc w:val="left"/>
      <w:lvlText w:val="•"/>
      <w:numFmt w:val="bullet"/>
      <w:start w:val="1"/>
    </w:lvl>
  </w:abstractNum>
  <w:abstractNum w:abstractNumId="35">
    <w:nsid w:val="1C4A08EC"/>
    <w:multiLevelType w:val="hybridMultilevel"/>
    <w:lvl w:ilvl="0">
      <w:lvlJc w:val="left"/>
      <w:lvlText w:val="•"/>
      <w:numFmt w:val="bullet"/>
      <w:start w:val="1"/>
    </w:lvl>
  </w:abstractNum>
  <w:abstractNum w:abstractNumId="36">
    <w:nsid w:val="1958BD17"/>
    <w:multiLevelType w:val="hybridMultilevel"/>
    <w:lvl w:ilvl="0">
      <w:lvlJc w:val="left"/>
      <w:lvlText w:val="•"/>
      <w:numFmt w:val="bullet"/>
      <w:start w:val="1"/>
    </w:lvl>
  </w:abstractNum>
  <w:abstractNum w:abstractNumId="37">
    <w:nsid w:val="4E647FE4"/>
    <w:multiLevelType w:val="hybridMultilevel"/>
    <w:lvl w:ilvl="0">
      <w:lvlJc w:val="left"/>
      <w:lvlText w:val="•"/>
      <w:numFmt w:val="bullet"/>
      <w:start w:val="1"/>
    </w:lvl>
  </w:abstractNum>
  <w:abstractNum w:abstractNumId="38">
    <w:nsid w:val="E0BB885"/>
    <w:multiLevelType w:val="hybridMultilevel"/>
    <w:lvl w:ilvl="0">
      <w:lvlJc w:val="left"/>
      <w:lvlText w:val="•"/>
      <w:numFmt w:val="bullet"/>
      <w:start w:val="1"/>
    </w:lvl>
  </w:abstractNum>
  <w:abstractNum w:abstractNumId="39">
    <w:nsid w:val="565976F1"/>
    <w:multiLevelType w:val="hybridMultilevel"/>
    <w:lvl w:ilvl="0">
      <w:lvlJc w:val="left"/>
      <w:lvlText w:val="•"/>
      <w:numFmt w:val="bullet"/>
      <w:start w:val="1"/>
    </w:lvl>
  </w:abstractNum>
  <w:abstractNum w:abstractNumId="40">
    <w:nsid w:val="64212B8C"/>
    <w:multiLevelType w:val="hybridMultilevel"/>
    <w:lvl w:ilvl="0">
      <w:lvlJc w:val="left"/>
      <w:lvlText w:val="•"/>
      <w:numFmt w:val="bullet"/>
      <w:start w:val="1"/>
    </w:lvl>
  </w:abstractNum>
  <w:abstractNum w:abstractNumId="41">
    <w:nsid w:val="5C17530C"/>
    <w:multiLevelType w:val="hybridMultilevel"/>
    <w:lvl w:ilvl="0">
      <w:lvlJc w:val="left"/>
      <w:lvlText w:val="•"/>
      <w:numFmt w:val="bullet"/>
      <w:start w:val="1"/>
    </w:lvl>
  </w:abstractNum>
  <w:abstractNum w:abstractNumId="42">
    <w:nsid w:val="19A52566"/>
    <w:multiLevelType w:val="hybridMultilevel"/>
    <w:lvl w:ilvl="0">
      <w:lvlJc w:val="left"/>
      <w:lvlText w:val="•"/>
      <w:numFmt w:val="bullet"/>
      <w:start w:val="1"/>
    </w:lvl>
  </w:abstractNum>
  <w:abstractNum w:abstractNumId="43">
    <w:nsid w:val="335A1DF1"/>
    <w:multiLevelType w:val="hybridMultilevel"/>
    <w:lvl w:ilvl="0">
      <w:lvlJc w:val="left"/>
      <w:lvlText w:val="•"/>
      <w:numFmt w:val="bullet"/>
      <w:start w:val="1"/>
    </w:lvl>
  </w:abstractNum>
  <w:abstractNum w:abstractNumId="44">
    <w:nsid w:val="28677B7C"/>
    <w:multiLevelType w:val="hybridMultilevel"/>
    <w:lvl w:ilvl="0">
      <w:lvlJc w:val="left"/>
      <w:lvlText w:val="•"/>
      <w:numFmt w:val="bullet"/>
      <w:start w:val="1"/>
    </w:lvl>
  </w:abstractNum>
  <w:abstractNum w:abstractNumId="45">
    <w:nsid w:val="378D97C0"/>
    <w:multiLevelType w:val="hybridMultilevel"/>
    <w:lvl w:ilvl="0">
      <w:lvlJc w:val="left"/>
      <w:lvlText w:val="•"/>
      <w:numFmt w:val="bullet"/>
      <w:start w:val="1"/>
    </w:lvl>
  </w:abstractNum>
  <w:abstractNum w:abstractNumId="46">
    <w:nsid w:val="1D91467C"/>
    <w:multiLevelType w:val="hybridMultilevel"/>
    <w:lvl w:ilvl="0">
      <w:lvlJc w:val="left"/>
      <w:lvlText w:val="•"/>
      <w:numFmt w:val="bullet"/>
      <w:start w:val="1"/>
    </w:lvl>
  </w:abstractNum>
  <w:abstractNum w:abstractNumId="47">
    <w:nsid w:val="316032BB"/>
    <w:multiLevelType w:val="hybridMultilevel"/>
    <w:lvl w:ilvl="0">
      <w:lvlJc w:val="left"/>
      <w:lvlText w:val="•"/>
      <w:numFmt w:val="bullet"/>
      <w:start w:val="1"/>
    </w:lvl>
  </w:abstractNum>
  <w:abstractNum w:abstractNumId="48">
    <w:nsid w:val="44344C22"/>
    <w:multiLevelType w:val="hybridMultilevel"/>
    <w:lvl w:ilvl="0">
      <w:lvlJc w:val="left"/>
      <w:lvlText w:val="•"/>
      <w:numFmt w:val="bullet"/>
      <w:start w:val="1"/>
    </w:lvl>
  </w:abstractNum>
  <w:abstractNum w:abstractNumId="49">
    <w:nsid w:val="13CDFCFC"/>
    <w:multiLevelType w:val="hybridMultilevel"/>
    <w:lvl w:ilvl="0">
      <w:lvlJc w:val="left"/>
      <w:lvlText w:val="•"/>
      <w:numFmt w:val="bullet"/>
      <w:start w:val="1"/>
    </w:lvl>
  </w:abstractNum>
  <w:abstractNum w:abstractNumId="50">
    <w:nsid w:val="471745E4"/>
    <w:multiLevelType w:val="hybridMultilevel"/>
    <w:lvl w:ilvl="0">
      <w:lvlJc w:val="left"/>
      <w:lvlText w:val="•"/>
      <w:numFmt w:val="bullet"/>
      <w:start w:val="1"/>
    </w:lvl>
  </w:abstractNum>
  <w:abstractNum w:abstractNumId="51">
    <w:nsid w:val="1DDBC66"/>
    <w:multiLevelType w:val="hybridMultilevel"/>
    <w:lvl w:ilvl="0">
      <w:lvlJc w:val="left"/>
      <w:lvlText w:val="•"/>
      <w:numFmt w:val="bullet"/>
      <w:start w:val="1"/>
    </w:lvl>
  </w:abstractNum>
  <w:abstractNum w:abstractNumId="52">
    <w:nsid w:val="30AADFDA"/>
    <w:multiLevelType w:val="hybridMultilevel"/>
    <w:lvl w:ilvl="0">
      <w:lvlJc w:val="left"/>
      <w:lvlText w:val="•"/>
      <w:numFmt w:val="bullet"/>
      <w:start w:val="1"/>
    </w:lvl>
  </w:abstractNum>
  <w:abstractNum w:abstractNumId="53">
    <w:nsid w:val="30EADA61"/>
    <w:multiLevelType w:val="hybridMultilevel"/>
    <w:lvl w:ilvl="0">
      <w:lvlJc w:val="left"/>
      <w:lvlText w:val="•"/>
      <w:numFmt w:val="bullet"/>
      <w:start w:val="1"/>
    </w:lvl>
  </w:abstractNum>
  <w:abstractNum w:abstractNumId="54">
    <w:nsid w:val="27179C0B"/>
    <w:multiLevelType w:val="hybridMultilevel"/>
    <w:lvl w:ilvl="0">
      <w:lvlJc w:val="left"/>
      <w:lvlText w:val="•"/>
      <w:numFmt w:val="bullet"/>
      <w:start w:val="1"/>
    </w:lvl>
  </w:abstractNum>
  <w:abstractNum w:abstractNumId="55">
    <w:nsid w:val="5E636063"/>
    <w:multiLevelType w:val="hybridMultilevel"/>
    <w:lvl w:ilvl="0">
      <w:lvlJc w:val="left"/>
      <w:lvlText w:val="•"/>
      <w:numFmt w:val="bullet"/>
      <w:start w:val="1"/>
    </w:lvl>
  </w:abstractNum>
  <w:abstractNum w:abstractNumId="56">
    <w:nsid w:val="215641AF"/>
    <w:multiLevelType w:val="hybridMultilevel"/>
    <w:lvl w:ilvl="0">
      <w:lvlJc w:val="left"/>
      <w:lvlText w:val="•"/>
      <w:numFmt w:val="bullet"/>
      <w:start w:val="1"/>
    </w:lvl>
  </w:abstractNum>
  <w:abstractNum w:abstractNumId="57">
    <w:nsid w:val="53280662"/>
    <w:multiLevelType w:val="hybridMultilevel"/>
    <w:lvl w:ilvl="0">
      <w:lvlJc w:val="left"/>
      <w:lvlText w:val="•"/>
      <w:numFmt w:val="bullet"/>
      <w:start w:val="1"/>
    </w:lvl>
  </w:abstractNum>
  <w:abstractNum w:abstractNumId="58">
    <w:nsid w:val="46B24DBC"/>
    <w:multiLevelType w:val="hybridMultilevel"/>
    <w:lvl w:ilvl="0">
      <w:lvlJc w:val="left"/>
      <w:lvlText w:val="•"/>
      <w:numFmt w:val="bullet"/>
      <w:start w:val="1"/>
    </w:lvl>
  </w:abstractNum>
  <w:abstractNum w:abstractNumId="59">
    <w:nsid w:val="75B52783"/>
    <w:multiLevelType w:val="hybridMultilevel"/>
    <w:lvl w:ilvl="0">
      <w:lvlJc w:val="left"/>
      <w:lvlText w:val="•"/>
      <w:numFmt w:val="bullet"/>
      <w:start w:val="1"/>
    </w:lvl>
  </w:abstractNum>
  <w:abstractNum w:abstractNumId="60">
    <w:nsid w:val="57CE66B4"/>
    <w:multiLevelType w:val="hybridMultilevel"/>
    <w:lvl w:ilvl="0">
      <w:lvlJc w:val="left"/>
      <w:lvlText w:val="•"/>
      <w:numFmt w:val="bullet"/>
      <w:start w:val="1"/>
    </w:lvl>
  </w:abstractNum>
  <w:abstractNum w:abstractNumId="61">
    <w:nsid w:val="67A70B69"/>
    <w:multiLevelType w:val="hybridMultilevel"/>
    <w:lvl w:ilvl="0">
      <w:lvlJc w:val="left"/>
      <w:lvlText w:val="•"/>
      <w:numFmt w:val="bullet"/>
      <w:start w:val="1"/>
    </w:lvl>
  </w:abstractNum>
  <w:abstractNum w:abstractNumId="62">
    <w:nsid w:val="5953172F"/>
    <w:multiLevelType w:val="hybridMultilevel"/>
    <w:lvl w:ilvl="0">
      <w:lvlJc w:val="left"/>
      <w:lvlText w:val="•"/>
      <w:numFmt w:val="bullet"/>
      <w:start w:val="1"/>
    </w:lvl>
  </w:abstractNum>
  <w:abstractNum w:abstractNumId="63">
    <w:nsid w:val="27EDFE3A"/>
    <w:multiLevelType w:val="hybridMultilevel"/>
    <w:lvl w:ilvl="0">
      <w:lvlJc w:val="left"/>
      <w:lvlText w:val="•"/>
      <w:numFmt w:val="bullet"/>
      <w:start w:val="1"/>
    </w:lvl>
  </w:abstractNum>
  <w:abstractNum w:abstractNumId="64">
    <w:nsid w:val="52AC7DFF"/>
    <w:multiLevelType w:val="hybridMultilevel"/>
    <w:lvl w:ilvl="0">
      <w:lvlJc w:val="left"/>
      <w:lvlText w:val="•"/>
      <w:numFmt w:val="bullet"/>
      <w:start w:val="1"/>
    </w:lvl>
  </w:abstractNum>
  <w:abstractNum w:abstractNumId="65">
    <w:nsid w:val="C4C3AF"/>
    <w:multiLevelType w:val="hybridMultilevel"/>
    <w:lvl w:ilvl="0">
      <w:lvlJc w:val="left"/>
      <w:lvlText w:val="•"/>
      <w:numFmt w:val="bullet"/>
      <w:start w:val="1"/>
    </w:lvl>
  </w:abstractNum>
  <w:abstractNum w:abstractNumId="66">
    <w:nsid w:val="44380727"/>
    <w:multiLevelType w:val="hybridMultilevel"/>
    <w:lvl w:ilvl="0">
      <w:lvlJc w:val="left"/>
      <w:lvlText w:val="•"/>
      <w:numFmt w:val="bullet"/>
      <w:start w:val="1"/>
    </w:lvl>
  </w:abstractNum>
  <w:abstractNum w:abstractNumId="67">
    <w:nsid w:val="6C053B16"/>
    <w:multiLevelType w:val="hybridMultilevel"/>
    <w:lvl w:ilvl="0">
      <w:lvlJc w:val="left"/>
      <w:lvlText w:val="•"/>
      <w:numFmt w:val="bullet"/>
      <w:start w:val="1"/>
    </w:lvl>
  </w:abstractNum>
  <w:abstractNum w:abstractNumId="68">
    <w:nsid w:val="4F294393"/>
    <w:multiLevelType w:val="hybridMultilevel"/>
    <w:lvl w:ilvl="0">
      <w:lvlJc w:val="left"/>
      <w:lvlText w:val="•"/>
      <w:numFmt w:val="bullet"/>
      <w:start w:val="1"/>
    </w:lvl>
  </w:abstractNum>
  <w:abstractNum w:abstractNumId="69">
    <w:nsid w:val="5243BFAC"/>
    <w:multiLevelType w:val="hybridMultilevel"/>
    <w:lvl w:ilvl="0">
      <w:lvlJc w:val="left"/>
      <w:lvlText w:val="(%1)"/>
      <w:numFmt w:val="decimal"/>
      <w:start w:val="1"/>
    </w:lvl>
  </w:abstractNum>
  <w:abstractNum w:abstractNumId="70">
    <w:nsid w:val="425EB207"/>
    <w:multiLevelType w:val="hybridMultilevel"/>
    <w:lvl w:ilvl="0">
      <w:lvlJc w:val="left"/>
      <w:lvlText w:val="•"/>
      <w:numFmt w:val="bullet"/>
      <w:start w:val="1"/>
    </w:lvl>
  </w:abstractNum>
  <w:abstractNum w:abstractNumId="71">
    <w:nsid w:val="334A6F1F"/>
    <w:multiLevelType w:val="hybridMultilevel"/>
    <w:lvl w:ilvl="0">
      <w:lvlJc w:val="left"/>
      <w:lvlText w:val="•"/>
      <w:numFmt w:val="bullet"/>
      <w:start w:val="1"/>
    </w:lvl>
  </w:abstractNum>
  <w:abstractNum w:abstractNumId="72">
    <w:nsid w:val="2E5B12B8"/>
    <w:multiLevelType w:val="hybridMultilevel"/>
    <w:lvl w:ilvl="0">
      <w:lvlJc w:val="left"/>
      <w:lvlText w:val="•"/>
      <w:numFmt w:val="bullet"/>
      <w:start w:val="1"/>
    </w:lvl>
  </w:abstractNum>
  <w:abstractNum w:abstractNumId="73">
    <w:nsid w:val="5C03D76D"/>
    <w:multiLevelType w:val="hybridMultilevel"/>
    <w:lvl w:ilvl="0">
      <w:lvlJc w:val="left"/>
      <w:lvlText w:val="•"/>
      <w:numFmt w:val="bullet"/>
      <w:start w:val="1"/>
    </w:lvl>
  </w:abstractNum>
  <w:abstractNum w:abstractNumId="74">
    <w:nsid w:val="66A48D11"/>
    <w:multiLevelType w:val="hybridMultilevel"/>
    <w:lvl w:ilvl="0">
      <w:lvlJc w:val="left"/>
      <w:lvlText w:val="•"/>
      <w:numFmt w:val="bullet"/>
      <w:start w:val="1"/>
    </w:lvl>
  </w:abstractNum>
  <w:abstractNum w:abstractNumId="75">
    <w:nsid w:val="56C28E34"/>
    <w:multiLevelType w:val="hybridMultilevel"/>
    <w:lvl w:ilvl="0">
      <w:lvlJc w:val="left"/>
      <w:lvlText w:val="•"/>
      <w:numFmt w:val="bullet"/>
      <w:start w:val="1"/>
    </w:lvl>
  </w:abstractNum>
  <w:abstractNum w:abstractNumId="76">
    <w:nsid w:val="13916F2D"/>
    <w:multiLevelType w:val="hybridMultilevel"/>
    <w:lvl w:ilvl="0">
      <w:lvlJc w:val="left"/>
      <w:lvlText w:val="•"/>
      <w:numFmt w:val="bullet"/>
      <w:start w:val="1"/>
    </w:lvl>
  </w:abstractNum>
  <w:abstractNum w:abstractNumId="77">
    <w:nsid w:val="435D38D"/>
    <w:multiLevelType w:val="hybridMultilevel"/>
    <w:lvl w:ilvl="0">
      <w:lvlJc w:val="left"/>
      <w:lvlText w:val="•"/>
      <w:numFmt w:val="bullet"/>
      <w:start w:val="1"/>
    </w:lvl>
  </w:abstractNum>
  <w:abstractNum w:abstractNumId="78">
    <w:nsid w:val="822C0EF"/>
    <w:multiLevelType w:val="hybridMultilevel"/>
    <w:lvl w:ilvl="0">
      <w:lvlJc w:val="left"/>
      <w:lvlText w:val="•"/>
      <w:numFmt w:val="bullet"/>
      <w:start w:val="1"/>
    </w:lvl>
  </w:abstractNum>
  <w:abstractNum w:abstractNumId="79">
    <w:nsid w:val="57C5BB4F"/>
    <w:multiLevelType w:val="hybridMultilevel"/>
    <w:lvl w:ilvl="0">
      <w:lvlJc w:val="left"/>
      <w:lvlText w:val="•"/>
      <w:numFmt w:val="bullet"/>
      <w:start w:val="1"/>
    </w:lvl>
  </w:abstractNum>
  <w:abstractNum w:abstractNumId="80">
    <w:nsid w:val="1803D089"/>
    <w:multiLevelType w:val="hybridMultilevel"/>
    <w:lvl w:ilvl="0">
      <w:lvlJc w:val="left"/>
      <w:lvlText w:val="•"/>
      <w:numFmt w:val="bullet"/>
      <w:start w:val="1"/>
    </w:lvl>
  </w:abstractNum>
  <w:abstractNum w:abstractNumId="81">
    <w:nsid w:val="4F3A06D4"/>
    <w:multiLevelType w:val="hybridMultilevel"/>
    <w:lvl w:ilvl="0">
      <w:lvlJc w:val="left"/>
      <w:lvlText w:val="•"/>
      <w:numFmt w:val="bullet"/>
      <w:start w:val="1"/>
    </w:lvl>
  </w:abstractNum>
  <w:abstractNum w:abstractNumId="82">
    <w:nsid w:val="59A377B6"/>
    <w:multiLevelType w:val="hybridMultilevel"/>
    <w:lvl w:ilvl="0">
      <w:lvlJc w:val="left"/>
      <w:lvlText w:val="•"/>
      <w:numFmt w:val="bullet"/>
      <w:start w:val="1"/>
    </w:lvl>
  </w:abstractNum>
  <w:abstractNum w:abstractNumId="83">
    <w:nsid w:val="48AEB063"/>
    <w:multiLevelType w:val="hybridMultilevel"/>
    <w:lvl w:ilvl="0">
      <w:lvlJc w:val="left"/>
      <w:lvlText w:val="•"/>
      <w:numFmt w:val="bullet"/>
      <w:start w:val="1"/>
    </w:lvl>
  </w:abstractNum>
  <w:abstractNum w:abstractNumId="84">
    <w:nsid w:val="24E135"/>
    <w:multiLevelType w:val="hybridMultilevel"/>
    <w:lvl w:ilvl="0">
      <w:lvlJc w:val="left"/>
      <w:lvlText w:val="•"/>
      <w:numFmt w:val="bullet"/>
      <w:start w:val="1"/>
    </w:lvl>
  </w:abstractNum>
  <w:abstractNum w:abstractNumId="85">
    <w:nsid w:val="BB13C1"/>
    <w:multiLevelType w:val="hybridMultilevel"/>
    <w:lvl w:ilvl="0">
      <w:lvlJc w:val="left"/>
      <w:lvlText w:val="•"/>
      <w:numFmt w:val="bullet"/>
      <w:start w:val="1"/>
    </w:lvl>
  </w:abstractNum>
  <w:abstractNum w:abstractNumId="86">
    <w:nsid w:val="271210C7"/>
    <w:multiLevelType w:val="hybridMultilevel"/>
    <w:lvl w:ilvl="0">
      <w:lvlJc w:val="left"/>
      <w:lvlText w:val="•"/>
      <w:numFmt w:val="bullet"/>
      <w:start w:val="1"/>
    </w:lvl>
  </w:abstractNum>
  <w:abstractNum w:abstractNumId="87">
    <w:nsid w:val="217B22E4"/>
    <w:multiLevelType w:val="hybridMultilevel"/>
    <w:lvl w:ilvl="0">
      <w:lvlJc w:val="left"/>
      <w:lvlText w:val="•"/>
      <w:numFmt w:val="bullet"/>
      <w:start w:val="1"/>
    </w:lvl>
  </w:abstractNum>
  <w:abstractNum w:abstractNumId="88">
    <w:nsid w:val="53E31A24"/>
    <w:multiLevelType w:val="hybridMultilevel"/>
    <w:lvl w:ilvl="0">
      <w:lvlJc w:val="left"/>
      <w:lvlText w:val="•"/>
      <w:numFmt w:val="bullet"/>
      <w:start w:val="1"/>
    </w:lvl>
  </w:abstractNum>
  <w:abstractNum w:abstractNumId="89">
    <w:nsid w:val="6DC45E83"/>
    <w:multiLevelType w:val="hybridMultilevel"/>
    <w:lvl w:ilvl="0">
      <w:lvlJc w:val="left"/>
      <w:lvlText w:val="•"/>
      <w:numFmt w:val="bullet"/>
      <w:start w:val="1"/>
    </w:lvl>
  </w:abstractNum>
  <w:abstractNum w:abstractNumId="90">
    <w:nsid w:val="17304A67"/>
    <w:multiLevelType w:val="hybridMultilevel"/>
    <w:lvl w:ilvl="0">
      <w:lvlJc w:val="left"/>
      <w:lvlText w:val="•"/>
      <w:numFmt w:val="bullet"/>
      <w:start w:val="1"/>
    </w:lvl>
  </w:abstractNum>
  <w:abstractNum w:abstractNumId="91">
    <w:nsid w:val="2BB180D8"/>
    <w:multiLevelType w:val="hybridMultilevel"/>
    <w:lvl w:ilvl="0">
      <w:lvlJc w:val="left"/>
      <w:lvlText w:val="•"/>
      <w:numFmt w:val="bullet"/>
      <w:start w:val="1"/>
    </w:lvl>
  </w:abstractNum>
  <w:abstractNum w:abstractNumId="92">
    <w:nsid w:val="556B69ED"/>
    <w:multiLevelType w:val="hybridMultilevel"/>
    <w:lvl w:ilvl="0">
      <w:lvlJc w:val="left"/>
      <w:lvlText w:val="•"/>
      <w:numFmt w:val="bullet"/>
      <w:start w:val="1"/>
    </w:lvl>
  </w:abstractNum>
  <w:abstractNum w:abstractNumId="93">
    <w:nsid w:val="70836196"/>
    <w:multiLevelType w:val="hybridMultilevel"/>
    <w:lvl w:ilvl="0">
      <w:lvlJc w:val="left"/>
      <w:lvlText w:val="•"/>
      <w:numFmt w:val="bullet"/>
      <w:start w:val="1"/>
    </w:lvl>
  </w:abstractNum>
  <w:abstractNum w:abstractNumId="94">
    <w:nsid w:val="539F7F12"/>
    <w:multiLevelType w:val="hybridMultilevel"/>
    <w:lvl w:ilvl="0">
      <w:lvlJc w:val="left"/>
      <w:lvlText w:val="•"/>
      <w:numFmt w:val="bullet"/>
      <w:start w:val="1"/>
    </w:lvl>
  </w:abstractNum>
  <w:abstractNum w:abstractNumId="95">
    <w:nsid w:val="2817E7EC"/>
    <w:multiLevelType w:val="hybridMultilevel"/>
    <w:lvl w:ilvl="0">
      <w:lvlJc w:val="left"/>
      <w:lvlText w:val="•"/>
      <w:numFmt w:val="bullet"/>
      <w:start w:val="1"/>
    </w:lvl>
  </w:abstractNum>
  <w:abstractNum w:abstractNumId="96">
    <w:nsid w:val="71482545"/>
    <w:multiLevelType w:val="hybridMultilevel"/>
    <w:lvl w:ilvl="0">
      <w:lvlJc w:val="left"/>
      <w:lvlText w:val="•"/>
      <w:numFmt w:val="bullet"/>
      <w:start w:val="1"/>
    </w:lvl>
  </w:abstractNum>
  <w:abstractNum w:abstractNumId="97">
    <w:nsid w:val="17D78639"/>
    <w:multiLevelType w:val="hybridMultilevel"/>
    <w:lvl w:ilvl="0">
      <w:lvlJc w:val="left"/>
      <w:lvlText w:val="•"/>
      <w:numFmt w:val="bullet"/>
      <w:start w:val="1"/>
    </w:lvl>
  </w:abstractNum>
  <w:abstractNum w:abstractNumId="98">
    <w:nsid w:val="141D2302"/>
    <w:multiLevelType w:val="hybridMultilevel"/>
    <w:lvl w:ilvl="0">
      <w:lvlJc w:val="left"/>
      <w:lvlText w:val="(%1)"/>
      <w:numFmt w:val="decimal"/>
      <w:start w:val="1"/>
    </w:lvl>
  </w:abstractNum>
  <w:abstractNum w:abstractNumId="99">
    <w:nsid w:val="407168D8"/>
    <w:multiLevelType w:val="hybridMultilevel"/>
    <w:lvl w:ilvl="0">
      <w:lvlJc w:val="left"/>
      <w:lvlText w:val="(%1)"/>
      <w:numFmt w:val="decimal"/>
      <w:start w:val="4"/>
    </w:lvl>
  </w:abstractNum>
  <w:abstractNum w:abstractNumId="100">
    <w:nsid w:val="6A1B45E5"/>
    <w:multiLevelType w:val="hybridMultilevel"/>
    <w:lvl w:ilvl="0">
      <w:lvlJc w:val="left"/>
      <w:lvlText w:val="•"/>
      <w:numFmt w:val="bullet"/>
      <w:start w:val="1"/>
    </w:lvl>
  </w:abstractNum>
  <w:abstractNum w:abstractNumId="101">
    <w:nsid w:val="567BD50A"/>
    <w:multiLevelType w:val="hybridMultilevel"/>
    <w:lvl w:ilvl="0">
      <w:lvlJc w:val="left"/>
      <w:lvlText w:val="(%1)"/>
      <w:numFmt w:val="decimal"/>
      <w:start w:val="1"/>
    </w:lvl>
  </w:abstractNum>
  <w:abstractNum w:abstractNumId="102">
    <w:nsid w:val="73BBD7F8"/>
    <w:multiLevelType w:val="hybridMultilevel"/>
    <w:lvl w:ilvl="0">
      <w:lvlJc w:val="left"/>
      <w:lvlText w:val="(%1)"/>
      <w:numFmt w:val="decimal"/>
      <w:start w:val="1"/>
    </w:lvl>
  </w:abstractNum>
  <w:abstractNum w:abstractNumId="103">
    <w:nsid w:val="1876589D"/>
    <w:multiLevelType w:val="hybridMultilevel"/>
    <w:lvl w:ilvl="0">
      <w:lvlJc w:val="left"/>
      <w:lvlText w:val="(%1)"/>
      <w:numFmt w:val="decimal"/>
      <w:start w:val="2"/>
    </w:lvl>
  </w:abstractNum>
  <w:abstractNum w:abstractNumId="104">
    <w:nsid w:val="327FAC77"/>
    <w:multiLevelType w:val="hybridMultilevel"/>
    <w:lvl w:ilvl="0">
      <w:lvlJc w:val="left"/>
      <w:lvlText w:val="(%1)"/>
      <w:numFmt w:val="decimal"/>
      <w:start w:val="1"/>
    </w:lvl>
  </w:abstractNum>
  <w:abstractNum w:abstractNumId="105">
    <w:nsid w:val="5A606509"/>
    <w:multiLevelType w:val="hybridMultilevel"/>
    <w:lvl w:ilvl="0">
      <w:lvlJc w:val="left"/>
      <w:lvlText w:val="•"/>
      <w:numFmt w:val="bullet"/>
      <w:start w:val="1"/>
    </w:lvl>
  </w:abstractNum>
  <w:abstractNum w:abstractNumId="106">
    <w:nsid w:val="6F38E6D1"/>
    <w:multiLevelType w:val="hybridMultilevel"/>
    <w:lvl w:ilvl="0">
      <w:lvlJc w:val="left"/>
      <w:lvlText w:val="•"/>
      <w:numFmt w:val="bullet"/>
      <w:start w:val="1"/>
    </w:lvl>
  </w:abstractNum>
  <w:abstractNum w:abstractNumId="107">
    <w:nsid w:val="46111BA5"/>
    <w:multiLevelType w:val="hybridMultilevel"/>
    <w:lvl w:ilvl="0">
      <w:lvlJc w:val="left"/>
      <w:lvlText w:val="•"/>
      <w:numFmt w:val="bullet"/>
      <w:start w:val="1"/>
    </w:lvl>
  </w:abstractNum>
  <w:abstractNum w:abstractNumId="108">
    <w:nsid w:val="5E963896"/>
    <w:multiLevelType w:val="hybridMultilevel"/>
    <w:lvl w:ilvl="0">
      <w:lvlJc w:val="left"/>
      <w:lvlText w:val="(%1)"/>
      <w:numFmt w:val="decimal"/>
      <w:start w:val="1"/>
    </w:lvl>
  </w:abstractNum>
  <w:abstractNum w:abstractNumId="109">
    <w:nsid w:val="775BA7C1"/>
    <w:multiLevelType w:val="hybridMultilevel"/>
    <w:lvl w:ilvl="0">
      <w:lvlJc w:val="left"/>
      <w:lvlText w:val="(%1)"/>
      <w:numFmt w:val="decimal"/>
      <w:start w:val="1"/>
    </w:lvl>
  </w:abstractNum>
  <w:abstractNum w:abstractNumId="110">
    <w:nsid w:val="1DD6D6F4"/>
    <w:multiLevelType w:val="hybridMultilevel"/>
    <w:lvl w:ilvl="0">
      <w:lvlJc w:val="left"/>
      <w:lvlText w:val="•"/>
      <w:numFmt w:val="bullet"/>
      <w:start w:val="1"/>
    </w:lvl>
  </w:abstractNum>
  <w:abstractNum w:abstractNumId="111">
    <w:nsid w:val="769A091F"/>
    <w:multiLevelType w:val="hybridMultilevel"/>
    <w:lvl w:ilvl="0">
      <w:lvlJc w:val="left"/>
      <w:lvlText w:val="•"/>
      <w:numFmt w:val="bullet"/>
      <w:start w:val="1"/>
    </w:lvl>
  </w:abstractNum>
  <w:abstractNum w:abstractNumId="112">
    <w:nsid w:val="4695AE95"/>
    <w:multiLevelType w:val="hybridMultilevel"/>
    <w:lvl w:ilvl="0">
      <w:lvlJc w:val="left"/>
      <w:lvlText w:val="*"/>
      <w:numFmt w:val="bullet"/>
      <w:start w:val="1"/>
    </w:lvl>
  </w:abstractNum>
  <w:abstractNum w:abstractNumId="113">
    <w:nsid w:val="777A4EAA"/>
    <w:multiLevelType w:val="hybridMultilevel"/>
    <w:lvl w:ilvl="0">
      <w:lvlJc w:val="left"/>
      <w:lvlText w:val="(%1)"/>
      <w:numFmt w:val="decimal"/>
      <w:start w:val="1"/>
    </w:lvl>
    <w:lvl w:ilvl="1">
      <w:lvlJc w:val="left"/>
      <w:lvlText w:val="(%2)"/>
      <w:numFmt w:val="lowerRoman"/>
      <w:start w:val="4"/>
    </w:lvl>
  </w:abstractNum>
  <w:abstractNum w:abstractNumId="114">
    <w:nsid w:val="3F48B982"/>
    <w:multiLevelType w:val="hybridMultilevel"/>
    <w:lvl w:ilvl="0">
      <w:lvlJc w:val="left"/>
      <w:lvlText w:val="%1"/>
      <w:numFmt w:val="decimal"/>
      <w:start w:val="1"/>
    </w:lvl>
    <w:lvl w:ilvl="1">
      <w:lvlJc w:val="left"/>
      <w:lvlText w:val="(%2)"/>
      <w:numFmt w:val="lowerRoman"/>
      <w:start w:val="6"/>
    </w:lvl>
  </w:abstractNum>
  <w:abstractNum w:abstractNumId="115">
    <w:nsid w:val="46BA8FCA"/>
    <w:multiLevelType w:val="hybridMultilevel"/>
    <w:lvl w:ilvl="0">
      <w:lvlJc w:val="left"/>
      <w:lvlText w:val="(%1)"/>
      <w:numFmt w:val="decimal"/>
      <w:start w:val="4"/>
    </w:lvl>
    <w:lvl w:ilvl="1">
      <w:lvlJc w:val="left"/>
      <w:lvlText w:val="(%2)"/>
      <w:numFmt w:val="lowerRoman"/>
      <w:start w:val="2"/>
    </w:lvl>
  </w:abstractNum>
  <w:abstractNum w:abstractNumId="116">
    <w:nsid w:val="7835626C"/>
    <w:multiLevelType w:val="hybridMultilevel"/>
    <w:lvl w:ilvl="0">
      <w:lvlJc w:val="left"/>
      <w:lvlText w:val="(%1)"/>
      <w:numFmt w:val="decimal"/>
      <w:start w:val="6"/>
    </w:lvl>
    <w:lvl w:ilvl="1">
      <w:lvlJc w:val="left"/>
      <w:lvlText w:val="(%2)"/>
      <w:numFmt w:val="lowerRoman"/>
      <w:start w:val="2"/>
    </w:lvl>
  </w:abstractNum>
  <w:abstractNum w:abstractNumId="117">
    <w:nsid w:val="665ACA49"/>
    <w:multiLevelType w:val="hybridMultilevel"/>
    <w:lvl w:ilvl="0">
      <w:lvlJc w:val="left"/>
      <w:lvlText w:val="•"/>
      <w:numFmt w:val="bullet"/>
      <w:start w:val="1"/>
    </w:lvl>
  </w:abstractNum>
  <w:abstractNum w:abstractNumId="118">
    <w:nsid w:val="6835B2AE"/>
    <w:multiLevelType w:val="hybridMultilevel"/>
    <w:lvl w:ilvl="0">
      <w:lvlJc w:val="left"/>
      <w:lvlText w:val="•"/>
      <w:numFmt w:val="bullet"/>
      <w:start w:val="1"/>
    </w:lvl>
  </w:abstractNum>
  <w:abstractNum w:abstractNumId="119">
    <w:nsid w:val="4C187C90"/>
    <w:multiLevelType w:val="hybridMultilevel"/>
    <w:lvl w:ilvl="0">
      <w:lvlJc w:val="left"/>
      <w:lvlText w:val="•"/>
      <w:numFmt w:val="bullet"/>
      <w:start w:val="1"/>
    </w:lvl>
  </w:abstractNum>
  <w:abstractNum w:abstractNumId="120">
    <w:nsid w:val="541F28CD"/>
    <w:multiLevelType w:val="hybridMultilevel"/>
    <w:lvl w:ilvl="0">
      <w:lvlJc w:val="left"/>
      <w:lvlText w:val="•"/>
      <w:numFmt w:val="bullet"/>
      <w:start w:val="1"/>
    </w:lvl>
  </w:abstractNum>
  <w:abstractNum w:abstractNumId="121">
    <w:nsid w:val="7F65FD16"/>
    <w:multiLevelType w:val="hybridMultilevel"/>
    <w:lvl w:ilvl="0">
      <w:lvlJc w:val="left"/>
      <w:lvlText w:val="•"/>
      <w:numFmt w:val="bullet"/>
      <w:start w:val="1"/>
    </w:lvl>
  </w:abstractNum>
  <w:abstractNum w:abstractNumId="122">
    <w:nsid w:val="77C9FD68"/>
    <w:multiLevelType w:val="hybridMultilevel"/>
    <w:lvl w:ilvl="0">
      <w:lvlJc w:val="left"/>
      <w:lvlText w:val="•"/>
      <w:numFmt w:val="bullet"/>
      <w:start w:val="1"/>
    </w:lvl>
  </w:abstractNum>
  <w:abstractNum w:abstractNumId="123">
    <w:nsid w:val="298A92BA"/>
    <w:multiLevelType w:val="hybridMultilevel"/>
    <w:lvl w:ilvl="0">
      <w:lvlJc w:val="left"/>
      <w:lvlText w:val="•"/>
      <w:numFmt w:val="bullet"/>
      <w:start w:val="1"/>
    </w:lvl>
  </w:abstractNum>
  <w:abstractNum w:abstractNumId="124">
    <w:nsid w:val="6FE95EAC"/>
    <w:multiLevelType w:val="hybridMultilevel"/>
    <w:lvl w:ilvl="0">
      <w:lvlJc w:val="left"/>
      <w:lvlText w:val="•"/>
      <w:numFmt w:val="bullet"/>
      <w:start w:val="1"/>
    </w:lvl>
  </w:abstractNum>
  <w:abstractNum w:abstractNumId="125">
    <w:nsid w:val="4B697C7A"/>
    <w:multiLevelType w:val="hybridMultilevel"/>
    <w:lvl w:ilvl="0">
      <w:lvlJc w:val="left"/>
      <w:lvlText w:val="•"/>
      <w:numFmt w:val="bullet"/>
      <w:start w:val="1"/>
    </w:lvl>
  </w:abstractNum>
  <w:abstractNum w:abstractNumId="126">
    <w:nsid w:val="51A27AA6"/>
    <w:multiLevelType w:val="hybridMultilevel"/>
    <w:lvl w:ilvl="0">
      <w:lvlJc w:val="left"/>
      <w:lvlText w:val="•"/>
      <w:numFmt w:val="bullet"/>
      <w:start w:val="1"/>
    </w:lvl>
  </w:abstractNum>
  <w:abstractNum w:abstractNumId="127">
    <w:nsid w:val="613183F2"/>
    <w:multiLevelType w:val="hybridMultilevel"/>
    <w:lvl w:ilvl="0">
      <w:lvlJc w:val="left"/>
      <w:lvlText w:val="•"/>
      <w:numFmt w:val="bullet"/>
      <w:start w:val="1"/>
    </w:lvl>
  </w:abstractNum>
  <w:abstractNum w:abstractNumId="128">
    <w:nsid w:val="634102B4"/>
    <w:multiLevelType w:val="hybridMultilevel"/>
    <w:lvl w:ilvl="0">
      <w:lvlJc w:val="left"/>
      <w:lvlText w:val="•"/>
      <w:numFmt w:val="bullet"/>
      <w:start w:val="1"/>
    </w:lvl>
  </w:abstractNum>
  <w:abstractNum w:abstractNumId="129">
    <w:nsid w:val="65BF9DA8"/>
    <w:multiLevelType w:val="hybridMultilevel"/>
    <w:lvl w:ilvl="0">
      <w:lvlJc w:val="left"/>
      <w:lvlText w:val="•"/>
      <w:numFmt w:val="bullet"/>
      <w:start w:val="1"/>
    </w:lvl>
  </w:abstractNum>
  <w:abstractNum w:abstractNumId="130">
    <w:nsid w:val="21A2ECCA"/>
    <w:multiLevelType w:val="hybridMultilevel"/>
    <w:lvl w:ilvl="0">
      <w:lvlJc w:val="left"/>
      <w:lvlText w:val="(%1)"/>
      <w:numFmt w:val="lowerLetter"/>
      <w:start w:val="1"/>
    </w:lvl>
  </w:abstractNum>
  <w:abstractNum w:abstractNumId="131">
    <w:nsid w:val="4D5C4899"/>
    <w:multiLevelType w:val="hybridMultilevel"/>
    <w:lvl w:ilvl="0">
      <w:lvlJc w:val="left"/>
      <w:lvlText w:val="(%1)"/>
      <w:numFmt w:val="lowerLetter"/>
      <w:start w:val="1"/>
    </w:lvl>
  </w:abstractNum>
  <w:abstractNum w:abstractNumId="132">
    <w:nsid w:val="3C3B72B2"/>
    <w:multiLevelType w:val="hybridMultilevel"/>
    <w:lvl w:ilvl="0">
      <w:lvlJc w:val="left"/>
      <w:lvlText w:val="(%1)"/>
      <w:numFmt w:val="lowerLetter"/>
      <w:start w:val="1"/>
    </w:lvl>
  </w:abstractNum>
  <w:abstractNum w:abstractNumId="133">
    <w:nsid w:val="155EC4C2"/>
    <w:multiLevelType w:val="hybridMultilevel"/>
    <w:lvl w:ilvl="0">
      <w:lvlJc w:val="left"/>
      <w:lvlText w:val="(%1)"/>
      <w:numFmt w:val="lowerLetter"/>
      <w:start w:val="2"/>
    </w:lvl>
  </w:abstractNum>
  <w:abstractNum w:abstractNumId="134">
    <w:nsid w:val="65D2A137"/>
    <w:multiLevelType w:val="hybridMultilevel"/>
    <w:lvl w:ilvl="0">
      <w:lvlJc w:val="left"/>
      <w:lvlText w:val="(%1)"/>
      <w:numFmt w:val="lowerLetter"/>
      <w:start w:val="1"/>
    </w:lvl>
    <w:lvl w:ilvl="1">
      <w:lvlJc w:val="left"/>
      <w:lvlText w:val="(%2)"/>
      <w:numFmt w:val="lowerRoman"/>
      <w:start w:val="1"/>
    </w:lvl>
  </w:abstractNum>
  <w:abstractNum w:abstractNumId="135">
    <w:nsid w:val="6EBB1F2A"/>
    <w:multiLevelType w:val="hybridMultilevel"/>
    <w:lvl w:ilvl="0">
      <w:lvlJc w:val="left"/>
      <w:lvlText w:val="(%1)"/>
      <w:numFmt w:val="lowerLetter"/>
      <w:start w:val="1"/>
    </w:lvl>
  </w:abstractNum>
  <w:abstractNum w:abstractNumId="136">
    <w:nsid w:val="6FBF29CB"/>
    <w:multiLevelType w:val="hybridMultilevel"/>
    <w:lvl w:ilvl="0">
      <w:lvlJc w:val="left"/>
      <w:lvlText w:val="(%1)"/>
      <w:numFmt w:val="lowerLetter"/>
      <w:start w:val="1"/>
    </w:lvl>
  </w:abstractNum>
  <w:abstractNum w:abstractNumId="137">
    <w:nsid w:val="550B8808"/>
    <w:multiLevelType w:val="hybridMultilevel"/>
    <w:lvl w:ilvl="0">
      <w:lvlJc w:val="left"/>
      <w:lvlText w:val="%1"/>
      <w:numFmt w:val="decimal"/>
      <w:start w:val="877"/>
    </w:lvl>
  </w:abstractNum>
  <w:abstractNum w:abstractNumId="138">
    <w:nsid w:val="34CC3ACF"/>
    <w:multiLevelType w:val="hybridMultilevel"/>
    <w:lvl w:ilvl="0">
      <w:lvlJc w:val="left"/>
      <w:lvlText w:val="%1"/>
      <w:numFmt w:val="decimal"/>
      <w:start w:val="148"/>
    </w:lvl>
  </w:abstractNum>
  <w:abstractNum w:abstractNumId="139">
    <w:nsid w:val="4E556261"/>
    <w:multiLevelType w:val="hybridMultilevel"/>
    <w:lvl w:ilvl="0">
      <w:lvlJc w:val="left"/>
      <w:lvlText w:val="(%1)"/>
      <w:numFmt w:val="decimal"/>
      <w:start w:val="426"/>
    </w:lvl>
  </w:abstractNum>
  <w:abstractNum w:abstractNumId="140">
    <w:nsid w:val="4C672FC9"/>
    <w:multiLevelType w:val="hybridMultilevel"/>
    <w:lvl w:ilvl="0">
      <w:lvlJc w:val="left"/>
      <w:lvlText w:val="(%1)"/>
      <w:numFmt w:val="decimal"/>
      <w:start w:val="46"/>
    </w:lvl>
  </w:abstractNum>
  <w:abstractNum w:abstractNumId="141">
    <w:nsid w:val="52A311C3"/>
    <w:multiLevelType w:val="hybridMultilevel"/>
    <w:lvl w:ilvl="0">
      <w:lvlJc w:val="left"/>
      <w:lvlText w:val="(%1)"/>
      <w:numFmt w:val="decimal"/>
      <w:start w:val="22"/>
    </w:lvl>
  </w:abstractNum>
  <w:abstractNum w:abstractNumId="142">
    <w:nsid w:val="44EF6B80"/>
    <w:multiLevelType w:val="hybridMultilevel"/>
    <w:lvl w:ilvl="0">
      <w:lvlJc w:val="left"/>
      <w:lvlText w:val="(%1)"/>
      <w:numFmt w:val="decimal"/>
      <w:start w:val="298"/>
    </w:lvl>
  </w:abstractNum>
  <w:abstractNum w:abstractNumId="143">
    <w:nsid w:val="12FCDE5E"/>
    <w:multiLevelType w:val="hybridMultilevel"/>
    <w:lvl w:ilvl="0">
      <w:lvlJc w:val="left"/>
      <w:lvlText w:val="(%1)"/>
      <w:numFmt w:val="decimal"/>
      <w:start w:val="6"/>
    </w:lvl>
  </w:abstractNum>
  <w:abstractNum w:abstractNumId="144">
    <w:nsid w:val="4A1D606E"/>
    <w:multiLevelType w:val="hybridMultilevel"/>
    <w:lvl w:ilvl="0">
      <w:lvlJc w:val="left"/>
      <w:lvlText w:val="(%1)"/>
      <w:numFmt w:val="decimal"/>
      <w:start w:val="229"/>
    </w:lvl>
  </w:abstractNum>
  <w:abstractNum w:abstractNumId="145">
    <w:nsid w:val="4382503"/>
    <w:multiLevelType w:val="hybridMultilevel"/>
    <w:lvl w:ilvl="0">
      <w:lvlJc w:val="left"/>
      <w:lvlText w:val="(%1)"/>
      <w:numFmt w:val="decimal"/>
      <w:start w:val="672"/>
    </w:lvl>
  </w:abstractNum>
  <w:abstractNum w:abstractNumId="146">
    <w:nsid w:val="59B76E28"/>
    <w:multiLevelType w:val="hybridMultilevel"/>
    <w:lvl w:ilvl="0">
      <w:lvlJc w:val="left"/>
      <w:lvlText w:val="(%1)"/>
      <w:numFmt w:val="decimal"/>
      <w:start w:val="901"/>
    </w:lvl>
  </w:abstractNum>
  <w:abstractNum w:abstractNumId="147">
    <w:nsid w:val="4252C2DA"/>
    <w:multiLevelType w:val="hybridMultilevel"/>
    <w:lvl w:ilvl="0">
      <w:lvlJc w:val="left"/>
      <w:lvlText w:val="\emdash "/>
      <w:numFmt w:val="bullet"/>
      <w:start w:val="1"/>
    </w:lvl>
  </w:abstractNum>
  <w:abstractNum w:abstractNumId="148">
    <w:nsid w:val="6A92EF4C"/>
    <w:multiLevelType w:val="hybridMultilevel"/>
    <w:lvl w:ilvl="0">
      <w:lvlJc w:val="left"/>
      <w:lvlText w:val="(%1)"/>
      <w:numFmt w:val="decimal"/>
      <w:start w:val="163"/>
    </w:lvl>
  </w:abstractNum>
  <w:abstractNum w:abstractNumId="149">
    <w:nsid w:val="41ED20D7"/>
    <w:multiLevelType w:val="hybridMultilevel"/>
    <w:lvl w:ilvl="0">
      <w:lvlJc w:val="left"/>
      <w:lvlText w:val="(%1)"/>
      <w:numFmt w:val="lowerRoman"/>
      <w:start w:val="2"/>
    </w:lvl>
  </w:abstractNum>
  <w:abstractNum w:abstractNumId="150">
    <w:nsid w:val="E6B3F6A"/>
    <w:multiLevelType w:val="hybridMultilevel"/>
    <w:lvl w:ilvl="0">
      <w:lvlJc w:val="left"/>
      <w:lvlText w:val="(%1)"/>
      <w:numFmt w:val="lowerRoman"/>
      <w:start w:val="3"/>
    </w:lvl>
  </w:abstractNum>
  <w:abstractNum w:abstractNumId="151">
    <w:nsid w:val="3EB21819"/>
    <w:multiLevelType w:val="hybridMultilevel"/>
    <w:lvl w:ilvl="0">
      <w:lvlJc w:val="left"/>
      <w:lvlText w:val="$"/>
      <w:numFmt w:val="bullet"/>
      <w:start w:val="1"/>
    </w:lvl>
  </w:abstractNum>
  <w:abstractNum w:abstractNumId="152">
    <w:nsid w:val="41531DED"/>
    <w:multiLevelType w:val="hybridMultilevel"/>
    <w:lvl w:ilvl="0">
      <w:lvlJc w:val="left"/>
      <w:lvlText w:val="%1"/>
      <w:numFmt w:val="decimal"/>
      <w:start w:val="629"/>
    </w:lvl>
  </w:abstractNum>
  <w:abstractNum w:abstractNumId="153">
    <w:nsid w:val="6353CD2"/>
    <w:multiLevelType w:val="hybridMultilevel"/>
    <w:lvl w:ilvl="0">
      <w:lvlJc w:val="left"/>
      <w:lvlText w:val="%1"/>
      <w:numFmt w:val="decimal"/>
      <w:start w:val="148"/>
    </w:lvl>
  </w:abstractNum>
  <w:abstractNum w:abstractNumId="154">
    <w:nsid w:val="683CAAD3"/>
    <w:multiLevelType w:val="hybridMultilevel"/>
    <w:lvl w:ilvl="0">
      <w:lvlJc w:val="left"/>
      <w:lvlText w:val="(%1)"/>
      <w:numFmt w:val="decimal"/>
      <w:start w:val="864"/>
    </w:lvl>
  </w:abstractNum>
  <w:abstractNum w:abstractNumId="155">
    <w:nsid w:val="313C7C99"/>
    <w:multiLevelType w:val="hybridMultilevel"/>
    <w:lvl w:ilvl="0">
      <w:lvlJc w:val="left"/>
      <w:lvlText w:val="(%1)"/>
      <w:numFmt w:val="decimal"/>
      <w:start w:val="216"/>
    </w:lvl>
  </w:abstractNum>
  <w:abstractNum w:abstractNumId="156">
    <w:nsid w:val="519EB94C"/>
    <w:multiLevelType w:val="hybridMultilevel"/>
    <w:lvl w:ilvl="0">
      <w:lvlJc w:val="left"/>
      <w:lvlText w:val="(%1)"/>
      <w:numFmt w:val="decimal"/>
      <w:start w:val="371"/>
    </w:lvl>
  </w:abstractNum>
  <w:abstractNum w:abstractNumId="157">
    <w:nsid w:val="39DF2579"/>
    <w:multiLevelType w:val="hybridMultilevel"/>
    <w:lvl w:ilvl="0">
      <w:lvlJc w:val="left"/>
      <w:lvlText w:val="(%1)"/>
      <w:numFmt w:val="decimal"/>
      <w:start w:val="611"/>
    </w:lvl>
  </w:abstractNum>
  <w:abstractNum w:abstractNumId="158">
    <w:nsid w:val="126E008B"/>
    <w:multiLevelType w:val="hybridMultilevel"/>
    <w:lvl w:ilvl="0">
      <w:lvlJc w:val="left"/>
      <w:lvlText w:val="\emdash "/>
      <w:numFmt w:val="bullet"/>
      <w:start w:val="1"/>
    </w:lvl>
  </w:abstractNum>
  <w:abstractNum w:abstractNumId="159">
    <w:nsid w:val="34DFBC00"/>
    <w:multiLevelType w:val="hybridMultilevel"/>
    <w:lvl w:ilvl="0">
      <w:lvlJc w:val="left"/>
      <w:lvlText w:val="(%1)"/>
      <w:numFmt w:val="decimal"/>
      <w:start w:val="39"/>
    </w:lvl>
  </w:abstractNum>
  <w:abstractNum w:abstractNumId="160">
    <w:nsid w:val="1F9EC322"/>
    <w:multiLevelType w:val="hybridMultilevel"/>
    <w:lvl w:ilvl="0">
      <w:lvlJc w:val="left"/>
      <w:lvlText w:val="(%1)"/>
      <w:numFmt w:val="decimal"/>
      <w:start w:val="39"/>
    </w:lvl>
  </w:abstractNum>
  <w:abstractNum w:abstractNumId="161">
    <w:nsid w:val="3410ED56"/>
    <w:multiLevelType w:val="hybridMultilevel"/>
    <w:lvl w:ilvl="0">
      <w:lvlJc w:val="left"/>
      <w:lvlText w:val="\emdash "/>
      <w:numFmt w:val="bullet"/>
      <w:start w:val="1"/>
    </w:lvl>
  </w:abstractNum>
  <w:abstractNum w:abstractNumId="162">
    <w:nsid w:val="23C049A"/>
    <w:multiLevelType w:val="hybridMultilevel"/>
    <w:lvl w:ilvl="0">
      <w:lvlJc w:val="left"/>
      <w:lvlText w:val="(%1)"/>
      <w:numFmt w:val="decimal"/>
      <w:start w:val="213"/>
    </w:lvl>
  </w:abstractNum>
  <w:abstractNum w:abstractNumId="163">
    <w:nsid w:val="5BDA35D4"/>
    <w:multiLevelType w:val="hybridMultilevel"/>
    <w:lvl w:ilvl="0">
      <w:lvlJc w:val="left"/>
      <w:lvlText w:val="$"/>
      <w:numFmt w:val="bullet"/>
      <w:start w:val="1"/>
    </w:lvl>
  </w:abstractNum>
  <w:abstractNum w:abstractNumId="164">
    <w:nsid w:val="496FB218"/>
    <w:multiLevelType w:val="hybridMultilevel"/>
    <w:lvl w:ilvl="0">
      <w:lvlJc w:val="left"/>
      <w:lvlText w:val="(%1)"/>
      <w:numFmt w:val="lowerLetter"/>
      <w:start w:val="1"/>
    </w:lvl>
  </w:abstractNum>
  <w:abstractNum w:abstractNumId="165">
    <w:nsid w:val="680EA5D1"/>
    <w:multiLevelType w:val="hybridMultilevel"/>
    <w:lvl w:ilvl="0">
      <w:lvlJc w:val="left"/>
      <w:lvlText w:val="+"/>
      <w:numFmt w:val="bullet"/>
      <w:start w:val="1"/>
    </w:lvl>
  </w:abstractNum>
  <w:abstractNum w:abstractNumId="166">
    <w:nsid w:val="4A9554FE"/>
    <w:multiLevelType w:val="hybridMultilevel"/>
    <w:lvl w:ilvl="0">
      <w:lvlJc w:val="left"/>
      <w:lvlText w:val="*"/>
      <w:numFmt w:val="bullet"/>
      <w:start w:val="1"/>
    </w:lvl>
  </w:abstractNum>
  <w:abstractNum w:abstractNumId="167">
    <w:nsid w:val="392EDBE4"/>
    <w:multiLevelType w:val="hybridMultilevel"/>
    <w:lvl w:ilvl="0">
      <w:lvlJc w:val="left"/>
      <w:lvlText w:val="¥"/>
      <w:numFmt w:val="bullet"/>
      <w:start w:val="1"/>
    </w:lvl>
  </w:abstractNum>
  <w:abstractNum w:abstractNumId="168">
    <w:nsid w:val="3D1A2DD9"/>
    <w:multiLevelType w:val="hybridMultilevel"/>
    <w:lvl w:ilvl="0">
      <w:lvlJc w:val="left"/>
      <w:lvlText w:val="(%1)"/>
      <w:numFmt w:val="lowerLetter"/>
      <w:start w:val="2"/>
    </w:lvl>
  </w:abstractNum>
  <w:abstractNum w:abstractNumId="169">
    <w:nsid w:val="7F618FCD"/>
    <w:multiLevelType w:val="hybridMultilevel"/>
    <w:lvl w:ilvl="0">
      <w:lvlJc w:val="left"/>
      <w:lvlText w:val="(%1)"/>
      <w:numFmt w:val="decimal"/>
      <w:start w:val="1"/>
    </w:lvl>
  </w:abstractNum>
  <w:abstractNum w:abstractNumId="170">
    <w:nsid w:val="7843E45"/>
    <w:multiLevelType w:val="hybridMultilevel"/>
    <w:lvl w:ilvl="0">
      <w:lvlJc w:val="left"/>
      <w:lvlText w:val="[•]"/>
      <w:numFmt w:val="bullet"/>
      <w:start w:val="1"/>
    </w:lvl>
  </w:abstractNum>
  <w:abstractNum w:abstractNumId="171">
    <w:nsid w:val="9815DA3"/>
    <w:multiLevelType w:val="hybridMultilevel"/>
    <w:lvl w:ilvl="0">
      <w:lvlJc w:val="left"/>
      <w:lvlText w:val="%1."/>
      <w:numFmt w:val="decimal"/>
      <w:start w:val="1"/>
    </w:lvl>
  </w:abstractNum>
  <w:abstractNum w:abstractNumId="172">
    <w:nsid w:val="5204A191"/>
    <w:multiLevelType w:val="hybridMultilevel"/>
    <w:lvl w:ilvl="0">
      <w:lvlJc w:val="left"/>
      <w:lvlText w:val="%1."/>
      <w:numFmt w:val="decimal"/>
      <w:start w:val="2"/>
    </w:lvl>
  </w:abstractNum>
  <w:abstractNum w:abstractNumId="173">
    <w:nsid w:val="4C73A9C6"/>
    <w:multiLevelType w:val="hybridMultilevel"/>
    <w:lvl w:ilvl="0">
      <w:lvlJc w:val="left"/>
      <w:lvlText w:val="(%1)"/>
      <w:numFmt w:val="lowerLetter"/>
      <w:start w:val="1"/>
    </w:lvl>
  </w:abstractNum>
  <w:abstractNum w:abstractNumId="174">
    <w:nsid w:val="1C7E3C01"/>
    <w:multiLevelType w:val="hybridMultilevel"/>
    <w:lvl w:ilvl="0">
      <w:lvlJc w:val="left"/>
      <w:lvlText w:val="(%1)"/>
      <w:numFmt w:val="lowerLetter"/>
      <w:start w:val="2"/>
    </w:lvl>
  </w:abstractNum>
  <w:abstractNum w:abstractNumId="175">
    <w:nsid w:val="1C2201FF"/>
    <w:multiLevelType w:val="hybridMultilevel"/>
    <w:lvl w:ilvl="0">
      <w:lvlJc w:val="left"/>
      <w:lvlText w:val="(%1)"/>
      <w:numFmt w:val="lowerLetter"/>
      <w:start w:val="4"/>
    </w:lvl>
  </w:abstractNum>
  <w:abstractNum w:abstractNumId="176">
    <w:nsid w:val="50ABCEC9"/>
    <w:multiLevelType w:val="hybridMultilevel"/>
    <w:lvl w:ilvl="0">
      <w:lvlJc w:val="left"/>
      <w:lvlText w:val="%1."/>
      <w:numFmt w:val="decimal"/>
      <w:start w:val="3"/>
    </w:lvl>
    <w:lvl w:ilvl="1">
      <w:lvlJc w:val="left"/>
      <w:lvlText w:val="(%2)"/>
      <w:numFmt w:val="lowerLetter"/>
      <w:start w:val="1"/>
    </w:lvl>
  </w:abstractNum>
  <w:abstractNum w:abstractNumId="177">
    <w:nsid w:val="7635AA2A"/>
    <w:multiLevelType w:val="hybridMultilevel"/>
    <w:lvl w:ilvl="0">
      <w:lvlJc w:val="left"/>
      <w:lvlText w:val="(%1)"/>
      <w:numFmt w:val="lowerLetter"/>
      <w:start w:val="3"/>
    </w:lvl>
  </w:abstractNum>
  <w:abstractNum w:abstractNumId="178">
    <w:nsid w:val="5E74C4D9"/>
    <w:multiLevelType w:val="hybridMultilevel"/>
    <w:lvl w:ilvl="0">
      <w:lvlJc w:val="left"/>
      <w:lvlText w:val="(%1)"/>
      <w:numFmt w:val="lowerLetter"/>
      <w:start w:val="25"/>
    </w:lvl>
  </w:abstractNum>
  <w:abstractNum w:abstractNumId="179">
    <w:nsid w:val="3B3EBE15"/>
    <w:multiLevelType w:val="hybridMultilevel"/>
    <w:lvl w:ilvl="0">
      <w:lvlJc w:val="left"/>
      <w:lvlText w:val="(%1)"/>
      <w:numFmt w:val="lowerLetter"/>
      <w:start w:val="6"/>
    </w:lvl>
  </w:abstractNum>
  <w:abstractNum w:abstractNumId="180">
    <w:nsid w:val="3822CB01"/>
    <w:multiLevelType w:val="hybridMultilevel"/>
    <w:lvl w:ilvl="0">
      <w:lvlJc w:val="left"/>
      <w:lvlText w:val="%1"/>
      <w:numFmt w:val="lowerLetter"/>
      <w:start w:val="1"/>
    </w:lvl>
    <w:lvl w:ilvl="1">
      <w:lvlJc w:val="left"/>
      <w:lvlText w:val="(%2)"/>
      <w:numFmt w:val="lowerLetter"/>
      <w:start w:val="8"/>
    </w:lvl>
  </w:abstractNum>
  <w:abstractNum w:abstractNumId="181">
    <w:nsid w:val="6CE00443"/>
    <w:multiLevelType w:val="hybridMultilevel"/>
    <w:lvl w:ilvl="0">
      <w:lvlJc w:val="left"/>
      <w:lvlText w:val="(%1)"/>
      <w:numFmt w:val="lowerLetter"/>
      <w:start w:val="61"/>
    </w:lvl>
    <w:lvl w:ilvl="1">
      <w:lvlJc w:val="left"/>
      <w:lvlText w:val="%2"/>
      <w:numFmt w:val="lowerLetter"/>
      <w:start w:val="1"/>
    </w:lvl>
  </w:abstractNum>
  <w:abstractNum w:abstractNumId="182">
    <w:nsid w:val="79F0D62F"/>
    <w:multiLevelType w:val="hybridMultilevel"/>
    <w:lvl w:ilvl="0">
      <w:lvlJc w:val="left"/>
      <w:lvlText w:val="(%1)"/>
      <w:numFmt w:val="lowerLetter"/>
      <w:start w:val="9"/>
    </w:lvl>
  </w:abstractNum>
  <w:abstractNum w:abstractNumId="183">
    <w:nsid w:val="7975E8EE"/>
    <w:multiLevelType w:val="hybridMultilevel"/>
    <w:lvl w:ilvl="0">
      <w:lvlJc w:val="left"/>
      <w:lvlText w:val="(%1)"/>
      <w:numFmt w:val="lowerLetter"/>
      <w:start w:val="12"/>
    </w:lvl>
  </w:abstractNum>
  <w:abstractNum w:abstractNumId="184">
    <w:nsid w:val="73154115"/>
    <w:multiLevelType w:val="hybridMultilevel"/>
    <w:lvl w:ilvl="0">
      <w:lvlJc w:val="left"/>
      <w:lvlText w:val="(%1)"/>
      <w:numFmt w:val="lowerLetter"/>
      <w:start w:val="17"/>
    </w:lvl>
  </w:abstractNum>
  <w:abstractNum w:abstractNumId="185">
    <w:nsid w:val="622D8102"/>
    <w:multiLevelType w:val="hybridMultilevel"/>
    <w:lvl w:ilvl="0">
      <w:lvlJc w:val="left"/>
      <w:lvlText w:val="(%1)"/>
      <w:numFmt w:val="lowerLetter"/>
      <w:start w:val="20"/>
    </w:lvl>
  </w:abstractNum>
  <w:abstractNum w:abstractNumId="186">
    <w:nsid w:val="2AB26587"/>
    <w:multiLevelType w:val="hybridMultilevel"/>
    <w:lvl w:ilvl="0">
      <w:lvlJc w:val="left"/>
      <w:lvlText w:val="(%1)"/>
      <w:numFmt w:val="lowerRoman"/>
      <w:start w:val="9"/>
    </w:lvl>
    <w:lvl w:ilvl="1">
      <w:lvlJc w:val="left"/>
      <w:lvlText w:val="(%2)"/>
      <w:numFmt w:val="lowerLetter"/>
      <w:start w:val="23"/>
    </w:lvl>
  </w:abstractNum>
  <w:abstractNum w:abstractNumId="187">
    <w:nsid w:val="44B3FA61"/>
    <w:multiLevelType w:val="hybridMultilevel"/>
    <w:lvl w:ilvl="0">
      <w:lvlJc w:val="left"/>
      <w:lvlText w:val="(%1)"/>
      <w:numFmt w:val="lowerLetter"/>
      <w:start w:val="24"/>
    </w:lvl>
  </w:abstractNum>
  <w:abstractNum w:abstractNumId="188">
    <w:nsid w:val="1C0CA67C"/>
    <w:multiLevelType w:val="hybridMultilevel"/>
    <w:lvl w:ilvl="0">
      <w:lvlJc w:val="left"/>
      <w:lvlText w:val="(%1)"/>
      <w:numFmt w:val="lowerLetter"/>
      <w:start w:val="27"/>
    </w:lvl>
  </w:abstractNum>
  <w:abstractNum w:abstractNumId="189">
    <w:nsid w:val="3D206613"/>
    <w:multiLevelType w:val="hybridMultilevel"/>
    <w:lvl w:ilvl="0">
      <w:lvlJc w:val="left"/>
      <w:lvlText w:val="%1"/>
      <w:numFmt w:val="lowerLetter"/>
      <w:start w:val="1"/>
    </w:lvl>
    <w:lvl w:ilvl="1">
      <w:lvlJc w:val="left"/>
      <w:lvlText w:val="(%2)"/>
      <w:numFmt w:val="lowerLetter"/>
      <w:start w:val="28"/>
    </w:lvl>
  </w:abstractNum>
  <w:abstractNum w:abstractNumId="190">
    <w:nsid w:val="7993B662"/>
    <w:multiLevelType w:val="hybridMultilevel"/>
    <w:lvl w:ilvl="0">
      <w:lvlJc w:val="left"/>
      <w:lvlText w:val="(%1)"/>
      <w:numFmt w:val="lowerLetter"/>
      <w:start w:val="35"/>
    </w:lvl>
    <w:lvl w:ilvl="1">
      <w:lvlJc w:val="left"/>
      <w:lvlText w:val="%2"/>
      <w:numFmt w:val="lowerLetter"/>
      <w:start w:val="1"/>
    </w:lvl>
  </w:abstractNum>
  <w:abstractNum w:abstractNumId="191">
    <w:nsid w:val="3BAB699E"/>
    <w:multiLevelType w:val="hybridMultilevel"/>
    <w:lvl w:ilvl="0">
      <w:lvlJc w:val="left"/>
      <w:lvlText w:val="%1"/>
      <w:numFmt w:val="lowerLetter"/>
      <w:start w:val="1"/>
    </w:lvl>
    <w:lvl w:ilvl="1">
      <w:lvlJc w:val="left"/>
      <w:lvlText w:val="(%2)"/>
      <w:numFmt w:val="lowerLetter"/>
      <w:start w:val="30"/>
    </w:lvl>
  </w:abstractNum>
  <w:abstractNum w:abstractNumId="192">
    <w:nsid w:val="71315369"/>
    <w:multiLevelType w:val="hybridMultilevel"/>
    <w:lvl w:ilvl="0">
      <w:lvlJc w:val="left"/>
      <w:lvlText w:val="(%1)"/>
      <w:numFmt w:val="lowerLetter"/>
      <w:start w:val="9"/>
    </w:lvl>
    <w:lvl w:ilvl="1">
      <w:lvlJc w:val="left"/>
      <w:lvlText w:val="%2"/>
      <w:numFmt w:val="lowerLetter"/>
      <w:start w:val="1"/>
    </w:lvl>
  </w:abstractNum>
  <w:abstractNum w:abstractNumId="193">
    <w:nsid w:val="7BCFBAFC"/>
    <w:multiLevelType w:val="hybridMultilevel"/>
    <w:lvl w:ilvl="0">
      <w:lvlJc w:val="left"/>
      <w:lvlText w:val="(%1)"/>
      <w:numFmt w:val="lowerRoman"/>
      <w:start w:val="4"/>
    </w:lvl>
    <w:lvl w:ilvl="1">
      <w:lvlJc w:val="left"/>
      <w:lvlText w:val="(%2)"/>
      <w:numFmt w:val="lowerLetter"/>
      <w:start w:val="32"/>
    </w:lvl>
  </w:abstractNum>
  <w:abstractNum w:abstractNumId="194">
    <w:nsid w:val="17859F72"/>
    <w:multiLevelType w:val="hybridMultilevel"/>
    <w:lvl w:ilvl="0">
      <w:lvlJc w:val="left"/>
      <w:lvlText w:val="(%1)"/>
      <w:numFmt w:val="lowerLetter"/>
      <w:start w:val="34"/>
    </w:lvl>
  </w:abstractNum>
  <w:abstractNum w:abstractNumId="195">
    <w:nsid w:val="3AA10581"/>
    <w:multiLevelType w:val="hybridMultilevel"/>
    <w:lvl w:ilvl="0">
      <w:lvlJc w:val="left"/>
      <w:lvlText w:val="(%1)"/>
      <w:numFmt w:val="lowerLetter"/>
      <w:start w:val="37"/>
    </w:lvl>
  </w:abstractNum>
  <w:abstractNum w:abstractNumId="196">
    <w:nsid w:val="63DE60CD"/>
    <w:multiLevelType w:val="hybridMultilevel"/>
    <w:lvl w:ilvl="0">
      <w:lvlJc w:val="left"/>
      <w:lvlText w:val="(%1)"/>
      <w:numFmt w:val="lowerLetter"/>
      <w:start w:val="42"/>
    </w:lvl>
  </w:abstractNum>
  <w:abstractNum w:abstractNumId="197">
    <w:nsid w:val="621AF471"/>
    <w:multiLevelType w:val="hybridMultilevel"/>
    <w:lvl w:ilvl="0">
      <w:lvlJc w:val="left"/>
      <w:lvlText w:val="(%1)"/>
      <w:numFmt w:val="lowerLetter"/>
      <w:start w:val="47"/>
    </w:lvl>
  </w:abstractNum>
  <w:abstractNum w:abstractNumId="198">
    <w:nsid w:val="73CFE165"/>
    <w:multiLevelType w:val="hybridMultilevel"/>
    <w:lvl w:ilvl="0">
      <w:lvlJc w:val="left"/>
      <w:lvlText w:val="(%1)"/>
      <w:numFmt w:val="lowerLetter"/>
      <w:start w:val="61"/>
    </w:lvl>
    <w:lvl w:ilvl="1">
      <w:lvlJc w:val="left"/>
      <w:lvlText w:val="(%2)"/>
      <w:numFmt w:val="lowerLetter"/>
      <w:start w:val="49"/>
    </w:lvl>
  </w:abstractNum>
  <w:abstractNum w:abstractNumId="199">
    <w:nsid w:val="20F88EA6"/>
    <w:multiLevelType w:val="hybridMultilevel"/>
    <w:lvl w:ilvl="0">
      <w:lvlJc w:val="left"/>
      <w:lvlText w:val="%1"/>
      <w:numFmt w:val="upperLetter"/>
      <w:start w:val="1"/>
    </w:lvl>
    <w:lvl w:ilvl="1">
      <w:lvlJc w:val="left"/>
      <w:lvlText w:val="(%2)"/>
      <w:numFmt w:val="lowerLetter"/>
      <w:start w:val="1"/>
    </w:lvl>
  </w:abstractNum>
  <w:abstractNum w:abstractNumId="200">
    <w:nsid w:val="617C843E"/>
    <w:multiLevelType w:val="hybridMultilevel"/>
    <w:lvl w:ilvl="0">
      <w:lvlJc w:val="left"/>
      <w:lvlText w:val="(%1)"/>
      <w:numFmt w:val="upperLetter"/>
      <w:start w:val="2"/>
    </w:lvl>
    <w:lvl w:ilvl="1">
      <w:lvlJc w:val="left"/>
      <w:lvlText w:val="(%2)"/>
      <w:numFmt w:val="lowerLetter"/>
      <w:start w:val="3"/>
    </w:lvl>
  </w:abstractNum>
  <w:abstractNum w:abstractNumId="201">
    <w:nsid w:val="7B541FAB"/>
    <w:multiLevelType w:val="hybridMultilevel"/>
    <w:lvl w:ilvl="0">
      <w:lvlJc w:val="left"/>
      <w:lvlText w:val="(%1)"/>
      <w:numFmt w:val="lowerLetter"/>
      <w:start w:val="5"/>
    </w:lvl>
  </w:abstractNum>
  <w:abstractNum w:abstractNumId="202">
    <w:nsid w:val="2A79EC49"/>
    <w:multiLevelType w:val="hybridMultilevel"/>
    <w:lvl w:ilvl="0">
      <w:lvlJc w:val="left"/>
      <w:lvlText w:val="%1"/>
      <w:numFmt w:val="lowerLetter"/>
      <w:start w:val="1"/>
    </w:lvl>
    <w:lvl w:ilvl="1">
      <w:lvlJc w:val="left"/>
      <w:lvlText w:val="(%2)"/>
      <w:numFmt w:val="lowerLetter"/>
      <w:start w:val="6"/>
    </w:lvl>
  </w:abstractNum>
  <w:abstractNum w:abstractNumId="203">
    <w:nsid w:val="338125CF"/>
    <w:multiLevelType w:val="hybridMultilevel"/>
    <w:lvl w:ilvl="0">
      <w:lvlJc w:val="left"/>
      <w:lvlText w:val="(%1)"/>
      <w:numFmt w:val="lowerLetter"/>
      <w:start w:val="61"/>
    </w:lvl>
    <w:lvl w:ilvl="1">
      <w:lvlJc w:val="left"/>
      <w:lvlText w:val="(%2)"/>
      <w:numFmt w:val="lowerLetter"/>
      <w:start w:val="7"/>
    </w:lvl>
  </w:abstractNum>
  <w:abstractNum w:abstractNumId="204">
    <w:nsid w:val="47C7C971"/>
    <w:multiLevelType w:val="hybridMultilevel"/>
    <w:lvl w:ilvl="0">
      <w:lvlJc w:val="left"/>
      <w:lvlText w:val="(%1)"/>
      <w:numFmt w:val="lowerLetter"/>
      <w:start w:val="9"/>
    </w:lvl>
  </w:abstractNum>
  <w:abstractNum w:abstractNumId="205">
    <w:nsid w:val="46F8284B"/>
    <w:multiLevelType w:val="hybridMultilevel"/>
    <w:lvl w:ilvl="0">
      <w:lvlJc w:val="left"/>
      <w:lvlText w:val="%1."/>
      <w:numFmt w:val="decimal"/>
      <w:start w:val="5"/>
    </w:lvl>
    <w:lvl w:ilvl="1">
      <w:lvlJc w:val="left"/>
      <w:lvlText w:val="(%2)"/>
      <w:numFmt w:val="lowerLetter"/>
      <w:start w:val="1"/>
    </w:lvl>
  </w:abstractNum>
  <w:abstractNum w:abstractNumId="206">
    <w:nsid w:val="4FA327CE"/>
    <w:multiLevelType w:val="hybridMultilevel"/>
    <w:lvl w:ilvl="0">
      <w:lvlJc w:val="left"/>
      <w:lvlText w:val="(%1)"/>
      <w:numFmt w:val="lowerLetter"/>
      <w:start w:val="3"/>
    </w:lvl>
  </w:abstractNum>
  <w:abstractNum w:abstractNumId="207">
    <w:nsid w:val="1873983A"/>
    <w:multiLevelType w:val="hybridMultilevel"/>
    <w:lvl w:ilvl="0">
      <w:lvlJc w:val="left"/>
      <w:lvlText w:val="(%1)"/>
      <w:numFmt w:val="lowerRoman"/>
      <w:start w:val="2"/>
    </w:lvl>
  </w:abstractNum>
  <w:abstractNum w:abstractNumId="208">
    <w:nsid w:val="3D2DD275"/>
    <w:multiLevelType w:val="hybridMultilevel"/>
    <w:lvl w:ilvl="0">
      <w:lvlJc w:val="left"/>
      <w:lvlText w:val="(%1)"/>
      <w:numFmt w:val="lowerLetter"/>
      <w:start w:val="6"/>
    </w:lvl>
  </w:abstractNum>
  <w:abstractNum w:abstractNumId="209">
    <w:nsid w:val="2E17ECA7"/>
    <w:multiLevelType w:val="hybridMultilevel"/>
    <w:lvl w:ilvl="0">
      <w:lvlJc w:val="left"/>
      <w:lvlText w:val="%1."/>
      <w:numFmt w:val="decimal"/>
      <w:start w:val="7"/>
    </w:lvl>
  </w:abstractNum>
  <w:abstractNum w:abstractNumId="210">
    <w:nsid w:val="53B2564F"/>
    <w:multiLevelType w:val="hybridMultilevel"/>
    <w:lvl w:ilvl="0">
      <w:lvlJc w:val="left"/>
      <w:lvlText w:val="(%1)"/>
      <w:numFmt w:val="lowerLetter"/>
      <w:start w:val="1"/>
    </w:lvl>
  </w:abstractNum>
  <w:abstractNum w:abstractNumId="211">
    <w:nsid w:val="75509D76"/>
    <w:multiLevelType w:val="hybridMultilevel"/>
    <w:lvl w:ilvl="0">
      <w:lvlJc w:val="left"/>
      <w:lvlText w:val="%1"/>
      <w:numFmt w:val="lowerLetter"/>
      <w:start w:val="1"/>
    </w:lvl>
    <w:lvl w:ilvl="1">
      <w:lvlJc w:val="left"/>
      <w:lvlText w:val="(%2)"/>
      <w:numFmt w:val="lowerLetter"/>
      <w:start w:val="3"/>
    </w:lvl>
  </w:abstractNum>
  <w:abstractNum w:abstractNumId="212">
    <w:nsid w:val="1AF7F0EA"/>
    <w:multiLevelType w:val="hybridMultilevel"/>
    <w:lvl w:ilvl="0">
      <w:lvlJc w:val="left"/>
      <w:lvlText w:val="(%1)"/>
      <w:numFmt w:val="lowerLetter"/>
      <w:start w:val="61"/>
    </w:lvl>
    <w:lvl w:ilvl="1">
      <w:lvlJc w:val="left"/>
      <w:lvlText w:val="%2"/>
      <w:numFmt w:val="lowerLetter"/>
      <w:start w:val="1"/>
    </w:lvl>
  </w:abstractNum>
  <w:abstractNum w:abstractNumId="213">
    <w:nsid w:val="4DA32C7E"/>
    <w:multiLevelType w:val="hybridMultilevel"/>
    <w:lvl w:ilvl="0">
      <w:lvlJc w:val="left"/>
      <w:lvlText w:val="%1"/>
      <w:numFmt w:val="lowerLetter"/>
      <w:start w:val="1"/>
    </w:lvl>
    <w:lvl w:ilvl="1">
      <w:lvlJc w:val="left"/>
      <w:lvlText w:val="(%2)"/>
      <w:numFmt w:val="lowerLetter"/>
      <w:start w:val="4"/>
    </w:lvl>
  </w:abstractNum>
  <w:abstractNum w:abstractNumId="214">
    <w:nsid w:val="6EC68664"/>
    <w:multiLevelType w:val="hybridMultilevel"/>
    <w:lvl w:ilvl="0">
      <w:lvlJc w:val="left"/>
      <w:lvlText w:val="(%1)"/>
      <w:numFmt w:val="lowerLetter"/>
      <w:start w:val="4"/>
    </w:lvl>
    <w:lvl w:ilvl="1">
      <w:lvlJc w:val="left"/>
      <w:lvlText w:val="%2"/>
      <w:numFmt w:val="lowerLetter"/>
      <w:start w:val="1"/>
    </w:lvl>
  </w:abstractNum>
  <w:abstractNum w:abstractNumId="215">
    <w:nsid w:val="E0D31FF"/>
    <w:multiLevelType w:val="hybridMultilevel"/>
    <w:lvl w:ilvl="0">
      <w:lvlJc w:val="left"/>
      <w:lvlText w:val="(%1)"/>
      <w:numFmt w:val="lowerLetter"/>
      <w:start w:val="6"/>
    </w:lvl>
  </w:abstractNum>
  <w:abstractNum w:abstractNumId="216">
    <w:nsid w:val="2FD0AD81"/>
    <w:multiLevelType w:val="hybridMultilevel"/>
    <w:lvl w:ilvl="0">
      <w:lvlJc w:val="left"/>
      <w:lvlText w:val="%1"/>
      <w:numFmt w:val="lowerRoman"/>
      <w:start w:val="1"/>
    </w:lvl>
    <w:lvl w:ilvl="1">
      <w:lvlJc w:val="left"/>
      <w:lvlText w:val="%2."/>
      <w:numFmt w:val="decimal"/>
      <w:start w:val="8"/>
    </w:lvl>
  </w:abstractNum>
  <w:abstractNum w:abstractNumId="217">
    <w:nsid w:val="1978EBEB"/>
    <w:multiLevelType w:val="hybridMultilevel"/>
    <w:lvl w:ilvl="0">
      <w:lvlJc w:val="left"/>
      <w:lvlText w:val="(%1)"/>
      <w:numFmt w:val="lowerRoman"/>
      <w:start w:val="1"/>
    </w:lvl>
    <w:lvl w:ilvl="1">
      <w:lvlJc w:val="left"/>
      <w:lvlText w:val="%2."/>
      <w:numFmt w:val="decimal"/>
      <w:start w:val="10"/>
    </w:lvl>
  </w:abstractNum>
  <w:abstractNum w:abstractNumId="218">
    <w:nsid w:val="52C12C61"/>
    <w:multiLevelType w:val="hybridMultilevel"/>
    <w:lvl w:ilvl="0">
      <w:lvlJc w:val="left"/>
      <w:lvlText w:val="(%1)"/>
      <w:numFmt w:val="lowerLetter"/>
      <w:start w:val="1"/>
    </w:lvl>
  </w:abstractNum>
  <w:abstractNum w:abstractNumId="219">
    <w:nsid w:val="4BDD53FD"/>
    <w:multiLevelType w:val="hybridMultilevel"/>
    <w:lvl w:ilvl="0">
      <w:lvlJc w:val="left"/>
      <w:lvlText w:val="(%1)"/>
      <w:numFmt w:val="lowerLetter"/>
      <w:start w:val="2"/>
    </w:lvl>
  </w:abstractNum>
  <w:abstractNum w:abstractNumId="220">
    <w:nsid w:val="569951FE"/>
    <w:multiLevelType w:val="hybridMultilevel"/>
    <w:lvl w:ilvl="0">
      <w:lvlJc w:val="left"/>
      <w:lvlText w:val="%1."/>
      <w:numFmt w:val="decimal"/>
      <w:start w:val="11"/>
    </w:lvl>
  </w:abstractNum>
  <w:abstractNum w:abstractNumId="221">
    <w:nsid w:val="4C54E2C3"/>
    <w:multiLevelType w:val="hybridMultilevel"/>
    <w:lvl w:ilvl="0">
      <w:lvlJc w:val="left"/>
      <w:lvlText w:val="(%1)"/>
      <w:numFmt w:val="lowerLetter"/>
      <w:start w:val="1"/>
    </w:lvl>
  </w:abstractNum>
  <w:abstractNum w:abstractNumId="222">
    <w:nsid w:val="788BD9B"/>
    <w:multiLevelType w:val="hybridMultilevel"/>
    <w:lvl w:ilvl="0">
      <w:lvlJc w:val="left"/>
      <w:lvlText w:val="(%1)"/>
      <w:numFmt w:val="lowerLetter"/>
      <w:start w:val="2"/>
    </w:lvl>
  </w:abstractNum>
  <w:abstractNum w:abstractNumId="223">
    <w:nsid w:val="47CAA567"/>
    <w:multiLevelType w:val="hybridMultilevel"/>
    <w:lvl w:ilvl="0">
      <w:lvlJc w:val="left"/>
      <w:lvlText w:val="%1."/>
      <w:numFmt w:val="decimal"/>
      <w:start w:val="12"/>
    </w:lvl>
  </w:abstractNum>
  <w:abstractNum w:abstractNumId="224">
    <w:nsid w:val="48249DBF"/>
    <w:multiLevelType w:val="hybridMultilevel"/>
    <w:lvl w:ilvl="0">
      <w:lvlJc w:val="left"/>
      <w:lvlText w:val="(%1)"/>
      <w:numFmt w:val="lowerLetter"/>
      <w:start w:val="1"/>
    </w:lvl>
  </w:abstractNum>
  <w:abstractNum w:abstractNumId="225">
    <w:nsid w:val="1F0E5D0D"/>
    <w:multiLevelType w:val="hybridMultilevel"/>
    <w:lvl w:ilvl="0">
      <w:lvlJc w:val="left"/>
      <w:lvlText w:val="(%1)"/>
      <w:numFmt w:val="lowerLetter"/>
      <w:start w:val="2"/>
    </w:lvl>
    <w:lvl w:ilvl="1">
      <w:lvlJc w:val="left"/>
      <w:lvlText w:val="(%2)"/>
      <w:numFmt w:val="lowerRoman"/>
      <w:start w:val="1"/>
    </w:lvl>
  </w:abstractNum>
  <w:abstractNum w:abstractNumId="226">
    <w:nsid w:val="26BAAE9"/>
    <w:multiLevelType w:val="hybridMultilevel"/>
    <w:lvl w:ilvl="0">
      <w:lvlJc w:val="left"/>
      <w:lvlText w:val="(%1)"/>
      <w:numFmt w:val="lowerRoman"/>
      <w:start w:val="1"/>
    </w:lvl>
  </w:abstractNum>
  <w:abstractNum w:abstractNumId="227">
    <w:nsid w:val="2C02FE8C"/>
    <w:multiLevelType w:val="hybridMultilevel"/>
    <w:lvl w:ilvl="0">
      <w:lvlJc w:val="left"/>
      <w:lvlText w:val="%1"/>
      <w:numFmt w:val="lowerLetter"/>
      <w:start w:val="1"/>
    </w:lvl>
    <w:lvl w:ilvl="1">
      <w:lvlJc w:val="left"/>
      <w:lvlText w:val="(%2)"/>
      <w:numFmt w:val="lowerLetter"/>
      <w:start w:val="35"/>
    </w:lvl>
  </w:abstractNum>
  <w:abstractNum w:abstractNumId="228">
    <w:nsid w:val="129517E"/>
    <w:multiLevelType w:val="hybridMultilevel"/>
    <w:lvl w:ilvl="0">
      <w:lvlJc w:val="left"/>
      <w:lvlText w:val="(%1)"/>
      <w:numFmt w:val="lowerLetter"/>
      <w:start w:val="6"/>
    </w:lvl>
    <w:lvl w:ilvl="1">
      <w:lvlJc w:val="left"/>
      <w:lvlText w:val="%2"/>
      <w:numFmt w:val="lowerLetter"/>
      <w:start w:val="1"/>
    </w:lvl>
  </w:abstractNum>
  <w:abstractNum w:abstractNumId="229">
    <w:nsid w:val="763B8C4E"/>
    <w:multiLevelType w:val="hybridMultilevel"/>
    <w:lvl w:ilvl="0">
      <w:lvlJc w:val="left"/>
      <w:lvlText w:val="%1."/>
      <w:numFmt w:val="lowerLetter"/>
      <w:start w:val="1"/>
    </w:lvl>
  </w:abstractNum>
  <w:abstractNum w:abstractNumId="230">
    <w:nsid w:val="4CFB8D32"/>
    <w:multiLevelType w:val="hybridMultilevel"/>
    <w:lvl w:ilvl="0">
      <w:lvlJc w:val="left"/>
      <w:lvlText w:val="(%1)"/>
      <w:numFmt w:val="lowerRoman"/>
      <w:start w:val="1"/>
    </w:lvl>
  </w:abstractNum>
  <w:abstractNum w:abstractNumId="231">
    <w:nsid w:val="62A5D5BD"/>
    <w:multiLevelType w:val="hybridMultilevel"/>
    <w:lvl w:ilvl="0">
      <w:lvlJc w:val="left"/>
      <w:lvlText w:val="(%1)"/>
      <w:numFmt w:val="lowerRoman"/>
      <w:start w:val="4"/>
    </w:lvl>
  </w:abstractNum>
  <w:abstractNum w:abstractNumId="232">
    <w:nsid w:val="718FABF9"/>
    <w:multiLevelType w:val="hybridMultilevel"/>
    <w:lvl w:ilvl="0">
      <w:lvlJc w:val="left"/>
      <w:lvlText w:val="(%1)"/>
      <w:numFmt w:val="lowerRoman"/>
      <w:start w:val="8"/>
    </w:lvl>
    <w:lvl w:ilvl="1">
      <w:lvlJc w:val="left"/>
      <w:lvlText w:val="(%2)"/>
      <w:numFmt w:val="lowerLetter"/>
      <w:start w:val="2"/>
    </w:lvl>
  </w:abstractNum>
  <w:abstractNum w:abstractNumId="233">
    <w:nsid w:val="7775797C"/>
    <w:multiLevelType w:val="hybridMultilevel"/>
    <w:lvl w:ilvl="0">
      <w:lvlJc w:val="left"/>
      <w:lvlText w:val="%1."/>
      <w:numFmt w:val="upperLetter"/>
      <w:start w:val="1"/>
    </w:lvl>
    <w:lvl w:ilvl="1">
      <w:lvlJc w:val="left"/>
      <w:lvlText w:val="%2."/>
      <w:numFmt w:val="decimal"/>
      <w:start w:val="1"/>
    </w:lvl>
  </w:abstractNum>
  <w:abstractNum w:abstractNumId="234">
    <w:nsid w:val="1626FB8C"/>
    <w:multiLevelType w:val="hybridMultilevel"/>
    <w:lvl w:ilvl="0">
      <w:lvlJc w:val="left"/>
      <w:lvlText w:val="%1."/>
      <w:numFmt w:val="upperLetter"/>
      <w:start w:val="2"/>
    </w:lvl>
  </w:abstractNum>
  <w:abstractNum w:abstractNumId="235">
    <w:nsid w:val="3957756A"/>
    <w:multiLevelType w:val="hybridMultilevel"/>
    <w:lvl w:ilvl="0">
      <w:lvlJc w:val="left"/>
      <w:lvlText w:val="%1."/>
      <w:numFmt w:val="decimal"/>
      <w:start w:val="1"/>
    </w:lvl>
  </w:abstractNum>
  <w:abstractNum w:abstractNumId="236">
    <w:nsid w:val="3E6DA1C7"/>
    <w:multiLevelType w:val="hybridMultilevel"/>
    <w:lvl w:ilvl="0">
      <w:lvlJc w:val="left"/>
      <w:lvlText w:val="(%1)"/>
      <w:numFmt w:val="upperLetter"/>
      <w:start w:val="1"/>
    </w:lvl>
  </w:abstractNum>
  <w:abstractNum w:abstractNumId="237">
    <w:nsid w:val="65CA235B"/>
    <w:multiLevelType w:val="hybridMultilevel"/>
    <w:lvl w:ilvl="0">
      <w:lvlJc w:val="left"/>
      <w:lvlText w:val="%1."/>
      <w:numFmt w:val="decimal"/>
      <w:start w:val="2"/>
    </w:lvl>
  </w:abstractNum>
  <w:abstractNum w:abstractNumId="238">
    <w:nsid w:val="51CB0DA4"/>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39">
    <w:nsid w:val="7B9B743C"/>
    <w:multiLevelType w:val="hybridMultilevel"/>
    <w:lvl w:ilvl="0">
      <w:lvlJc w:val="left"/>
      <w:lvlText w:val="(%1)"/>
      <w:numFmt w:val="lowerLetter"/>
      <w:start w:val="2"/>
    </w:lvl>
  </w:abstractNum>
  <w:abstractNum w:abstractNumId="240">
    <w:nsid w:val="13E21002"/>
    <w:multiLevelType w:val="hybridMultilevel"/>
    <w:lvl w:ilvl="0">
      <w:lvlJc w:val="left"/>
      <w:lvlText w:val="(%1)"/>
      <w:numFmt w:val="lowerLetter"/>
      <w:start w:val="1"/>
    </w:lvl>
  </w:abstractNum>
  <w:abstractNum w:abstractNumId="241">
    <w:nsid w:val="257D63F4"/>
    <w:multiLevelType w:val="hybridMultilevel"/>
    <w:lvl w:ilvl="0">
      <w:lvlJc w:val="left"/>
      <w:lvlText w:val="%1."/>
      <w:numFmt w:val="decimal"/>
      <w:start w:val="3"/>
    </w:lvl>
  </w:abstractNum>
  <w:abstractNum w:abstractNumId="242">
    <w:nsid w:val="70EC11B2"/>
    <w:multiLevelType w:val="hybridMultilevel"/>
    <w:lvl w:ilvl="0">
      <w:lvlJc w:val="left"/>
      <w:lvlText w:val="%1."/>
      <w:numFmt w:val="decimal"/>
      <w:start w:val="4"/>
    </w:lvl>
  </w:abstractNum>
  <w:abstractNum w:abstractNumId="243">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7320907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5">
    <w:nsid w:val="5FB29816"/>
    <w:multiLevelType w:val="hybridMultilevel"/>
    <w:lvl w:ilvl="0">
      <w:lvlJc w:val="left"/>
      <w:lvlText w:val="%1"/>
      <w:numFmt w:val="lowerLetter"/>
      <w:start w:val="1"/>
    </w:lvl>
    <w:lvl w:ilvl="1">
      <w:lvlJc w:val="left"/>
      <w:lvlText w:val="(%2)"/>
      <w:numFmt w:val="lowerRoman"/>
      <w:start w:val="6"/>
    </w:lvl>
  </w:abstractNum>
  <w:abstractNum w:abstractNumId="246">
    <w:nsid w:val="3CE732EC"/>
    <w:multiLevelType w:val="hybridMultilevel"/>
    <w:lvl w:ilvl="0">
      <w:lvlJc w:val="left"/>
      <w:lvlText w:val="(%1)"/>
      <w:numFmt w:val="lowerLetter"/>
      <w:start w:val="2"/>
    </w:lvl>
    <w:lvl w:ilvl="1">
      <w:lvlJc w:val="left"/>
      <w:lvlText w:val="%2"/>
      <w:numFmt w:val="lowerRoman"/>
      <w:start w:val="1"/>
    </w:lvl>
  </w:abstractNum>
  <w:abstractNum w:abstractNumId="247">
    <w:nsid w:val="22F13DF3"/>
    <w:multiLevelType w:val="hybridMultilevel"/>
    <w:lvl w:ilvl="0">
      <w:lvlJc w:val="left"/>
      <w:lvlText w:val="(%1)"/>
      <w:numFmt w:val="lowerLetter"/>
      <w:start w:val="1"/>
    </w:lvl>
  </w:abstractNum>
  <w:abstractNum w:abstractNumId="248">
    <w:nsid w:val="792B8401"/>
    <w:multiLevelType w:val="hybridMultilevel"/>
    <w:lvl w:ilvl="0">
      <w:lvlJc w:val="left"/>
      <w:lvlText w:val="(%1)"/>
      <w:numFmt w:val="lowerLetter"/>
      <w:start w:val="1"/>
    </w:lvl>
  </w:abstractNum>
  <w:abstractNum w:abstractNumId="249">
    <w:nsid w:val="FA85F4D"/>
    <w:multiLevelType w:val="hybridMultilevel"/>
    <w:lvl w:ilvl="0">
      <w:lvlJc w:val="left"/>
      <w:lvlText w:val="(%1)"/>
      <w:numFmt w:val="lowerLetter"/>
      <w:start w:val="2"/>
    </w:lvl>
  </w:abstractNum>
  <w:abstractNum w:abstractNumId="250">
    <w:nsid w:val="6ECE91F0"/>
    <w:multiLevelType w:val="hybridMultilevel"/>
    <w:lvl w:ilvl="0">
      <w:lvlJc w:val="left"/>
      <w:lvlText w:val="(%1)"/>
      <w:numFmt w:val="lowerLetter"/>
      <w:start w:val="1"/>
    </w:lvl>
  </w:abstractNum>
  <w:abstractNum w:abstractNumId="251">
    <w:nsid w:val="4FC4D600"/>
    <w:multiLevelType w:val="hybridMultilevel"/>
    <w:lvl w:ilvl="0">
      <w:lvlJc w:val="left"/>
      <w:lvlText w:val="(%1)"/>
      <w:numFmt w:val="lowerLetter"/>
      <w:start w:val="1"/>
    </w:lvl>
    <w:lvl w:ilvl="1">
      <w:lvlJc w:val="left"/>
      <w:lvlText w:val="(%2)"/>
      <w:numFmt w:val="lowerRoman"/>
      <w:start w:val="1"/>
    </w:lvl>
  </w:abstractNum>
  <w:abstractNum w:abstractNumId="252">
    <w:nsid w:val="5BFD4210"/>
    <w:multiLevelType w:val="hybridMultilevel"/>
    <w:lvl w:ilvl="0">
      <w:lvlJc w:val="left"/>
      <w:lvlText w:val="(%1)"/>
      <w:numFmt w:val="decimal"/>
      <w:start w:val="1"/>
    </w:lvl>
  </w:abstractNum>
  <w:abstractNum w:abstractNumId="253">
    <w:nsid w:val="76574F8B"/>
    <w:multiLevelType w:val="hybridMultilevel"/>
    <w:lvl w:ilvl="0">
      <w:lvlJc w:val="left"/>
      <w:lvlText w:val="(%1)"/>
      <w:numFmt w:val="lowerLetter"/>
      <w:start w:val="1"/>
    </w:lvl>
  </w:abstractNum>
  <w:abstractNum w:abstractNumId="254">
    <w:nsid w:val="178F7B67"/>
    <w:multiLevelType w:val="hybridMultilevel"/>
    <w:lvl w:ilvl="0">
      <w:lvlJc w:val="left"/>
      <w:lvlText w:val="(%1)"/>
      <w:numFmt w:val="lowerRoman"/>
      <w:start w:val="1"/>
    </w:lvl>
  </w:abstractNum>
  <w:abstractNum w:abstractNumId="255">
    <w:nsid w:val="2421DFCF"/>
    <w:multiLevelType w:val="hybridMultilevel"/>
    <w:lvl w:ilvl="0">
      <w:lvlJc w:val="left"/>
      <w:lvlText w:val="%1."/>
      <w:numFmt w:val="decimal"/>
      <w:start w:val="5"/>
    </w:lvl>
  </w:abstractNum>
  <w:abstractNum w:abstractNumId="256">
    <w:nsid w:val="1565AC99"/>
    <w:multiLevelType w:val="hybridMultilevel"/>
    <w:lvl w:ilvl="0">
      <w:lvlJc w:val="left"/>
      <w:lvlText w:val="%1"/>
      <w:numFmt w:val="lowerLetter"/>
      <w:start w:val="1"/>
    </w:lvl>
    <w:lvl w:ilvl="1">
      <w:lvlJc w:val="left"/>
      <w:lvlText w:val="%2."/>
      <w:numFmt w:val="decimal"/>
      <w:start w:val="6"/>
    </w:lvl>
  </w:abstractNum>
  <w:abstractNum w:abstractNumId="257">
    <w:nsid w:val="19FB2650"/>
    <w:multiLevelType w:val="hybridMultilevel"/>
    <w:lvl w:ilvl="0">
      <w:lvlJc w:val="left"/>
      <w:lvlText w:val="(%1)"/>
      <w:numFmt w:val="lowerLetter"/>
      <w:start w:val="3"/>
    </w:lvl>
    <w:lvl w:ilvl="1">
      <w:lvlJc w:val="left"/>
      <w:lvlText w:val="%2."/>
      <w:numFmt w:val="decimal"/>
      <w:start w:val="8"/>
    </w:lvl>
  </w:abstractNum>
  <w:abstractNum w:abstractNumId="258">
    <w:nsid w:val="5024DE5B"/>
    <w:multiLevelType w:val="hybridMultilevel"/>
    <w:lvl w:ilvl="0">
      <w:lvlJc w:val="left"/>
      <w:lvlText w:val="%1."/>
      <w:numFmt w:val="decimal"/>
      <w:start w:val="1"/>
    </w:lvl>
  </w:abstractNum>
  <w:abstractNum w:abstractNumId="259">
    <w:nsid w:val="168EFE17"/>
    <w:multiLevelType w:val="hybridMultilevel"/>
    <w:lvl w:ilvl="0">
      <w:lvlJc w:val="left"/>
      <w:lvlText w:val="%1."/>
      <w:numFmt w:val="decimal"/>
      <w:start w:val="6"/>
    </w:lvl>
  </w:abstractNum>
  <w:abstractNum w:abstractNumId="260">
    <w:nsid w:val="1036B29F"/>
    <w:multiLevelType w:val="hybridMultilevel"/>
    <w:lvl w:ilvl="0">
      <w:lvlJc w:val="left"/>
      <w:lvlText w:val="(%1)"/>
      <w:numFmt w:val="lowerRoman"/>
      <w:start w:val="1"/>
    </w:lvl>
  </w:abstractNum>
  <w:abstractNum w:abstractNumId="261">
    <w:nsid w:val="1D206B8E"/>
    <w:multiLevelType w:val="hybridMultilevel"/>
    <w:lvl w:ilvl="0">
      <w:lvlJc w:val="left"/>
      <w:lvlText w:val="%1."/>
      <w:numFmt w:val="decimal"/>
      <w:start w:val="1"/>
    </w:lvl>
  </w:abstractNum>
  <w:abstractNum w:abstractNumId="262">
    <w:nsid w:val="7934D3D4"/>
    <w:multiLevelType w:val="hybridMultilevel"/>
    <w:lvl w:ilvl="0">
      <w:lvlJc w:val="left"/>
      <w:lvlText w:val="%1."/>
      <w:numFmt w:val="decimal"/>
      <w:start w:val="1"/>
    </w:lvl>
  </w:abstractNum>
  <w:abstractNum w:abstractNumId="263">
    <w:nsid w:val="1C65E98"/>
    <w:multiLevelType w:val="hybridMultilevel"/>
    <w:lvl w:ilvl="0">
      <w:lvlJc w:val="left"/>
      <w:lvlText w:val="%1."/>
      <w:numFmt w:val="decimal"/>
      <w:start w:val="1"/>
    </w:lvl>
  </w:abstractNum>
  <w:abstractNum w:abstractNumId="264">
    <w:nsid w:val="1495E50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65">
    <w:nsid w:val="F5BCF6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66">
    <w:nsid w:val="3B1DD403"/>
    <w:multiLevelType w:val="hybridMultilevel"/>
    <w:lvl w:ilvl="0">
      <w:lvlJc w:val="left"/>
      <w:lvlText w:val="(%1)"/>
      <w:numFmt w:val="lowerLetter"/>
      <w:start w:val="1"/>
    </w:lvl>
  </w:abstractNum>
  <w:abstractNum w:abstractNumId="267">
    <w:nsid w:val="530386D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68">
    <w:nsid w:val="7525F2BC"/>
    <w:multiLevelType w:val="hybridMultilevel"/>
    <w:lvl w:ilvl="0">
      <w:lvlJc w:val="left"/>
      <w:lvlText w:val="(%1)"/>
      <w:numFmt w:val="decimal"/>
      <w:start w:val="3"/>
    </w:lvl>
    <w:lvl w:ilvl="1">
      <w:lvlJc w:val="left"/>
      <w:lvlText w:val="%2"/>
      <w:numFmt w:val="lowerLetter"/>
      <w:start w:val="1"/>
    </w:lvl>
    <w:lvl w:ilvl="2">
      <w:lvlJc w:val="left"/>
      <w:lvlText w:val="(%3)"/>
      <w:numFmt w:val="decimal"/>
      <w:start w:val="2"/>
    </w:lvl>
  </w:abstractNum>
  <w:abstractNum w:abstractNumId="269">
    <w:nsid w:val="CE8E1A7"/>
    <w:multiLevelType w:val="hybridMultilevel"/>
    <w:lvl w:ilvl="0">
      <w:lvlJc w:val="left"/>
      <w:lvlText w:val="(%1)"/>
      <w:numFmt w:val="decimal"/>
      <w:start w:val="3"/>
    </w:lvl>
  </w:abstractNum>
  <w:abstractNum w:abstractNumId="270">
    <w:nsid w:val="4E9EFB0D"/>
    <w:multiLevelType w:val="hybridMultilevel"/>
    <w:lvl w:ilvl="0">
      <w:lvlJc w:val="left"/>
      <w:lvlText w:val="(%1)"/>
      <w:numFmt w:val="lowerRoman"/>
      <w:start w:val="1"/>
    </w:lvl>
  </w:abstractNum>
  <w:abstractNum w:abstractNumId="271">
    <w:nsid w:val="90802BE"/>
    <w:multiLevelType w:val="hybridMultilevel"/>
    <w:lvl w:ilvl="0">
      <w:lvlJc w:val="left"/>
      <w:lvlText w:val="%1"/>
      <w:numFmt w:val="decimal"/>
      <w:start w:val="1"/>
    </w:lvl>
    <w:lvl w:ilvl="1">
      <w:lvlJc w:val="left"/>
      <w:lvlText w:val="(%2)"/>
      <w:numFmt w:val="lowerLetter"/>
      <w:start w:val="3"/>
    </w:lvl>
  </w:abstractNum>
  <w:abstractNum w:abstractNumId="272">
    <w:nsid w:val="3266459B"/>
    <w:multiLevelType w:val="hybridMultilevel"/>
    <w:lvl w:ilvl="0">
      <w:lvlJc w:val="left"/>
      <w:lvlText w:val="(%1)"/>
      <w:numFmt w:val="decimal"/>
      <w:start w:val="5"/>
    </w:lvl>
    <w:lvl w:ilvl="1">
      <w:lvlJc w:val="left"/>
      <w:lvlText w:val="(%2)"/>
      <w:numFmt w:val="lowerLetter"/>
      <w:start w:val="4"/>
    </w:lvl>
  </w:abstractNum>
  <w:abstractNum w:abstractNumId="273">
    <w:nsid w:val="3F8B0CBF"/>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74">
    <w:nsid w:val="37E203AB"/>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275">
    <w:nsid w:val="2586D60E"/>
    <w:multiLevelType w:val="hybridMultilevel"/>
    <w:lvl w:ilvl="0">
      <w:lvlJc w:val="left"/>
      <w:lvlText w:val="(%1)"/>
      <w:numFmt w:val="lowerLetter"/>
      <w:start w:val="1"/>
    </w:lvl>
  </w:abstractNum>
  <w:abstractNum w:abstractNumId="276">
    <w:nsid w:val="1F3DA4D5"/>
    <w:multiLevelType w:val="hybridMultilevel"/>
    <w:lvl w:ilvl="0">
      <w:lvlJc w:val="left"/>
      <w:lvlText w:val="(%1)"/>
      <w:numFmt w:val="lowerLetter"/>
      <w:start w:val="3"/>
    </w:lvl>
  </w:abstractNum>
  <w:abstractNum w:abstractNumId="277">
    <w:nsid w:val="74C93698"/>
    <w:multiLevelType w:val="hybridMultilevel"/>
    <w:lvl w:ilvl="0">
      <w:lvlJc w:val="left"/>
      <w:lvlText w:val="(%1)"/>
      <w:numFmt w:val="decimal"/>
      <w:start w:val="1"/>
    </w:lvl>
  </w:abstractNum>
  <w:abstractNum w:abstractNumId="278">
    <w:nsid w:val="48781401"/>
    <w:multiLevelType w:val="hybridMultilevel"/>
    <w:lvl w:ilvl="0">
      <w:lvlJc w:val="left"/>
      <w:lvlText w:val="(%1)"/>
      <w:numFmt w:val="lowerLetter"/>
      <w:start w:val="1"/>
    </w:lvl>
  </w:abstractNum>
  <w:abstractNum w:abstractNumId="279">
    <w:nsid w:val="186928D6"/>
    <w:multiLevelType w:val="hybridMultilevel"/>
    <w:lvl w:ilvl="0">
      <w:lvlJc w:val="left"/>
      <w:lvlText w:val="(%1)"/>
      <w:numFmt w:val="lowerLetter"/>
      <w:start w:val="1"/>
    </w:lvl>
  </w:abstractNum>
  <w:abstractNum w:abstractNumId="280">
    <w:nsid w:val="47195E5"/>
    <w:multiLevelType w:val="hybridMultilevel"/>
    <w:lvl w:ilvl="0">
      <w:lvlJc w:val="left"/>
      <w:lvlText w:val="(%1)"/>
      <w:numFmt w:val="lowerLetter"/>
      <w:start w:val="1"/>
    </w:lvl>
  </w:abstractNum>
  <w:abstractNum w:abstractNumId="281">
    <w:nsid w:val="3746A5F2"/>
    <w:multiLevelType w:val="hybridMultilevel"/>
    <w:lvl w:ilvl="0">
      <w:lvlJc w:val="left"/>
      <w:lvlText w:val="(%1)"/>
      <w:numFmt w:val="lowerLetter"/>
      <w:start w:val="2"/>
    </w:lvl>
  </w:abstractNum>
  <w:abstractNum w:abstractNumId="282">
    <w:nsid w:val="682DFED6"/>
    <w:multiLevelType w:val="hybridMultilevel"/>
    <w:lvl w:ilvl="0">
      <w:lvlJc w:val="left"/>
      <w:lvlText w:val="(%1)"/>
      <w:numFmt w:val="lowerLetter"/>
      <w:start w:val="1"/>
    </w:lvl>
  </w:abstractNum>
  <w:abstractNum w:abstractNumId="283">
    <w:nsid w:val="606ED7F6"/>
    <w:multiLevelType w:val="hybridMultilevel"/>
    <w:lvl w:ilvl="0">
      <w:lvlJc w:val="left"/>
      <w:lvlText w:val="(%1)"/>
      <w:numFmt w:val="lowerLetter"/>
      <w:start w:val="2"/>
    </w:lvl>
  </w:abstractNum>
  <w:abstractNum w:abstractNumId="284">
    <w:nsid w:val="2D9DF57D"/>
    <w:multiLevelType w:val="hybridMultilevel"/>
    <w:lvl w:ilvl="0">
      <w:lvlJc w:val="left"/>
      <w:lvlText w:val="%1"/>
      <w:numFmt w:val="lowerLetter"/>
      <w:start w:val="1"/>
    </w:lvl>
    <w:lvl w:ilvl="1">
      <w:lvlJc w:val="left"/>
      <w:lvlText w:val="(%2)"/>
      <w:numFmt w:val="lowerLetter"/>
      <w:start w:val="1"/>
    </w:lvl>
  </w:abstractNum>
  <w:abstractNum w:abstractNumId="285">
    <w:nsid w:val="7FBD7A3E"/>
    <w:multiLevelType w:val="hybridMultilevel"/>
    <w:lvl w:ilvl="0">
      <w:lvlJc w:val="left"/>
      <w:lvlText w:val="(%1)"/>
      <w:numFmt w:val="lowerLetter"/>
      <w:start w:val="9"/>
    </w:lvl>
    <w:lvl w:ilvl="1">
      <w:lvlJc w:val="left"/>
      <w:lvlText w:val="(%2)"/>
      <w:numFmt w:val="lowerLetter"/>
      <w:start w:val="2"/>
    </w:lvl>
  </w:abstractNum>
  <w:abstractNum w:abstractNumId="286">
    <w:nsid w:val="490B7C5"/>
    <w:multiLevelType w:val="hybridMultilevel"/>
    <w:lvl w:ilvl="0">
      <w:lvlJc w:val="left"/>
      <w:lvlText w:val="(%1)"/>
      <w:numFmt w:val="lowerLetter"/>
      <w:start w:val="4"/>
    </w:lvl>
  </w:abstractNum>
  <w:abstractNum w:abstractNumId="287">
    <w:nsid w:val="4303A216"/>
    <w:multiLevelType w:val="hybridMultilevel"/>
    <w:lvl w:ilvl="0">
      <w:lvlJc w:val="left"/>
      <w:lvlText w:val="(%1)"/>
      <w:numFmt w:val="lowerLetter"/>
      <w:start w:val="1"/>
    </w:lvl>
  </w:abstractNum>
  <w:abstractNum w:abstractNumId="288">
    <w:nsid w:val="19B8A08E"/>
    <w:multiLevelType w:val="hybridMultilevel"/>
    <w:lvl w:ilvl="0">
      <w:lvlJc w:val="left"/>
      <w:lvlText w:val="(%1)"/>
      <w:numFmt w:val="lowerLetter"/>
      <w:start w:val="5"/>
    </w:lvl>
  </w:abstractNum>
  <w:abstractNum w:abstractNumId="289">
    <w:nsid w:val="54B59621"/>
    <w:multiLevelType w:val="hybridMultilevel"/>
    <w:lvl w:ilvl="0">
      <w:lvlJc w:val="left"/>
      <w:lvlText w:val="(%1)"/>
      <w:numFmt w:val="lowerLetter"/>
      <w:start w:val="1"/>
    </w:lvl>
  </w:abstractNum>
  <w:abstractNum w:abstractNumId="290">
    <w:nsid w:val="5992A02E"/>
    <w:multiLevelType w:val="hybridMultilevel"/>
    <w:lvl w:ilvl="0">
      <w:lvlJc w:val="left"/>
      <w:lvlText w:val="%1"/>
      <w:numFmt w:val="decimal"/>
      <w:start w:val="1"/>
    </w:lvl>
    <w:lvl w:ilvl="1">
      <w:lvlJc w:val="left"/>
      <w:lvlText w:val="(%2)"/>
      <w:numFmt w:val="lowerLetter"/>
      <w:start w:val="1"/>
    </w:lvl>
  </w:abstractNum>
  <w:abstractNum w:abstractNumId="291">
    <w:nsid w:val="29EF532D"/>
    <w:multiLevelType w:val="hybridMultilevel"/>
    <w:lvl w:ilvl="0">
      <w:lvlJc w:val="left"/>
      <w:lvlText w:val="(%1)"/>
      <w:numFmt w:val="decimal"/>
      <w:start w:val="10"/>
    </w:lvl>
    <w:lvl w:ilvl="1">
      <w:lvlJc w:val="left"/>
      <w:lvlText w:val="%2"/>
      <w:numFmt w:val="lowerLetter"/>
      <w:start w:val="1"/>
    </w:lvl>
  </w:abstractNum>
  <w:abstractNum w:abstractNumId="292">
    <w:nsid w:val="71D601AF"/>
    <w:multiLevelType w:val="hybridMultilevel"/>
    <w:lvl w:ilvl="0">
      <w:lvlJc w:val="left"/>
      <w:lvlText w:val="(%1)"/>
      <w:numFmt w:val="lowerLetter"/>
      <w:start w:val="2"/>
    </w:lvl>
  </w:abstractNum>
  <w:abstractNum w:abstractNumId="293">
    <w:nsid w:val="52C77402"/>
    <w:multiLevelType w:val="hybridMultilevel"/>
    <w:lvl w:ilvl="0">
      <w:lvlJc w:val="left"/>
      <w:lvlText w:val="%1"/>
      <w:numFmt w:val="lowerLetter"/>
      <w:start w:val="1"/>
    </w:lvl>
    <w:lvl w:ilvl="1">
      <w:lvlJc w:val="left"/>
      <w:lvlText w:val="(%2)"/>
      <w:numFmt w:val="lowerLetter"/>
      <w:start w:val="1"/>
    </w:lvl>
  </w:abstractNum>
  <w:abstractNum w:abstractNumId="294">
    <w:nsid w:val="2BB5B1C6"/>
    <w:multiLevelType w:val="hybridMultilevel"/>
    <w:lvl w:ilvl="0">
      <w:lvlJc w:val="left"/>
      <w:lvlText w:val="(%1)"/>
      <w:numFmt w:val="lowerLetter"/>
      <w:start w:val="9"/>
    </w:lvl>
    <w:lvl w:ilvl="1">
      <w:lvlJc w:val="left"/>
      <w:lvlText w:val="%2"/>
      <w:numFmt w:val="lowerLetter"/>
      <w:start w:val="1"/>
    </w:lvl>
  </w:abstractNum>
  <w:abstractNum w:abstractNumId="295">
    <w:nsid w:val="66BE6B9"/>
    <w:multiLevelType w:val="hybridMultilevel"/>
    <w:lvl w:ilvl="0">
      <w:lvlJc w:val="left"/>
      <w:lvlText w:val="(%1)"/>
      <w:numFmt w:val="lowerLetter"/>
      <w:start w:val="61"/>
    </w:lvl>
    <w:lvl w:ilvl="1">
      <w:lvlJc w:val="left"/>
      <w:lvlText w:val="(%2)"/>
      <w:numFmt w:val="lowerLetter"/>
      <w:start w:val="2"/>
    </w:lvl>
  </w:abstractNum>
  <w:abstractNum w:abstractNumId="296">
    <w:nsid w:val="62234363"/>
    <w:multiLevelType w:val="hybridMultilevel"/>
    <w:lvl w:ilvl="0">
      <w:lvlJc w:val="left"/>
      <w:lvlText w:val="(%1)"/>
      <w:numFmt w:val="lowerLetter"/>
      <w:start w:val="4"/>
    </w:lvl>
  </w:abstractNum>
  <w:abstractNum w:abstractNumId="297">
    <w:nsid w:val="66D385C9"/>
    <w:multiLevelType w:val="hybridMultilevel"/>
    <w:lvl w:ilvl="0">
      <w:lvlJc w:val="left"/>
      <w:lvlText w:val="(%1)"/>
      <w:numFmt w:val="lowerLetter"/>
      <w:start w:val="8"/>
    </w:lvl>
    <w:lvl w:ilvl="1">
      <w:lvlJc w:val="left"/>
      <w:lvlText w:val="(%2)"/>
      <w:numFmt w:val="decimal"/>
      <w:start w:val="1"/>
    </w:lvl>
  </w:abstractNum>
  <w:abstractNum w:abstractNumId="298">
    <w:nsid w:val="596F6D8A"/>
    <w:multiLevelType w:val="hybridMultilevel"/>
    <w:lvl w:ilvl="0">
      <w:lvlJc w:val="left"/>
      <w:lvlText w:val="(%1)"/>
      <w:numFmt w:val="lowerLetter"/>
      <w:start w:val="1"/>
    </w:lvl>
  </w:abstractNum>
  <w:abstractNum w:abstractNumId="299">
    <w:nsid w:val="5749361F"/>
    <w:multiLevelType w:val="hybridMultilevel"/>
    <w:lvl w:ilvl="0">
      <w:lvlJc w:val="left"/>
      <w:lvlText w:val="(%1)"/>
      <w:numFmt w:val="lowerLetter"/>
      <w:start w:val="6"/>
    </w:lvl>
  </w:abstractNum>
  <w:abstractNum w:abstractNumId="300">
    <w:nsid w:val="73BC6770"/>
    <w:multiLevelType w:val="hybridMultilevel"/>
    <w:lvl w:ilvl="0">
      <w:lvlJc w:val="left"/>
      <w:lvlText w:val="%1:"/>
      <w:numFmt w:val="upperLetter"/>
      <w:start w:val="20"/>
    </w:lvl>
  </w:abstractNum>
  <w:abstractNum w:abstractNumId="301">
    <w:nsid w:val="280E6897"/>
    <w:multiLevelType w:val="hybridMultilevel"/>
    <w:lvl w:ilvl="0">
      <w:lvlJc w:val="left"/>
      <w:lvlText w:val="%1."/>
      <w:numFmt w:val="decimal"/>
      <w:start w:val="1"/>
    </w:lvl>
    <w:lvl w:ilvl="1">
      <w:lvlJc w:val="left"/>
      <w:lvlText w:val="(%2)"/>
      <w:numFmt w:val="lowerLetter"/>
      <w:start w:val="1"/>
    </w:lvl>
  </w:abstractNum>
  <w:abstractNum w:abstractNumId="302">
    <w:nsid w:val="605138DE"/>
    <w:multiLevelType w:val="hybridMultilevel"/>
    <w:lvl w:ilvl="0">
      <w:lvlJc w:val="left"/>
      <w:lvlText w:val="(%1)"/>
      <w:numFmt w:val="lowerLetter"/>
      <w:start w:val="61"/>
    </w:lvl>
    <w:lvl w:ilvl="1">
      <w:lvlJc w:val="left"/>
      <w:lvlText w:val="(%2)"/>
      <w:numFmt w:val="lowerLetter"/>
      <w:start w:val="4"/>
    </w:lvl>
  </w:abstractNum>
  <w:abstractNum w:abstractNumId="303">
    <w:nsid w:val="2622AD0C"/>
    <w:multiLevelType w:val="hybridMultilevel"/>
    <w:lvl w:ilvl="0">
      <w:lvlJc w:val="left"/>
      <w:lvlText w:val="%1."/>
      <w:numFmt w:val="decimal"/>
      <w:start w:val="2"/>
    </w:lvl>
    <w:lvl w:ilvl="1">
      <w:lvlJc w:val="left"/>
      <w:lvlText w:val="(%2)"/>
      <w:numFmt w:val="lowerLetter"/>
      <w:start w:val="1"/>
    </w:lvl>
  </w:abstractNum>
  <w:abstractNum w:abstractNumId="304">
    <w:nsid w:val="6799755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5">
    <w:nsid w:val="18333C8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6">
    <w:nsid w:val="4BA983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07">
    <w:nsid w:val="6D71A2B"/>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4"/>
    </w:lvl>
  </w:abstractNum>
  <w:abstractNum w:abstractNumId="308">
    <w:nsid w:val="CFC7321"/>
    <w:multiLevelType w:val="hybridMultilevel"/>
    <w:lvl w:ilvl="0">
      <w:lvlJc w:val="left"/>
      <w:lvlText w:val="%1."/>
      <w:numFmt w:val="decimal"/>
      <w:start w:val="4"/>
    </w:lvl>
  </w:abstractNum>
  <w:abstractNum w:abstractNumId="309">
    <w:nsid w:val="1421971B"/>
    <w:multiLevelType w:val="hybridMultilevel"/>
    <w:lvl w:ilvl="0">
      <w:lvlJc w:val="left"/>
      <w:lvlText w:val="(%1)"/>
      <w:numFmt w:val="lowerLetter"/>
      <w:start w:val="1"/>
    </w:lvl>
    <w:lvl w:ilvl="1">
      <w:lvlJc w:val="left"/>
      <w:lvlText w:val="(%2)"/>
      <w:numFmt w:val="lowerRoman"/>
      <w:start w:val="1"/>
    </w:lvl>
  </w:abstractNum>
  <w:abstractNum w:abstractNumId="310">
    <w:nsid w:val="1F404301"/>
    <w:multiLevelType w:val="hybridMultilevel"/>
    <w:lvl w:ilvl="0">
      <w:lvlJc w:val="left"/>
      <w:lvlText w:val="%1"/>
      <w:numFmt w:val="lowerLetter"/>
      <w:start w:val="1"/>
    </w:lvl>
    <w:lvl w:ilvl="1">
      <w:lvlJc w:val="left"/>
      <w:lvlText w:val="(%2)"/>
      <w:numFmt w:val="lowerLetter"/>
      <w:start w:val="22"/>
    </w:lvl>
  </w:abstractNum>
  <w:abstractNum w:abstractNumId="311">
    <w:nsid w:val="116E0907"/>
    <w:multiLevelType w:val="hybridMultilevel"/>
    <w:lvl w:ilvl="0">
      <w:lvlJc w:val="left"/>
      <w:lvlText w:val="(%1)"/>
      <w:numFmt w:val="lowerLetter"/>
      <w:start w:val="4"/>
    </w:lvl>
    <w:lvl w:ilvl="1">
      <w:lvlJc w:val="left"/>
      <w:lvlText w:val="(%2)"/>
      <w:numFmt w:val="lowerLetter"/>
      <w:start w:val="9"/>
    </w:lvl>
  </w:abstractNum>
  <w:abstractNum w:abstractNumId="312">
    <w:nsid w:val="4B683D0D"/>
    <w:multiLevelType w:val="hybridMultilevel"/>
    <w:lvl w:ilvl="0">
      <w:lvlJc w:val="left"/>
      <w:lvlText w:val="%1"/>
      <w:numFmt w:val="lowerLetter"/>
      <w:start w:val="1"/>
    </w:lvl>
    <w:lvl w:ilvl="1">
      <w:lvlJc w:val="left"/>
      <w:lvlText w:val="(%2)"/>
      <w:numFmt w:val="lowerLetter"/>
      <w:start w:val="35"/>
    </w:lvl>
  </w:abstractNum>
  <w:abstractNum w:abstractNumId="313">
    <w:nsid w:val="76E41D8"/>
    <w:multiLevelType w:val="hybridMultilevel"/>
    <w:lvl w:ilvl="0">
      <w:lvlJc w:val="left"/>
      <w:lvlText w:val="(%1)"/>
      <w:numFmt w:val="lowerLetter"/>
      <w:start w:val="6"/>
    </w:lvl>
    <w:lvl w:ilvl="1">
      <w:lvlJc w:val="left"/>
      <w:lvlText w:val="%2"/>
      <w:numFmt w:val="lowerLetter"/>
      <w:start w:val="1"/>
    </w:lvl>
  </w:abstractNum>
  <w:abstractNum w:abstractNumId="314">
    <w:nsid w:val="71DCE0FD"/>
    <w:multiLevelType w:val="hybridMultilevel"/>
    <w:lvl w:ilvl="0">
      <w:lvlJc w:val="left"/>
      <w:lvlText w:val="(%1)"/>
      <w:numFmt w:val="lowerLetter"/>
      <w:start w:val="7"/>
    </w:lvl>
    <w:lvl w:ilvl="1">
      <w:lvlJc w:val="left"/>
      <w:lvlText w:val="(%2)"/>
      <w:numFmt w:val="lowerRoman"/>
      <w:start w:val="1"/>
    </w:lvl>
  </w:abstractNum>
  <w:abstractNum w:abstractNumId="315">
    <w:nsid w:val="7906328B"/>
    <w:multiLevelType w:val="hybridMultilevel"/>
    <w:lvl w:ilvl="0">
      <w:lvlJc w:val="left"/>
      <w:lvlText w:val="(%1)"/>
      <w:numFmt w:val="lowerRoman"/>
      <w:start w:val="1"/>
    </w:lvl>
  </w:abstractNum>
  <w:abstractNum w:abstractNumId="316">
    <w:nsid w:val="72BBC16"/>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317">
    <w:nsid w:val="766D98C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18">
    <w:nsid w:val="3C09D4A1"/>
    <w:multiLevelType w:val="hybridMultilevel"/>
    <w:lvl w:ilvl="0">
      <w:lvlJc w:val="left"/>
      <w:lvlText w:val="%1"/>
      <w:numFmt w:val="lowerRoman"/>
      <w:start w:val="1"/>
    </w:lvl>
    <w:lvl w:ilvl="1">
      <w:lvlJc w:val="left"/>
      <w:lvlText w:val="(%2)"/>
      <w:numFmt w:val="decimal"/>
      <w:start w:val="2"/>
    </w:lvl>
  </w:abstractNum>
  <w:abstractNum w:abstractNumId="319">
    <w:nsid w:val="20E45CA4"/>
    <w:multiLevelType w:val="hybridMultilevel"/>
    <w:lvl w:ilvl="0">
      <w:lvlJc w:val="left"/>
      <w:lvlText w:val="(%1)"/>
      <w:numFmt w:val="lowerRoman"/>
      <w:start w:val="2"/>
    </w:lvl>
    <w:lvl w:ilvl="1">
      <w:lvlJc w:val="left"/>
      <w:lvlText w:val="(%2)"/>
      <w:numFmt w:val="decimal"/>
      <w:start w:val="1"/>
    </w:lvl>
  </w:abstractNum>
  <w:abstractNum w:abstractNumId="320">
    <w:nsid w:val="4B232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21">
    <w:nsid w:val="159C74C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2">
    <w:nsid w:val="4AD3AFD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3">
    <w:nsid w:val="3CF93092"/>
    <w:multiLevelType w:val="hybridMultilevel"/>
    <w:lvl w:ilvl="0">
      <w:lvlJc w:val="left"/>
      <w:lvlText w:val="(%1)"/>
      <w:numFmt w:val="lowerLetter"/>
      <w:start w:val="3"/>
    </w:lvl>
    <w:lvl w:ilvl="1">
      <w:lvlJc w:val="left"/>
      <w:lvlText w:val="(%2)"/>
      <w:numFmt w:val="lowerRoman"/>
      <w:start w:val="1"/>
    </w:lvl>
  </w:abstractNum>
  <w:abstractNum w:abstractNumId="324">
    <w:nsid w:val="6863E8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25">
    <w:nsid w:val="768961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6">
    <w:nsid w:val="4365174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7">
    <w:nsid w:val="4A872C35"/>
    <w:multiLevelType w:val="hybridMultilevel"/>
    <w:lvl w:ilvl="0">
      <w:lvlJc w:val="left"/>
      <w:lvlText w:val="%1"/>
      <w:numFmt w:val="decimal"/>
      <w:start w:val="1"/>
    </w:lvl>
    <w:lvl w:ilvl="1">
      <w:lvlJc w:val="left"/>
      <w:lvlText w:val="(%2)"/>
      <w:numFmt w:val="lowerRoman"/>
      <w:start w:val="2"/>
    </w:lvl>
  </w:abstractNum>
  <w:abstractNum w:abstractNumId="328">
    <w:nsid w:val="5D5CE761"/>
    <w:multiLevelType w:val="hybridMultilevel"/>
    <w:lvl w:ilvl="0">
      <w:lvlJc w:val="left"/>
      <w:lvlText w:val="(%1)"/>
      <w:numFmt w:val="decimal"/>
      <w:start w:val="2"/>
    </w:lvl>
    <w:lvl w:ilvl="1">
      <w:lvlJc w:val="left"/>
      <w:lvlText w:val="(%2)"/>
      <w:numFmt w:val="lowerRoman"/>
      <w:start w:val="8"/>
    </w:lvl>
  </w:abstractNum>
  <w:abstractNum w:abstractNumId="329">
    <w:nsid w:val="1CD484D5"/>
    <w:multiLevelType w:val="hybridMultilevel"/>
    <w:lvl w:ilvl="0">
      <w:lvlJc w:val="left"/>
      <w:lvlText w:val="%1"/>
      <w:numFmt w:val="lowerLetter"/>
      <w:start w:val="1"/>
    </w:lvl>
    <w:lvl w:ilvl="1">
      <w:lvlJc w:val="left"/>
      <w:lvlText w:val="(%2)"/>
      <w:numFmt w:val="lowerRoman"/>
      <w:start w:val="10"/>
    </w:lvl>
  </w:abstractNum>
  <w:abstractNum w:abstractNumId="330">
    <w:nsid w:val="21D06255"/>
    <w:multiLevelType w:val="hybridMultilevel"/>
    <w:lvl w:ilvl="0">
      <w:lvlJc w:val="left"/>
      <w:lvlText w:val="(%1)"/>
      <w:numFmt w:val="lowerLetter"/>
      <w:start w:val="3"/>
    </w:lvl>
    <w:lvl w:ilvl="1">
      <w:lvlJc w:val="left"/>
      <w:lvlText w:val="(%2)"/>
      <w:numFmt w:val="lowerRoman"/>
      <w:start w:val="1"/>
    </w:lvl>
  </w:abstractNum>
  <w:abstractNum w:abstractNumId="331">
    <w:nsid w:val="51194ED1"/>
    <w:multiLevelType w:val="hybridMultilevel"/>
    <w:lvl w:ilvl="0">
      <w:lvlJc w:val="left"/>
      <w:lvlText w:val="%1"/>
      <w:numFmt w:val="lowerLetter"/>
      <w:start w:val="1"/>
    </w:lvl>
    <w:lvl w:ilvl="1">
      <w:lvlJc w:val="left"/>
      <w:lvlText w:val="(%2)"/>
      <w:numFmt w:val="lowerLetter"/>
      <w:start w:val="5"/>
    </w:lvl>
  </w:abstractNum>
  <w:abstractNum w:abstractNumId="332">
    <w:nsid w:val="44E2ED6C"/>
    <w:multiLevelType w:val="hybridMultilevel"/>
    <w:lvl w:ilvl="0">
      <w:lvlJc w:val="left"/>
      <w:lvlText w:val="(%1)"/>
      <w:numFmt w:val="lowerLetter"/>
      <w:start w:val="9"/>
    </w:lvl>
    <w:lvl w:ilvl="1">
      <w:lvlJc w:val="left"/>
      <w:lvlText w:val="%2"/>
      <w:numFmt w:val="lowerLetter"/>
      <w:start w:val="1"/>
    </w:lvl>
  </w:abstractNum>
  <w:abstractNum w:abstractNumId="333">
    <w:nsid w:val="2219B33"/>
    <w:multiLevelType w:val="hybridMultilevel"/>
    <w:lvl w:ilvl="0">
      <w:lvlJc w:val="left"/>
      <w:lvlText w:val="%1."/>
      <w:numFmt w:val="decimal"/>
      <w:start w:val="8"/>
    </w:lvl>
    <w:lvl w:ilvl="1">
      <w:lvlJc w:val="left"/>
      <w:lvlText w:val="(%2)"/>
      <w:numFmt w:val="lowerLetter"/>
      <w:start w:val="1"/>
    </w:lvl>
  </w:abstractNum>
  <w:abstractNum w:abstractNumId="334">
    <w:nsid w:val="773BFBDD"/>
    <w:multiLevelType w:val="hybridMultilevel"/>
    <w:lvl w:ilvl="0">
      <w:lvlJc w:val="left"/>
      <w:lvlText w:val="%1"/>
      <w:numFmt w:val="decimal"/>
      <w:start w:val="1"/>
    </w:lvl>
    <w:lvl w:ilvl="1">
      <w:lvlJc w:val="left"/>
      <w:lvlText w:val="(%2)"/>
      <w:numFmt w:val="lowerLetter"/>
      <w:start w:val="4"/>
    </w:lvl>
  </w:abstractNum>
  <w:abstractNum w:abstractNumId="335">
    <w:nsid w:val="2C7C62C2"/>
    <w:multiLevelType w:val="hybridMultilevel"/>
    <w:lvl w:ilvl="0">
      <w:lvlJc w:val="left"/>
      <w:lvlText w:val="%1."/>
      <w:numFmt w:val="decimal"/>
      <w:start w:val="9"/>
    </w:lvl>
    <w:lvl w:ilvl="1">
      <w:lvlJc w:val="left"/>
      <w:lvlText w:val="(%2)"/>
      <w:numFmt w:val="lowerLetter"/>
      <w:start w:val="1"/>
    </w:lvl>
  </w:abstractNum>
  <w:abstractNum w:abstractNumId="336">
    <w:nsid w:val="1A54D7BC"/>
    <w:multiLevelType w:val="hybridMultilevel"/>
    <w:lvl w:ilvl="0">
      <w:lvlJc w:val="left"/>
      <w:lvlText w:val="(%1)"/>
      <w:numFmt w:val="lowerLetter"/>
      <w:start w:val="5"/>
    </w:lvl>
  </w:abstractNum>
  <w:abstractNum w:abstractNumId="337">
    <w:nsid w:val="42E57EF7"/>
    <w:multiLevelType w:val="hybridMultilevel"/>
    <w:lvl w:ilvl="0">
      <w:lvlJc w:val="left"/>
      <w:lvlText w:val="(%1)"/>
      <w:numFmt w:val="lowerLetter"/>
      <w:start w:val="9"/>
    </w:lvl>
  </w:abstractNum>
  <w:abstractNum w:abstractNumId="338">
    <w:nsid w:val="33537CED"/>
    <w:multiLevelType w:val="hybridMultilevel"/>
    <w:lvl w:ilvl="0">
      <w:lvlJc w:val="left"/>
      <w:lvlText w:val="%1"/>
      <w:numFmt w:val="decimal"/>
      <w:start w:val="1"/>
    </w:lvl>
    <w:lvl w:ilvl="1">
      <w:lvlJc w:val="left"/>
      <w:lvlText w:val="(%2)"/>
      <w:numFmt w:val="lowerLetter"/>
      <w:start w:val="15"/>
    </w:lvl>
  </w:abstractNum>
  <w:abstractNum w:abstractNumId="339">
    <w:nsid w:val="27514ADE"/>
    <w:multiLevelType w:val="hybridMultilevel"/>
    <w:lvl w:ilvl="0">
      <w:lvlJc w:val="left"/>
      <w:lvlText w:val="%1."/>
      <w:numFmt w:val="decimal"/>
      <w:start w:val="10"/>
    </w:lvl>
    <w:lvl w:ilvl="1">
      <w:lvlJc w:val="left"/>
      <w:lvlText w:val="(%2)"/>
      <w:numFmt w:val="lowerLetter"/>
      <w:start w:val="1"/>
    </w:lvl>
  </w:abstractNum>
  <w:abstractNum w:abstractNumId="340">
    <w:nsid w:val="5707161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1">
    <w:nsid w:val="5293BFE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342">
    <w:nsid w:val="38BF53E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3">
    <w:nsid w:val="226F5320"/>
    <w:multiLevelType w:val="hybridMultilevel"/>
    <w:lvl w:ilvl="0">
      <w:lvlJc w:val="left"/>
      <w:lvlText w:val="%1"/>
      <w:numFmt w:val="lowerRoman"/>
      <w:start w:val="1"/>
    </w:lvl>
    <w:lvl w:ilvl="1">
      <w:lvlJc w:val="left"/>
      <w:lvlText w:val="(%2)"/>
      <w:numFmt w:val="decimal"/>
      <w:start w:val="2"/>
    </w:lvl>
  </w:abstractNum>
  <w:abstractNum w:abstractNumId="344">
    <w:nsid w:val="5A0201C7"/>
    <w:multiLevelType w:val="hybridMultilevel"/>
    <w:lvl w:ilvl="0">
      <w:lvlJc w:val="left"/>
      <w:lvlText w:val="(%1)"/>
      <w:numFmt w:val="lowerRoman"/>
      <w:start w:val="2"/>
    </w:lvl>
    <w:lvl w:ilvl="1">
      <w:lvlJc w:val="left"/>
      <w:lvlText w:val="(%2)"/>
      <w:numFmt w:val="decimal"/>
      <w:start w:val="1"/>
    </w:lvl>
  </w:abstractNum>
  <w:abstractNum w:abstractNumId="345">
    <w:nsid w:val="2A9C34E2"/>
    <w:multiLevelType w:val="hybridMultilevel"/>
    <w:lvl w:ilvl="0">
      <w:lvlJc w:val="left"/>
      <w:lvlText w:val="(%1)"/>
      <w:numFmt w:val="lowerLetter"/>
      <w:start w:val="4"/>
    </w:lvl>
    <w:lvl w:ilvl="1">
      <w:lvlJc w:val="left"/>
      <w:lvlText w:val="(%2)"/>
      <w:numFmt w:val="lowerRoman"/>
      <w:start w:val="1"/>
    </w:lvl>
  </w:abstractNum>
  <w:abstractNum w:abstractNumId="346">
    <w:nsid w:val="1B7585AB"/>
    <w:multiLevelType w:val="hybridMultilevel"/>
    <w:lvl w:ilvl="0">
      <w:lvlJc w:val="left"/>
      <w:lvlText w:val="%1"/>
      <w:numFmt w:val="decimal"/>
      <w:start w:val="1"/>
    </w:lvl>
    <w:lvl w:ilvl="1">
      <w:lvlJc w:val="left"/>
      <w:lvlText w:val="(%2)"/>
      <w:numFmt w:val="lowerRoman"/>
      <w:start w:val="4"/>
    </w:lvl>
  </w:abstractNum>
  <w:abstractNum w:abstractNumId="347">
    <w:nsid w:val="612DBDDD"/>
    <w:multiLevelType w:val="hybridMultilevel"/>
    <w:lvl w:ilvl="0">
      <w:lvlJc w:val="left"/>
      <w:lvlText w:val="%1."/>
      <w:numFmt w:val="decimal"/>
      <w:start w:val="12"/>
    </w:lvl>
    <w:lvl w:ilvl="1">
      <w:lvlJc w:val="left"/>
      <w:lvlText w:val="%2"/>
      <w:numFmt w:val="lowerRoman"/>
      <w:start w:val="1"/>
    </w:lvl>
  </w:abstractNum>
  <w:abstractNum w:abstractNumId="348">
    <w:nsid w:val="2109CDA4"/>
    <w:multiLevelType w:val="hybridMultilevel"/>
    <w:lvl w:ilvl="0">
      <w:lvlJc w:val="left"/>
      <w:lvlText w:val="%1."/>
      <w:numFmt w:val="decimal"/>
      <w:start w:val="13"/>
    </w:lvl>
  </w:abstractNum>
  <w:abstractNum w:abstractNumId="349">
    <w:nsid w:val="577F5A4D"/>
    <w:multiLevelType w:val="hybridMultilevel"/>
    <w:lvl w:ilvl="0">
      <w:lvlJc w:val="left"/>
      <w:lvlText w:val="(%1)"/>
      <w:numFmt w:val="lowerRoman"/>
      <w:start w:val="1"/>
    </w:lvl>
  </w:abstractNum>
  <w:abstractNum w:abstractNumId="350">
    <w:nsid w:val="2121A81"/>
    <w:multiLevelType w:val="hybridMultilevel"/>
    <w:lvl w:ilvl="0">
      <w:lvlJc w:val="left"/>
      <w:lvlText w:val="%1."/>
      <w:numFmt w:val="decimal"/>
      <w:start w:val="14"/>
    </w:lvl>
  </w:abstractNum>
  <w:abstractNum w:abstractNumId="351">
    <w:nsid w:val="6C2CFC88"/>
    <w:multiLevelType w:val="hybridMultilevel"/>
    <w:lvl w:ilvl="0">
      <w:lvlJc w:val="left"/>
      <w:lvlText w:val="(%1)"/>
      <w:numFmt w:val="lowerLetter"/>
      <w:start w:val="1"/>
    </w:lvl>
  </w:abstractNum>
  <w:abstractNum w:abstractNumId="352">
    <w:nsid w:val="6D1BCF1C"/>
    <w:multiLevelType w:val="hybridMultilevel"/>
    <w:lvl w:ilvl="0">
      <w:lvlJc w:val="left"/>
      <w:lvlText w:val="(%1)"/>
      <w:numFmt w:val="lowerLetter"/>
      <w:start w:val="9"/>
    </w:lvl>
    <w:lvl w:ilvl="1">
      <w:lvlJc w:val="left"/>
      <w:lvlText w:val="(%2)"/>
      <w:numFmt w:val="lowerLetter"/>
      <w:start w:val="9"/>
    </w:lvl>
  </w:abstractNum>
  <w:abstractNum w:abstractNumId="353">
    <w:nsid w:val="4CE5CA53"/>
    <w:multiLevelType w:val="hybridMultilevel"/>
    <w:lvl w:ilvl="0">
      <w:lvlJc w:val="left"/>
      <w:lvlText w:val="(%1)"/>
      <w:numFmt w:val="lowerRoman"/>
      <w:start w:val="2"/>
    </w:lvl>
  </w:abstractNum>
  <w:abstractNum w:abstractNumId="354">
    <w:nsid w:val="29262D1A"/>
    <w:multiLevelType w:val="hybridMultilevel"/>
    <w:lvl w:ilvl="0">
      <w:lvlJc w:val="left"/>
      <w:lvlText w:val="(%1)"/>
      <w:numFmt w:val="lowerLetter"/>
      <w:start w:val="11"/>
    </w:lvl>
  </w:abstractNum>
  <w:abstractNum w:abstractNumId="355">
    <w:nsid w:val="557FB7EE"/>
    <w:multiLevelType w:val="hybridMultilevel"/>
    <w:lvl w:ilvl="0">
      <w:lvlJc w:val="left"/>
      <w:lvlText w:val="(%1)"/>
      <w:numFmt w:val="lowerLetter"/>
      <w:start w:val="17"/>
    </w:lvl>
    <w:lvl w:ilvl="1">
      <w:lvlJc w:val="left"/>
      <w:lvlText w:val="(%2)"/>
      <w:numFmt w:val="lowerRoman"/>
      <w:start w:val="1"/>
    </w:lvl>
  </w:abstractNum>
  <w:abstractNum w:abstractNumId="356">
    <w:nsid w:val="436F2BEB"/>
    <w:multiLevelType w:val="hybridMultilevel"/>
    <w:lvl w:ilvl="0">
      <w:lvlJc w:val="left"/>
      <w:lvlText w:val="(%1)"/>
      <w:numFmt w:val="lowerLetter"/>
      <w:start w:val="19"/>
    </w:lvl>
  </w:abstractNum>
  <w:abstractNum w:abstractNumId="357">
    <w:nsid w:val="6C8B4466"/>
    <w:multiLevelType w:val="hybridMultilevel"/>
    <w:lvl w:ilvl="0">
      <w:lvlJc w:val="left"/>
      <w:lvlText w:val="(%1)"/>
      <w:numFmt w:val="lowerLetter"/>
      <w:start w:val="27"/>
    </w:lvl>
    <w:lvl w:ilvl="1">
      <w:lvlJc w:val="left"/>
      <w:lvlText w:val="(%2)"/>
      <w:numFmt w:val="lowerLetter"/>
      <w:start w:val="9"/>
    </w:lvl>
  </w:abstractNum>
  <w:abstractNum w:abstractNumId="358">
    <w:nsid w:val="2006E424"/>
    <w:multiLevelType w:val="hybridMultilevel"/>
    <w:lvl w:ilvl="0">
      <w:lvlJc w:val="left"/>
      <w:lvlText w:val="%1"/>
      <w:numFmt w:val="lowerLetter"/>
      <w:start w:val="1"/>
    </w:lvl>
    <w:lvl w:ilvl="1">
      <w:lvlJc w:val="left"/>
      <w:lvlText w:val="(%2)"/>
      <w:numFmt w:val="lowerRoman"/>
      <w:start w:val="2"/>
    </w:lvl>
  </w:abstractNum>
  <w:abstractNum w:abstractNumId="359">
    <w:nsid w:val="20CC134C"/>
    <w:multiLevelType w:val="hybridMultilevel"/>
    <w:lvl w:ilvl="0">
      <w:lvlJc w:val="left"/>
      <w:lvlText w:val="(%1)"/>
      <w:numFmt w:val="lowerLetter"/>
      <w:start w:val="29"/>
    </w:lvl>
    <w:lvl w:ilvl="1">
      <w:lvlJc w:val="left"/>
      <w:lvlText w:val="%2"/>
      <w:numFmt w:val="lowerRoman"/>
      <w:start w:val="1"/>
    </w:lvl>
  </w:abstractNum>
  <w:abstractNum w:abstractNumId="360">
    <w:nsid w:val="95FC93B"/>
    <w:multiLevelType w:val="hybridMultilevel"/>
    <w:lvl w:ilvl="0">
      <w:lvlJc w:val="left"/>
      <w:lvlText w:val="%1"/>
      <w:numFmt w:val="lowerLetter"/>
      <w:start w:val="1"/>
    </w:lvl>
    <w:lvl w:ilvl="1">
      <w:lvlJc w:val="left"/>
      <w:lvlText w:val="(%2)"/>
      <w:numFmt w:val="lowerLetter"/>
      <w:start w:val="34"/>
    </w:lvl>
  </w:abstractNum>
  <w:abstractNum w:abstractNumId="361">
    <w:nsid w:val="41D74679"/>
    <w:multiLevelType w:val="hybridMultilevel"/>
    <w:lvl w:ilvl="0">
      <w:lvlJc w:val="left"/>
      <w:lvlText w:val="(%1)"/>
      <w:numFmt w:val="lowerLetter"/>
      <w:start w:val="35"/>
    </w:lvl>
    <w:lvl w:ilvl="1">
      <w:lvlJc w:val="left"/>
      <w:lvlText w:val="(%2)"/>
      <w:numFmt w:val="lowerLetter"/>
      <w:start w:val="35"/>
    </w:lvl>
  </w:abstractNum>
  <w:abstractNum w:abstractNumId="362">
    <w:nsid w:val="71E5621E"/>
    <w:multiLevelType w:val="hybridMultilevel"/>
    <w:lvl w:ilvl="0">
      <w:lvlJc w:val="left"/>
      <w:lvlText w:val="(%1)"/>
      <w:numFmt w:val="lowerLetter"/>
      <w:start w:val="43"/>
    </w:lvl>
  </w:abstractNum>
  <w:abstractNum w:abstractNumId="363">
    <w:nsid w:val="4E42B6A8"/>
    <w:multiLevelType w:val="hybridMultilevel"/>
    <w:lvl w:ilvl="0">
      <w:lvlJc w:val="left"/>
      <w:lvlText w:val="(%1)"/>
      <w:numFmt w:val="lowerLetter"/>
      <w:start w:val="50"/>
    </w:lvl>
  </w:abstractNum>
  <w:abstractNum w:abstractNumId="364">
    <w:nsid w:val="43F8E1AC"/>
    <w:multiLevelType w:val="hybridMultilevel"/>
    <w:lvl w:ilvl="0">
      <w:lvlJc w:val="left"/>
      <w:lvlText w:val="(%1)"/>
      <w:numFmt w:val="lowerLetter"/>
      <w:start w:val="53"/>
    </w:lvl>
  </w:abstractNum>
  <w:abstractNum w:abstractNumId="365">
    <w:nsid w:val="69215DFB"/>
    <w:multiLevelType w:val="hybridMultilevel"/>
    <w:lvl w:ilvl="0">
      <w:lvlJc w:val="left"/>
      <w:lvlText w:val="(%1)"/>
      <w:numFmt w:val="lowerLetter"/>
      <w:start w:val="59"/>
    </w:lvl>
  </w:abstractNum>
  <w:abstractNum w:abstractNumId="366">
    <w:nsid w:val="7ABF196A"/>
    <w:multiLevelType w:val="hybridMultilevel"/>
    <w:lvl w:ilvl="0">
      <w:lvlJc w:val="left"/>
      <w:lvlText w:val="(%1)"/>
      <w:numFmt w:val="lowerLetter"/>
      <w:start w:val="60"/>
    </w:lvl>
  </w:abstractNum>
  <w:abstractNum w:abstractNumId="367">
    <w:nsid w:val="5E4DB968"/>
    <w:multiLevelType w:val="hybridMultilevel"/>
    <w:lvl w:ilvl="0">
      <w:lvlJc w:val="left"/>
      <w:lvlText w:val="(%1)"/>
      <w:numFmt w:val="lowerLetter"/>
      <w:start w:val="70"/>
    </w:lvl>
  </w:abstractNum>
  <w:abstractNum w:abstractNumId="368">
    <w:nsid w:val="2C06DCF3"/>
    <w:multiLevelType w:val="hybridMultilevel"/>
    <w:lvl w:ilvl="0">
      <w:lvlJc w:val="left"/>
      <w:lvlText w:val="•"/>
      <w:numFmt w:val="bullet"/>
      <w:start w:val="1"/>
    </w:lvl>
  </w:abstractNum>
  <w:abstractNum w:abstractNumId="369">
    <w:nsid w:val="2E129658"/>
    <w:multiLevelType w:val="hybridMultilevel"/>
    <w:lvl w:ilvl="0">
      <w:lvlJc w:val="left"/>
      <w:lvlText w:val="•"/>
      <w:numFmt w:val="bullet"/>
      <w:start w:val="1"/>
    </w:lvl>
  </w:abstractNum>
  <w:abstractNum w:abstractNumId="370">
    <w:nsid w:val="59F0446"/>
    <w:multiLevelType w:val="hybridMultilevel"/>
    <w:lvl w:ilvl="0">
      <w:lvlJc w:val="left"/>
      <w:lvlText w:val="%1."/>
      <w:numFmt w:val="decimal"/>
      <w:start w:val="1"/>
    </w:lvl>
    <w:lvl w:ilvl="1">
      <w:lvlJc w:val="left"/>
      <w:lvlText w:val="%2."/>
      <w:numFmt w:val="lowerLetter"/>
      <w:start w:val="1"/>
    </w:lvl>
  </w:abstractNum>
  <w:abstractNum w:abstractNumId="371">
    <w:nsid w:val="30DF306"/>
    <w:multiLevelType w:val="hybridMultilevel"/>
    <w:lvl w:ilvl="0">
      <w:lvlJc w:val="left"/>
      <w:lvlText w:val="%1."/>
      <w:numFmt w:val="decimal"/>
      <w:start w:val="2"/>
    </w:lvl>
    <w:lvl w:ilvl="1">
      <w:lvlJc w:val="left"/>
      <w:lvlText w:val="%2."/>
      <w:numFmt w:val="lowerLetter"/>
      <w:start w:val="1"/>
    </w:lvl>
  </w:abstractNum>
  <w:abstractNum w:abstractNumId="372">
    <w:nsid w:val="A656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73">
    <w:nsid w:val="3E5E582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74">
    <w:nsid w:val="257D462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75">
    <w:nsid w:val="5AA8580E"/>
    <w:multiLevelType w:val="hybridMultilevel"/>
    <w:lvl w:ilvl="0">
      <w:lvlJc w:val="left"/>
      <w:lvlText w:val="%1."/>
      <w:numFmt w:val="decimal"/>
      <w:start w:val="5"/>
    </w:lvl>
  </w:abstractNum>
  <w:abstractNum w:abstractNumId="376">
    <w:nsid w:val="68FA8D0D"/>
    <w:multiLevelType w:val="hybridMultilevel"/>
    <w:lvl w:ilvl="0">
      <w:lvlJc w:val="left"/>
      <w:lvlText w:val="%1."/>
      <w:numFmt w:val="decimal"/>
      <w:start w:val="8"/>
    </w:lvl>
  </w:abstractNum>
  <w:abstractNum w:abstractNumId="377">
    <w:nsid w:val="40F2CBD2"/>
    <w:multiLevelType w:val="hybridMultilevel"/>
    <w:lvl w:ilvl="0">
      <w:lvlJc w:val="left"/>
      <w:lvlText w:val="•"/>
      <w:numFmt w:val="bullet"/>
      <w:start w:val="1"/>
    </w:lvl>
  </w:abstractNum>
  <w:abstractNum w:abstractNumId="378">
    <w:nsid w:val="3BD615EB"/>
    <w:multiLevelType w:val="hybridMultilevel"/>
    <w:lvl w:ilvl="0">
      <w:lvlJc w:val="left"/>
      <w:lvlText w:val="(%1)"/>
      <w:numFmt w:val="lowerLetter"/>
      <w:start w:val="2"/>
    </w:lvl>
  </w:abstractNum>
  <w:abstractNum w:abstractNumId="379">
    <w:nsid w:val="A045A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0">
    <w:nsid w:val="1872261F"/>
    <w:multiLevelType w:val="hybridMultilevel"/>
    <w:lvl w:ilvl="0">
      <w:lvlJc w:val="left"/>
      <w:lvlText w:val="%1"/>
      <w:numFmt w:val="decimal"/>
      <w:start w:val="1"/>
    </w:lvl>
    <w:lvl w:ilvl="1">
      <w:lvlJc w:val="left"/>
      <w:lvlText w:val="(%2)"/>
      <w:numFmt w:val="lowerLetter"/>
      <w:start w:val="3"/>
    </w:lvl>
  </w:abstractNum>
  <w:abstractNum w:abstractNumId="381">
    <w:nsid w:val="3DE8306C"/>
    <w:multiLevelType w:val="hybridMultilevel"/>
    <w:lvl w:ilvl="0">
      <w:lvlJc w:val="left"/>
      <w:lvlText w:val="%1."/>
      <w:numFmt w:val="decimal"/>
      <w:start w:val="3"/>
    </w:lvl>
    <w:lvl w:ilvl="1">
      <w:lvlJc w:val="left"/>
      <w:lvlText w:val="(%2)"/>
      <w:numFmt w:val="lowerLetter"/>
      <w:start w:val="1"/>
    </w:lvl>
  </w:abstractNum>
  <w:abstractNum w:abstractNumId="382">
    <w:nsid w:val="763157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3">
    <w:nsid w:val="58DF5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84">
    <w:nsid w:val="ACDFAC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5">
    <w:nsid w:val="1F5784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6">
    <w:nsid w:val="5B0DAD2A"/>
    <w:multiLevelType w:val="hybridMultilevel"/>
    <w:lvl w:ilvl="0">
      <w:lvlJc w:val="left"/>
      <w:lvlText w:val="%1."/>
      <w:numFmt w:val="decimal"/>
      <w:start w:val="7"/>
    </w:lvl>
    <w:lvl w:ilvl="1">
      <w:lvlJc w:val="left"/>
      <w:lvlText w:val="(%2)"/>
      <w:numFmt w:val="lowerLetter"/>
      <w:start w:val="1"/>
    </w:lvl>
  </w:abstractNum>
  <w:abstractNum w:abstractNumId="387">
    <w:nsid w:val="4E3D26AB"/>
    <w:multiLevelType w:val="hybridMultilevel"/>
    <w:lvl w:ilvl="0">
      <w:lvlJc w:val="left"/>
      <w:lvlText w:val="%1"/>
      <w:numFmt w:val="decimal"/>
      <w:start w:val="1"/>
    </w:lvl>
    <w:lvl w:ilvl="1">
      <w:lvlJc w:val="left"/>
      <w:lvlText w:val="(%2)"/>
      <w:numFmt w:val="lowerLetter"/>
      <w:start w:val="3"/>
    </w:lvl>
  </w:abstractNum>
  <w:abstractNum w:abstractNumId="388">
    <w:nsid w:val="BE2C8BA"/>
    <w:multiLevelType w:val="hybridMultilevel"/>
    <w:lvl w:ilvl="0">
      <w:lvlJc w:val="left"/>
      <w:lvlText w:val="%1."/>
      <w:numFmt w:val="decimal"/>
      <w:start w:val="9"/>
    </w:lvl>
    <w:lvl w:ilvl="1">
      <w:lvlJc w:val="left"/>
      <w:lvlText w:val="%2"/>
      <w:numFmt w:val="lowerLetter"/>
      <w:start w:val="1"/>
    </w:lvl>
  </w:abstractNum>
  <w:abstractNum w:abstractNumId="389">
    <w:nsid w:val="7B14914E"/>
    <w:multiLevelType w:val="hybridMultilevel"/>
    <w:lvl w:ilvl="0">
      <w:lvlJc w:val="left"/>
      <w:lvlText w:val="%1."/>
      <w:numFmt w:val="decimal"/>
      <w:start w:val="10"/>
    </w:lvl>
    <w:lvl w:ilvl="1">
      <w:lvlJc w:val="left"/>
      <w:lvlText w:val="(%2)"/>
      <w:numFmt w:val="lowerLetter"/>
      <w:start w:val="1"/>
    </w:lvl>
  </w:abstractNum>
  <w:abstractNum w:abstractNumId="390">
    <w:nsid w:val="6F0939F8"/>
    <w:multiLevelType w:val="hybridMultilevel"/>
    <w:lvl w:ilvl="0">
      <w:lvlJc w:val="left"/>
      <w:lvlText w:val="%1"/>
      <w:numFmt w:val="decimal"/>
      <w:start w:val="1"/>
    </w:lvl>
    <w:lvl w:ilvl="1">
      <w:lvlJc w:val="left"/>
      <w:lvlText w:val="(%2)"/>
      <w:numFmt w:val="lowerLetter"/>
      <w:start w:val="2"/>
    </w:lvl>
  </w:abstractNum>
  <w:abstractNum w:abstractNumId="391">
    <w:nsid w:val="154291F6"/>
    <w:multiLevelType w:val="hybridMultilevel"/>
    <w:lvl w:ilvl="0">
      <w:lvlJc w:val="left"/>
      <w:lvlText w:val="%1."/>
      <w:numFmt w:val="decimal"/>
      <w:start w:val="12"/>
    </w:lvl>
    <w:lvl w:ilvl="1">
      <w:lvlJc w:val="left"/>
      <w:lvlText w:val="(%2)"/>
      <w:numFmt w:val="lowerLetter"/>
      <w:start w:val="1"/>
    </w:lvl>
  </w:abstractNum>
  <w:abstractNum w:abstractNumId="392">
    <w:nsid w:val="3CEBD7C7"/>
    <w:multiLevelType w:val="hybridMultilevel"/>
    <w:lvl w:ilvl="0">
      <w:lvlJc w:val="left"/>
      <w:lvlText w:val="%1."/>
      <w:numFmt w:val="decimal"/>
      <w:start w:val="13"/>
    </w:lvl>
  </w:abstractNum>
  <w:abstractNum w:abstractNumId="393">
    <w:nsid w:val="60EE9C16"/>
    <w:multiLevelType w:val="hybridMultilevel"/>
    <w:lvl w:ilvl="0">
      <w:lvlJc w:val="left"/>
      <w:lvlText w:val="%1."/>
      <w:numFmt w:val="decimal"/>
      <w:start w:val="14"/>
    </w:lvl>
    <w:lvl w:ilvl="1">
      <w:lvlJc w:val="left"/>
      <w:lvlText w:val="(%2)"/>
      <w:numFmt w:val="lowerLetter"/>
      <w:start w:val="1"/>
    </w:lvl>
  </w:abstractNum>
  <w:abstractNum w:abstractNumId="394">
    <w:nsid w:val="6385489E"/>
    <w:multiLevelType w:val="hybridMultilevel"/>
    <w:lvl w:ilvl="0">
      <w:lvlJc w:val="left"/>
      <w:lvlText w:val="(%1)"/>
      <w:numFmt w:val="lowerLetter"/>
      <w:start w:val="1"/>
    </w:lvl>
  </w:abstractNum>
  <w:abstractNum w:abstractNumId="395">
    <w:nsid w:val="E4B973"/>
    <w:multiLevelType w:val="hybridMultilevel"/>
    <w:lvl w:ilvl="0">
      <w:lvlJc w:val="left"/>
      <w:lvlText w:val="(%1)"/>
      <w:numFmt w:val="lowerLetter"/>
      <w:start w:val="6"/>
    </w:lvl>
    <w:lvl w:ilvl="1">
      <w:lvlJc w:val="left"/>
      <w:lvlText w:val="(%2)"/>
      <w:numFmt w:val="lowerRoman"/>
      <w:start w:val="1"/>
    </w:lvl>
  </w:abstractNum>
  <w:abstractNum w:abstractNumId="396">
    <w:nsid w:val="4A0FFA11"/>
    <w:multiLevelType w:val="hybridMultilevel"/>
    <w:lvl w:ilvl="0">
      <w:lvlJc w:val="left"/>
      <w:lvlText w:val="%1"/>
      <w:numFmt w:val="lowerLetter"/>
      <w:start w:val="1"/>
    </w:lvl>
    <w:lvl w:ilvl="1">
      <w:lvlJc w:val="left"/>
      <w:lvlText w:val="(%2)"/>
      <w:numFmt w:val="lowerRoman"/>
      <w:start w:val="1"/>
    </w:lvl>
  </w:abstractNum>
  <w:abstractNum w:abstractNumId="397">
    <w:nsid w:val="5E446208"/>
    <w:multiLevelType w:val="hybridMultilevel"/>
    <w:lvl w:ilvl="0">
      <w:lvlJc w:val="left"/>
      <w:lvlText w:val="(%1)"/>
      <w:numFmt w:val="lowerLetter"/>
      <w:start w:val="16"/>
    </w:lvl>
    <w:lvl w:ilvl="1">
      <w:lvlJc w:val="left"/>
      <w:lvlText w:val="%2"/>
      <w:numFmt w:val="lowerRoman"/>
      <w:start w:val="1"/>
    </w:lvl>
  </w:abstractNum>
  <w:abstractNum w:abstractNumId="398">
    <w:nsid w:val="5F3272DB"/>
    <w:multiLevelType w:val="hybridMultilevel"/>
    <w:lvl w:ilvl="0">
      <w:lvlJc w:val="left"/>
      <w:lvlText w:val="(%1)"/>
      <w:numFmt w:val="lowerLetter"/>
      <w:start w:val="27"/>
    </w:lvl>
  </w:abstractNum>
  <w:abstractNum w:abstractNumId="399">
    <w:nsid w:val="7616D7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630" Type="http://schemas.openxmlformats.org/officeDocument/2006/relationships/image" Target="media/image600.png"/><Relationship Id="rId631" Type="http://schemas.openxmlformats.org/officeDocument/2006/relationships/image" Target="media/image601.png"/><Relationship Id="rId632" Type="http://schemas.openxmlformats.org/officeDocument/2006/relationships/image" Target="media/image602.png"/><Relationship Id="rId633" Type="http://schemas.openxmlformats.org/officeDocument/2006/relationships/image" Target="media/image603.png"/><Relationship Id="rId634" Type="http://schemas.openxmlformats.org/officeDocument/2006/relationships/image" Target="media/image604.png"/><Relationship Id="rId635" Type="http://schemas.openxmlformats.org/officeDocument/2006/relationships/image" Target="media/image605.png"/><Relationship Id="rId636" Type="http://schemas.openxmlformats.org/officeDocument/2006/relationships/image" Target="media/image606.png"/><Relationship Id="rId637" Type="http://schemas.openxmlformats.org/officeDocument/2006/relationships/image" Target="media/image607.png"/><Relationship Id="rId638" Type="http://schemas.openxmlformats.org/officeDocument/2006/relationships/image" Target="media/image608.png"/><Relationship Id="rId639" Type="http://schemas.openxmlformats.org/officeDocument/2006/relationships/image" Target="media/image609.png"/><Relationship Id="rId640" Type="http://schemas.openxmlformats.org/officeDocument/2006/relationships/image" Target="media/image610.png"/><Relationship Id="rId641" Type="http://schemas.openxmlformats.org/officeDocument/2006/relationships/image" Target="media/image611.png"/><Relationship Id="rId642" Type="http://schemas.openxmlformats.org/officeDocument/2006/relationships/image" Target="media/image612.png"/><Relationship Id="rId643" Type="http://schemas.openxmlformats.org/officeDocument/2006/relationships/image" Target="media/image613.png"/><Relationship Id="rId644" Type="http://schemas.openxmlformats.org/officeDocument/2006/relationships/image" Target="media/image614.png"/><Relationship Id="rId645" Type="http://schemas.openxmlformats.org/officeDocument/2006/relationships/image" Target="media/image615.png"/><Relationship Id="rId646" Type="http://schemas.openxmlformats.org/officeDocument/2006/relationships/image" Target="media/image616.png"/><Relationship Id="rId647" Type="http://schemas.openxmlformats.org/officeDocument/2006/relationships/image" Target="media/image617.png"/><Relationship Id="rId648"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68" Type="http://schemas.openxmlformats.org/officeDocument/2006/relationships/image" Target="media/image638.png"/><Relationship Id="rId669" Type="http://schemas.openxmlformats.org/officeDocument/2006/relationships/image" Target="media/image639.png"/><Relationship Id="rId670" Type="http://schemas.openxmlformats.org/officeDocument/2006/relationships/image" Target="media/image640.png"/><Relationship Id="rId671" Type="http://schemas.openxmlformats.org/officeDocument/2006/relationships/image" Target="media/image641.png"/><Relationship Id="rId672" Type="http://schemas.openxmlformats.org/officeDocument/2006/relationships/image" Target="media/image642.png"/><Relationship Id="rId673" Type="http://schemas.openxmlformats.org/officeDocument/2006/relationships/image" Target="media/image643.png"/><Relationship Id="rId674" Type="http://schemas.openxmlformats.org/officeDocument/2006/relationships/image" Target="media/image644.png"/><Relationship Id="rId675" Type="http://schemas.openxmlformats.org/officeDocument/2006/relationships/image" Target="media/image645.png"/><Relationship Id="rId676" Type="http://schemas.openxmlformats.org/officeDocument/2006/relationships/image" Target="media/image646.jpeg"/><Relationship Id="rId677" Type="http://schemas.openxmlformats.org/officeDocument/2006/relationships/image" Target="media/image647.png"/><Relationship Id="rId678" Type="http://schemas.openxmlformats.org/officeDocument/2006/relationships/image" Target="media/image648.jpeg"/><Relationship Id="rId679" Type="http://schemas.openxmlformats.org/officeDocument/2006/relationships/image" Target="media/image649.png"/><Relationship Id="rId680" Type="http://schemas.openxmlformats.org/officeDocument/2006/relationships/image" Target="media/image650.jpeg"/><Relationship Id="rId681" Type="http://schemas.openxmlformats.org/officeDocument/2006/relationships/image" Target="media/image651.png"/><Relationship Id="rId682" Type="http://schemas.openxmlformats.org/officeDocument/2006/relationships/image" Target="media/image652.png"/><Relationship Id="rId683" Type="http://schemas.openxmlformats.org/officeDocument/2006/relationships/image" Target="media/image653.png"/><Relationship Id="rId684" Type="http://schemas.openxmlformats.org/officeDocument/2006/relationships/image" Target="media/image654.png"/><Relationship Id="rId685" Type="http://schemas.openxmlformats.org/officeDocument/2006/relationships/image" Target="media/image655.png"/><Relationship Id="rId686" Type="http://schemas.openxmlformats.org/officeDocument/2006/relationships/image" Target="media/image656.png"/><Relationship Id="rId687" Type="http://schemas.openxmlformats.org/officeDocument/2006/relationships/image" Target="media/image657.png"/><Relationship Id="rId688" Type="http://schemas.openxmlformats.org/officeDocument/2006/relationships/image" Target="media/image658.png"/><Relationship Id="rId689" Type="http://schemas.openxmlformats.org/officeDocument/2006/relationships/image" Target="media/image659.png"/><Relationship Id="rId690" Type="http://schemas.openxmlformats.org/officeDocument/2006/relationships/image" Target="media/image660.png"/><Relationship Id="rId691" Type="http://schemas.openxmlformats.org/officeDocument/2006/relationships/image" Target="media/image661.png"/><Relationship Id="rId692" Type="http://schemas.openxmlformats.org/officeDocument/2006/relationships/image" Target="media/image662.png"/><Relationship Id="rId693" Type="http://schemas.openxmlformats.org/officeDocument/2006/relationships/image" Target="media/image663.png"/><Relationship Id="rId694" Type="http://schemas.openxmlformats.org/officeDocument/2006/relationships/image" Target="media/image664.png"/><Relationship Id="rId695" Type="http://schemas.openxmlformats.org/officeDocument/2006/relationships/image" Target="media/image665.png"/><Relationship Id="rId696" Type="http://schemas.openxmlformats.org/officeDocument/2006/relationships/image" Target="media/image666.png"/><Relationship Id="rId697" Type="http://schemas.openxmlformats.org/officeDocument/2006/relationships/image" Target="media/image667.png"/><Relationship Id="rId698" Type="http://schemas.openxmlformats.org/officeDocument/2006/relationships/image" Target="media/image668.png"/><Relationship Id="rId699" Type="http://schemas.openxmlformats.org/officeDocument/2006/relationships/image" Target="media/image669.png"/><Relationship Id="rId700" Type="http://schemas.openxmlformats.org/officeDocument/2006/relationships/image" Target="media/image670.png"/><Relationship Id="rId701" Type="http://schemas.openxmlformats.org/officeDocument/2006/relationships/image" Target="media/image671.png"/><Relationship Id="rId702" Type="http://schemas.openxmlformats.org/officeDocument/2006/relationships/image" Target="media/image672.png"/><Relationship Id="rId703" Type="http://schemas.openxmlformats.org/officeDocument/2006/relationships/image" Target="media/image673.png"/><Relationship Id="rId704" Type="http://schemas.openxmlformats.org/officeDocument/2006/relationships/image" Target="media/image674.png"/><Relationship Id="rId705" Type="http://schemas.openxmlformats.org/officeDocument/2006/relationships/image" Target="media/image675.png"/><Relationship Id="rId706" Type="http://schemas.openxmlformats.org/officeDocument/2006/relationships/image" Target="media/image676.png"/><Relationship Id="rId707" Type="http://schemas.openxmlformats.org/officeDocument/2006/relationships/image" Target="media/image677.png"/><Relationship Id="rId708" Type="http://schemas.openxmlformats.org/officeDocument/2006/relationships/image" Target="media/image678.png"/><Relationship Id="rId709" Type="http://schemas.openxmlformats.org/officeDocument/2006/relationships/image" Target="media/image679.png"/><Relationship Id="rId710" Type="http://schemas.openxmlformats.org/officeDocument/2006/relationships/image" Target="media/image680.png"/><Relationship Id="rId711" Type="http://schemas.openxmlformats.org/officeDocument/2006/relationships/image" Target="media/image681.png"/><Relationship Id="rId712" Type="http://schemas.openxmlformats.org/officeDocument/2006/relationships/image" Target="media/image682.png"/><Relationship Id="rId713" Type="http://schemas.openxmlformats.org/officeDocument/2006/relationships/image" Target="media/image683.png"/><Relationship Id="rId714" Type="http://schemas.openxmlformats.org/officeDocument/2006/relationships/image" Target="media/image684.png"/><Relationship Id="rId715" Type="http://schemas.openxmlformats.org/officeDocument/2006/relationships/image" Target="media/image685.png"/><Relationship Id="rId716" Type="http://schemas.openxmlformats.org/officeDocument/2006/relationships/image" Target="media/image686.png"/><Relationship Id="rId717" Type="http://schemas.openxmlformats.org/officeDocument/2006/relationships/image" Target="media/image687.png"/><Relationship Id="rId718" Type="http://schemas.openxmlformats.org/officeDocument/2006/relationships/image" Target="media/image688.png"/><Relationship Id="rId719" Type="http://schemas.openxmlformats.org/officeDocument/2006/relationships/image" Target="media/image689.png"/><Relationship Id="rId720" Type="http://schemas.openxmlformats.org/officeDocument/2006/relationships/image" Target="media/image690.png"/><Relationship Id="rId721" Type="http://schemas.openxmlformats.org/officeDocument/2006/relationships/image" Target="media/image691.png"/><Relationship Id="rId722" Type="http://schemas.openxmlformats.org/officeDocument/2006/relationships/image" Target="media/image692.png"/><Relationship Id="rId723" Type="http://schemas.openxmlformats.org/officeDocument/2006/relationships/image" Target="media/image693.png"/><Relationship Id="rId724" Type="http://schemas.openxmlformats.org/officeDocument/2006/relationships/image" Target="media/image694.png"/><Relationship Id="rId725" Type="http://schemas.openxmlformats.org/officeDocument/2006/relationships/image" Target="media/image695.png"/><Relationship Id="rId726" Type="http://schemas.openxmlformats.org/officeDocument/2006/relationships/image" Target="media/image696.png"/><Relationship Id="rId727" Type="http://schemas.openxmlformats.org/officeDocument/2006/relationships/image" Target="media/image697.png"/><Relationship Id="rId728" Type="http://schemas.openxmlformats.org/officeDocument/2006/relationships/image" Target="media/image698.png"/><Relationship Id="rId729" Type="http://schemas.openxmlformats.org/officeDocument/2006/relationships/image" Target="media/image699.png"/><Relationship Id="rId730" Type="http://schemas.openxmlformats.org/officeDocument/2006/relationships/image" Target="media/image700.png"/><Relationship Id="rId731" Type="http://schemas.openxmlformats.org/officeDocument/2006/relationships/image" Target="media/image701.png"/><Relationship Id="rId732" Type="http://schemas.openxmlformats.org/officeDocument/2006/relationships/image" Target="media/image702.png"/><Relationship Id="rId733" Type="http://schemas.openxmlformats.org/officeDocument/2006/relationships/image" Target="media/image703.png"/><Relationship Id="rId734" Type="http://schemas.openxmlformats.org/officeDocument/2006/relationships/image" Target="media/image704.png"/><Relationship Id="rId735" Type="http://schemas.openxmlformats.org/officeDocument/2006/relationships/image" Target="media/image705.png"/><Relationship Id="rId736" Type="http://schemas.openxmlformats.org/officeDocument/2006/relationships/image" Target="media/image706.png"/><Relationship Id="rId737" Type="http://schemas.openxmlformats.org/officeDocument/2006/relationships/image" Target="media/image707.png"/><Relationship Id="rId738" Type="http://schemas.openxmlformats.org/officeDocument/2006/relationships/image" Target="media/image708.png"/><Relationship Id="rId739" Type="http://schemas.openxmlformats.org/officeDocument/2006/relationships/image" Target="media/image709.png"/><Relationship Id="rId740" Type="http://schemas.openxmlformats.org/officeDocument/2006/relationships/image" Target="media/image710.png"/><Relationship Id="rId741" Type="http://schemas.openxmlformats.org/officeDocument/2006/relationships/image" Target="media/image711.png"/><Relationship Id="rId742" Type="http://schemas.openxmlformats.org/officeDocument/2006/relationships/image" Target="media/image712.png"/><Relationship Id="rId743" Type="http://schemas.openxmlformats.org/officeDocument/2006/relationships/image" Target="media/image713.png"/><Relationship Id="rId744" Type="http://schemas.openxmlformats.org/officeDocument/2006/relationships/image" Target="media/image714.png"/><Relationship Id="rId745" Type="http://schemas.openxmlformats.org/officeDocument/2006/relationships/image" Target="media/image715.png"/><Relationship Id="rId746" Type="http://schemas.openxmlformats.org/officeDocument/2006/relationships/image" Target="media/image716.png"/><Relationship Id="rId747" Type="http://schemas.openxmlformats.org/officeDocument/2006/relationships/image" Target="media/image717.png"/><Relationship Id="rId748" Type="http://schemas.openxmlformats.org/officeDocument/2006/relationships/image" Target="media/image718.png"/><Relationship Id="rId749" Type="http://schemas.openxmlformats.org/officeDocument/2006/relationships/image" Target="media/image719.png"/><Relationship Id="rId750" Type="http://schemas.openxmlformats.org/officeDocument/2006/relationships/image" Target="media/image720.png"/><Relationship Id="rId751" Type="http://schemas.openxmlformats.org/officeDocument/2006/relationships/image" Target="media/image721.png"/><Relationship Id="rId752" Type="http://schemas.openxmlformats.org/officeDocument/2006/relationships/image" Target="media/image722.png"/><Relationship Id="rId753" Type="http://schemas.openxmlformats.org/officeDocument/2006/relationships/image" Target="media/image723.png"/><Relationship Id="rId754" Type="http://schemas.openxmlformats.org/officeDocument/2006/relationships/image" Target="media/image724.png"/><Relationship Id="rId755" Type="http://schemas.openxmlformats.org/officeDocument/2006/relationships/image" Target="media/image725.jpeg"/><Relationship Id="rId756" Type="http://schemas.openxmlformats.org/officeDocument/2006/relationships/image" Target="media/image726.png"/><Relationship Id="rId526" Type="http://schemas.openxmlformats.org/officeDocument/2006/relationships/hyperlink" Target="http://www.sec.gov/Archives/edgar/data/0001907108/000119312523247367/d287237dex32.htm" TargetMode="External"/><Relationship Id="rId527" Type="http://schemas.openxmlformats.org/officeDocument/2006/relationships/hyperlink" Target="http://www.sec.gov/Archives/edgar/data/0001907108/000119312523247367/d287237dex41.htm" TargetMode="External"/><Relationship Id="rId528" Type="http://schemas.openxmlformats.org/officeDocument/2006/relationships/hyperlink" Target="http://www.sec.gov/Archives/edgar/data/0001907108/000119312523247367/d287237dex101.htm" TargetMode="External"/><Relationship Id="rId529" Type="http://schemas.openxmlformats.org/officeDocument/2006/relationships/hyperlink" Target="http://www.sec.gov/Archives/edgar/data/0001907108/000119312523247367/d287237dex104.htm" TargetMode="External"/><Relationship Id="rId530" Type="http://schemas.openxmlformats.org/officeDocument/2006/relationships/hyperlink" Target="http://www.sec.gov/Archives/edgar/data/0001907108/000119312523247367/d287237dex105.htm" TargetMode="External"/><Relationship Id="rId531" Type="http://schemas.openxmlformats.org/officeDocument/2006/relationships/hyperlink" Target="http://www.sec.gov/Archives/edgar/data/0001907108/000119312523247367/d287237dex106.htm" TargetMode="External"/><Relationship Id="rId532" Type="http://schemas.openxmlformats.org/officeDocument/2006/relationships/hyperlink" Target="http://www.sec.gov/Archives/edgar/data/0001907108/000119312523247367/d287237dex107.htm" TargetMode="External"/><Relationship Id="rId533" Type="http://schemas.openxmlformats.org/officeDocument/2006/relationships/hyperlink" Target="http://www.sec.gov/Archives/edgar/data/0001907108/000119312523247367/d287237dex108.htm" TargetMode="External"/><Relationship Id="rId534" Type="http://schemas.openxmlformats.org/officeDocument/2006/relationships/hyperlink" Target="http://www.sec.gov/Archives/edgar/data/0001907108/000119312523247367/d287237dex109.htm" TargetMode="External"/><Relationship Id="rId535" Type="http://schemas.openxmlformats.org/officeDocument/2006/relationships/hyperlink" Target="http://www.sec.gov/Archives/edgar/data/0001907108/000119312523247367/d287237dex1010.htm" TargetMode="External"/><Relationship Id="rId536" Type="http://schemas.openxmlformats.org/officeDocument/2006/relationships/hyperlink" Target="http://www.sec.gov/Archives/edgar/data/0001907108/000119312523247367/d287237dex1011.htm" TargetMode="External"/><Relationship Id="rId537" Type="http://schemas.openxmlformats.org/officeDocument/2006/relationships/hyperlink" Target="http://www.sec.gov/Archives/edgar/data/0001907108/000119312523247367/d287237dex1012.htm" TargetMode="External"/><Relationship Id="rId538" Type="http://schemas.openxmlformats.org/officeDocument/2006/relationships/hyperlink" Target="http://www.sec.gov/Archives/edgar/data/0001907108/000119312523247367/d287237dex1013.htm" TargetMode="External"/><Relationship Id="rId541" Type="http://schemas.openxmlformats.org/officeDocument/2006/relationships/hyperlink" Target="http://www.sec.gov/Archives/edgar/data/0001907108/000119312523247367/d287237dex1014.htm" TargetMode="External"/><Relationship Id="rId542" Type="http://schemas.openxmlformats.org/officeDocument/2006/relationships/hyperlink" Target="http://www.sec.gov/Archives/edgar/data/0001907108/000119312523247367/d287237dex1015.htm" TargetMode="External"/><Relationship Id="rId543" Type="http://schemas.openxmlformats.org/officeDocument/2006/relationships/hyperlink" Target="http://www.sec.gov/Archives/edgar/data/0001907108/000119312523247367/d287237dex1016.htm" TargetMode="External"/><Relationship Id="rId544" Type="http://schemas.openxmlformats.org/officeDocument/2006/relationships/hyperlink" Target="http://www.sec.gov/Archives/edgar/data/0001907108/000119312523247367/d287237dex1017.htm" TargetMode="External"/><Relationship Id="rId545" Type="http://schemas.openxmlformats.org/officeDocument/2006/relationships/hyperlink" Target="http://www.sec.gov/Archives/edgar/data/0001907108/000119312523247367/d287237dex1018.htm" TargetMode="External"/><Relationship Id="rId546" Type="http://schemas.openxmlformats.org/officeDocument/2006/relationships/hyperlink" Target="http://www.sec.gov/Archives/edgar/data/0001907108/000119312523247367/d287237dex1019.htm" TargetMode="External"/><Relationship Id="rId547" Type="http://schemas.openxmlformats.org/officeDocument/2006/relationships/hyperlink" Target="http://www.sec.gov/Archives/edgar/data/0001907108/000119312523247367/d287237dex1020.htm" TargetMode="External"/><Relationship Id="rId548" Type="http://schemas.openxmlformats.org/officeDocument/2006/relationships/hyperlink" Target="http://www.sec.gov/Archives/edgar/data/0001907108/000119312523247367/d287237dex1021.htm" TargetMode="External"/><Relationship Id="rId549" Type="http://schemas.openxmlformats.org/officeDocument/2006/relationships/hyperlink" Target="http://www.sec.gov/Archives/edgar/data/0001907108/000119312523247367/d287237dex1022.htm" TargetMode="External"/><Relationship Id="rId550" Type="http://schemas.openxmlformats.org/officeDocument/2006/relationships/hyperlink" Target="http://www.sec.gov/Archives/edgar/data/1907108/000119312523247367/d28723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2023-10-30T05:59:28Z</dcterms:created>
  <dcterms:modified xsi:type="dcterms:W3CDTF">2023-10-30T05:59:28Z</dcterms:modified>
</cp:coreProperties>
</file>